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36CF" w14:textId="77777777" w:rsidR="00616450" w:rsidRPr="00616450" w:rsidRDefault="00616450" w:rsidP="00616450">
      <w:pPr>
        <w:autoSpaceDE w:val="0"/>
        <w:autoSpaceDN w:val="0"/>
        <w:adjustRightInd w:val="0"/>
        <w:rPr>
          <w:rFonts w:ascii="Arial" w:eastAsiaTheme="minorHAnsi" w:hAnsi="Arial" w:cs="Arial"/>
          <w:color w:val="000000"/>
          <w:lang w:val="es-ES_tradnl" w:eastAsia="en-US"/>
        </w:rPr>
      </w:pPr>
    </w:p>
    <w:p w14:paraId="51FB077A" w14:textId="4D92433B" w:rsidR="00616450" w:rsidRDefault="00616450" w:rsidP="00616450">
      <w:pPr>
        <w:autoSpaceDE w:val="0"/>
        <w:autoSpaceDN w:val="0"/>
        <w:adjustRightInd w:val="0"/>
        <w:rPr>
          <w:rFonts w:ascii="Arial" w:eastAsiaTheme="minorHAnsi" w:hAnsi="Arial" w:cs="Arial"/>
          <w:b/>
          <w:bCs/>
          <w:color w:val="9F0034"/>
          <w:sz w:val="28"/>
          <w:szCs w:val="28"/>
          <w:lang w:val="es-ES_tradnl" w:eastAsia="en-US"/>
        </w:rPr>
      </w:pPr>
      <w:r w:rsidRPr="00616450">
        <w:rPr>
          <w:rFonts w:ascii="Arial" w:eastAsiaTheme="minorHAnsi" w:hAnsi="Arial" w:cs="Arial"/>
          <w:color w:val="000000"/>
          <w:lang w:val="es-ES_tradnl" w:eastAsia="en-US"/>
        </w:rPr>
        <w:t xml:space="preserve"> </w:t>
      </w:r>
    </w:p>
    <w:p w14:paraId="7860A1AE" w14:textId="214F6CA6" w:rsidR="00616450" w:rsidRPr="004C5C0C" w:rsidRDefault="00616450" w:rsidP="00616450">
      <w:pPr>
        <w:spacing w:before="100" w:after="60" w:line="276" w:lineRule="auto"/>
        <w:jc w:val="center"/>
        <w:rPr>
          <w:rFonts w:ascii="Arial" w:hAnsi="Arial" w:cs="Arial"/>
          <w:b/>
          <w:color w:val="9F0035"/>
          <w:sz w:val="28"/>
          <w:szCs w:val="28"/>
          <w:lang w:bidi="or-IN"/>
        </w:rPr>
      </w:pPr>
      <w:r w:rsidRPr="004C5C0C">
        <w:rPr>
          <w:rFonts w:ascii="Arial" w:hAnsi="Arial" w:cs="Arial"/>
          <w:b/>
          <w:color w:val="9F0035"/>
          <w:sz w:val="28"/>
          <w:szCs w:val="28"/>
          <w:lang w:bidi="or-IN"/>
        </w:rPr>
        <w:t>Documento de consenso de Gesida/Plan Nacional sobre el Sida respecto al tratamiento antirretroviral en adultos infectados por el virus de la inmunodeficiencia humana</w:t>
      </w:r>
    </w:p>
    <w:p w14:paraId="2E277E35" w14:textId="52BE5269" w:rsidR="00616450" w:rsidRDefault="00616450" w:rsidP="00616450">
      <w:pPr>
        <w:spacing w:before="100" w:after="60" w:line="276" w:lineRule="auto"/>
        <w:jc w:val="center"/>
        <w:rPr>
          <w:rFonts w:ascii="Arial" w:hAnsi="Arial" w:cs="Arial"/>
          <w:b/>
          <w:color w:val="9F0035"/>
          <w:sz w:val="28"/>
          <w:szCs w:val="28"/>
        </w:rPr>
      </w:pPr>
      <w:r w:rsidRPr="004C5C0C">
        <w:rPr>
          <w:rFonts w:ascii="Arial" w:hAnsi="Arial" w:cs="Arial"/>
          <w:b/>
          <w:color w:val="9F0035"/>
          <w:sz w:val="28"/>
          <w:szCs w:val="28"/>
        </w:rPr>
        <w:t xml:space="preserve">(Actualización enero </w:t>
      </w:r>
      <w:r w:rsidRPr="007C23CF">
        <w:rPr>
          <w:rFonts w:ascii="Arial" w:hAnsi="Arial" w:cs="Arial"/>
          <w:b/>
          <w:color w:val="9F0035"/>
          <w:sz w:val="28"/>
          <w:szCs w:val="28"/>
          <w:highlight w:val="yellow"/>
        </w:rPr>
        <w:t>2020)</w:t>
      </w:r>
    </w:p>
    <w:p w14:paraId="6A6C75C9" w14:textId="2FC522F4" w:rsidR="00616450" w:rsidRDefault="00616450" w:rsidP="00616450">
      <w:pPr>
        <w:spacing w:before="100" w:after="60" w:line="276" w:lineRule="auto"/>
        <w:jc w:val="center"/>
        <w:rPr>
          <w:rFonts w:ascii="Arial" w:hAnsi="Arial" w:cs="Arial"/>
          <w:b/>
          <w:color w:val="9F0035"/>
          <w:sz w:val="28"/>
          <w:szCs w:val="28"/>
        </w:rPr>
      </w:pPr>
    </w:p>
    <w:p w14:paraId="38DAB7AB" w14:textId="39C4EA79" w:rsidR="007C23CF" w:rsidRDefault="007C23CF" w:rsidP="00616450">
      <w:pPr>
        <w:spacing w:before="100" w:after="60" w:line="276" w:lineRule="auto"/>
        <w:jc w:val="center"/>
        <w:rPr>
          <w:rFonts w:ascii="Arial" w:hAnsi="Arial" w:cs="Arial"/>
          <w:b/>
          <w:color w:val="9F0035"/>
          <w:sz w:val="28"/>
          <w:szCs w:val="28"/>
        </w:rPr>
      </w:pPr>
    </w:p>
    <w:p w14:paraId="5263E525" w14:textId="77777777" w:rsidR="007C23CF" w:rsidRPr="004C5C0C" w:rsidRDefault="007C23CF" w:rsidP="00616450">
      <w:pPr>
        <w:spacing w:before="100" w:after="60" w:line="276" w:lineRule="auto"/>
        <w:jc w:val="center"/>
        <w:rPr>
          <w:rFonts w:ascii="Arial" w:hAnsi="Arial" w:cs="Arial"/>
          <w:b/>
          <w:color w:val="9F0035"/>
          <w:sz w:val="28"/>
          <w:szCs w:val="28"/>
        </w:rPr>
      </w:pPr>
    </w:p>
    <w:p w14:paraId="16FBFFA2" w14:textId="41C8E321" w:rsidR="00616450" w:rsidRPr="004C5C0C" w:rsidRDefault="00616450" w:rsidP="00616450">
      <w:pPr>
        <w:spacing w:before="100" w:after="60" w:line="276" w:lineRule="auto"/>
        <w:jc w:val="center"/>
        <w:rPr>
          <w:rFonts w:ascii="Arial" w:hAnsi="Arial" w:cs="Arial"/>
          <w:b/>
          <w:color w:val="9F0035"/>
        </w:rPr>
      </w:pPr>
      <w:r w:rsidRPr="004C5C0C">
        <w:rPr>
          <w:rFonts w:ascii="Arial" w:hAnsi="Arial" w:cs="Arial"/>
          <w:b/>
          <w:color w:val="9F0035"/>
        </w:rPr>
        <w:t>Panel de expertos de GeSIDA y Plan Nacional sobre el Sida</w:t>
      </w:r>
    </w:p>
    <w:p w14:paraId="5C8A9815" w14:textId="77777777" w:rsidR="00616450" w:rsidRPr="004C5C0C" w:rsidRDefault="00616450" w:rsidP="00616450">
      <w:pPr>
        <w:spacing w:before="100" w:after="60" w:line="276" w:lineRule="auto"/>
        <w:jc w:val="center"/>
        <w:rPr>
          <w:rFonts w:ascii="Arial" w:hAnsi="Arial" w:cs="Arial"/>
          <w:color w:val="AA0832"/>
          <w:sz w:val="22"/>
        </w:rPr>
      </w:pPr>
    </w:p>
    <w:p w14:paraId="333C237B" w14:textId="77777777" w:rsidR="00616450" w:rsidRPr="00931B65" w:rsidRDefault="00616450" w:rsidP="00616450">
      <w:pPr>
        <w:spacing w:before="100" w:after="60" w:line="276" w:lineRule="auto"/>
        <w:jc w:val="both"/>
        <w:rPr>
          <w:rFonts w:ascii="Arial" w:hAnsi="Arial" w:cs="Arial"/>
          <w:color w:val="0000FF"/>
        </w:rPr>
      </w:pPr>
    </w:p>
    <w:p w14:paraId="252A000D" w14:textId="5D5A9754" w:rsidR="00616450" w:rsidRDefault="00616450" w:rsidP="00616450">
      <w:pPr>
        <w:spacing w:before="100" w:after="60" w:line="276" w:lineRule="auto"/>
        <w:jc w:val="both"/>
        <w:rPr>
          <w:rFonts w:ascii="Arial" w:hAnsi="Arial" w:cs="Arial"/>
          <w:color w:val="0000FF"/>
        </w:rPr>
      </w:pPr>
    </w:p>
    <w:p w14:paraId="776C5804" w14:textId="12797DE1" w:rsidR="007C23CF" w:rsidRDefault="007C23CF" w:rsidP="00616450">
      <w:pPr>
        <w:spacing w:before="100" w:after="60" w:line="276" w:lineRule="auto"/>
        <w:jc w:val="both"/>
        <w:rPr>
          <w:rFonts w:ascii="Arial" w:hAnsi="Arial" w:cs="Arial"/>
          <w:color w:val="0000FF"/>
        </w:rPr>
      </w:pPr>
    </w:p>
    <w:p w14:paraId="59DECDEB" w14:textId="538E9E84" w:rsidR="007C23CF" w:rsidRDefault="007C23CF" w:rsidP="00616450">
      <w:pPr>
        <w:spacing w:before="100" w:after="60" w:line="276" w:lineRule="auto"/>
        <w:jc w:val="both"/>
        <w:rPr>
          <w:rFonts w:ascii="Arial" w:hAnsi="Arial" w:cs="Arial"/>
          <w:color w:val="0000FF"/>
        </w:rPr>
      </w:pPr>
    </w:p>
    <w:p w14:paraId="2164083E" w14:textId="77777777" w:rsidR="007C23CF" w:rsidRPr="00931B65" w:rsidRDefault="007C23CF" w:rsidP="00616450">
      <w:pPr>
        <w:spacing w:before="100" w:after="60" w:line="276" w:lineRule="auto"/>
        <w:jc w:val="both"/>
        <w:rPr>
          <w:rFonts w:ascii="Arial" w:hAnsi="Arial" w:cs="Arial"/>
          <w:color w:val="0000FF"/>
        </w:rPr>
      </w:pPr>
    </w:p>
    <w:p w14:paraId="5750A872" w14:textId="77777777" w:rsidR="00616450" w:rsidRPr="00931B65" w:rsidRDefault="00616450" w:rsidP="00616450">
      <w:pPr>
        <w:spacing w:before="100" w:after="60" w:line="276" w:lineRule="auto"/>
        <w:jc w:val="both"/>
        <w:rPr>
          <w:rFonts w:ascii="Arial" w:hAnsi="Arial" w:cs="Arial"/>
        </w:rPr>
      </w:pPr>
    </w:p>
    <w:p w14:paraId="4C5B0052" w14:textId="77777777" w:rsidR="00616450" w:rsidRDefault="00616450" w:rsidP="00616450">
      <w:pPr>
        <w:spacing w:before="100" w:after="60" w:line="276" w:lineRule="auto"/>
        <w:jc w:val="both"/>
        <w:rPr>
          <w:rFonts w:ascii="Arial" w:hAnsi="Arial" w:cs="Arial"/>
        </w:rPr>
      </w:pPr>
      <w:r>
        <w:rPr>
          <w:rFonts w:ascii="Arial" w:hAnsi="Arial" w:cs="Arial"/>
          <w:noProof/>
          <w:lang w:eastAsia="es-ES"/>
        </w:rPr>
        <w:drawing>
          <wp:inline distT="0" distB="0" distL="0" distR="0" wp14:anchorId="52B91D69" wp14:editId="22AA37DD">
            <wp:extent cx="2458720" cy="843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2458720" cy="843280"/>
                    </a:xfrm>
                    <a:prstGeom prst="rect">
                      <a:avLst/>
                    </a:prstGeom>
                    <a:noFill/>
                    <a:ln w="9525">
                      <a:noFill/>
                      <a:miter lim="800000"/>
                      <a:headEnd/>
                      <a:tailEnd/>
                    </a:ln>
                  </pic:spPr>
                </pic:pic>
              </a:graphicData>
            </a:graphic>
          </wp:inline>
        </w:drawing>
      </w:r>
      <w:r w:rsidRPr="00931B65">
        <w:rPr>
          <w:rFonts w:ascii="Arial" w:hAnsi="Arial" w:cs="Arial"/>
        </w:rPr>
        <w:t xml:space="preserve"> </w:t>
      </w:r>
      <w:r>
        <w:rPr>
          <w:rFonts w:ascii="Arial" w:hAnsi="Arial" w:cs="Arial"/>
          <w:noProof/>
          <w:lang w:eastAsia="es-ES"/>
        </w:rPr>
        <w:drawing>
          <wp:inline distT="0" distB="0" distL="0" distR="0" wp14:anchorId="772DD048" wp14:editId="339C406F">
            <wp:extent cx="2459074" cy="820368"/>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BS Logo.jpg"/>
                    <pic:cNvPicPr/>
                  </pic:nvPicPr>
                  <pic:blipFill>
                    <a:blip r:embed="rId8">
                      <a:extLst>
                        <a:ext uri="{28A0092B-C50C-407E-A947-70E740481C1C}">
                          <a14:useLocalDpi xmlns:a14="http://schemas.microsoft.com/office/drawing/2010/main" val="0"/>
                        </a:ext>
                      </a:extLst>
                    </a:blip>
                    <a:stretch>
                      <a:fillRect/>
                    </a:stretch>
                  </pic:blipFill>
                  <pic:spPr>
                    <a:xfrm>
                      <a:off x="0" y="0"/>
                      <a:ext cx="2462063" cy="821365"/>
                    </a:xfrm>
                    <a:prstGeom prst="rect">
                      <a:avLst/>
                    </a:prstGeom>
                  </pic:spPr>
                </pic:pic>
              </a:graphicData>
            </a:graphic>
          </wp:inline>
        </w:drawing>
      </w:r>
    </w:p>
    <w:p w14:paraId="5A281AA3" w14:textId="77777777" w:rsidR="00616450" w:rsidRDefault="00616450" w:rsidP="00616450">
      <w:pPr>
        <w:spacing w:before="100" w:after="60" w:line="276" w:lineRule="auto"/>
        <w:jc w:val="both"/>
        <w:rPr>
          <w:rFonts w:ascii="Arial" w:hAnsi="Arial" w:cs="Arial"/>
        </w:rPr>
      </w:pPr>
    </w:p>
    <w:p w14:paraId="4F92B8AE" w14:textId="77777777" w:rsidR="00616450" w:rsidRDefault="00616450" w:rsidP="00616450">
      <w:pPr>
        <w:spacing w:before="100" w:after="60" w:line="276" w:lineRule="auto"/>
        <w:jc w:val="both"/>
        <w:rPr>
          <w:rFonts w:ascii="Arial" w:hAnsi="Arial" w:cs="Arial"/>
        </w:rPr>
      </w:pPr>
    </w:p>
    <w:p w14:paraId="4AC3C067" w14:textId="5C338254" w:rsidR="00616450" w:rsidRDefault="00616450">
      <w:pPr>
        <w:rPr>
          <w:rFonts w:ascii="Arial" w:hAnsi="Arial" w:cs="Arial"/>
        </w:rPr>
      </w:pPr>
      <w:r>
        <w:rPr>
          <w:rFonts w:ascii="Arial" w:hAnsi="Arial" w:cs="Arial"/>
        </w:rPr>
        <w:br w:type="page"/>
      </w:r>
    </w:p>
    <w:p w14:paraId="239CB425" w14:textId="77777777" w:rsidR="00616450" w:rsidRPr="005D6463" w:rsidRDefault="00616450" w:rsidP="00616450">
      <w:pPr>
        <w:spacing w:after="200" w:line="276" w:lineRule="auto"/>
        <w:rPr>
          <w:rFonts w:ascii="Arial" w:hAnsi="Arial" w:cs="Arial"/>
          <w:b/>
          <w:color w:val="0000CC"/>
          <w:sz w:val="28"/>
          <w:szCs w:val="28"/>
        </w:rPr>
      </w:pPr>
      <w:r>
        <w:rPr>
          <w:rFonts w:ascii="Arial" w:hAnsi="Arial" w:cs="Arial"/>
          <w:b/>
          <w:color w:val="9F0035"/>
          <w:sz w:val="28"/>
          <w:szCs w:val="28"/>
        </w:rPr>
        <w:lastRenderedPageBreak/>
        <w:t>COMITÉ DE REDACCIÓN</w:t>
      </w:r>
      <w:r w:rsidRPr="004C5C0C">
        <w:rPr>
          <w:rFonts w:ascii="Arial" w:hAnsi="Arial" w:cs="Arial"/>
          <w:b/>
          <w:color w:val="9F0035"/>
          <w:sz w:val="28"/>
          <w:szCs w:val="28"/>
        </w:rPr>
        <w:t>*</w:t>
      </w:r>
    </w:p>
    <w:p w14:paraId="4DB7C323" w14:textId="77777777" w:rsidR="00616450" w:rsidRDefault="00616450" w:rsidP="00616450">
      <w:pPr>
        <w:autoSpaceDE w:val="0"/>
        <w:autoSpaceDN w:val="0"/>
        <w:adjustRightInd w:val="0"/>
        <w:spacing w:after="60" w:line="276" w:lineRule="auto"/>
        <w:jc w:val="both"/>
        <w:rPr>
          <w:rFonts w:ascii="Arial" w:hAnsi="Arial" w:cs="Arial"/>
          <w:color w:val="9F0035"/>
          <w:sz w:val="18"/>
          <w:szCs w:val="18"/>
        </w:rPr>
      </w:pPr>
    </w:p>
    <w:p w14:paraId="1DC5EB6F" w14:textId="77777777" w:rsidR="00616450" w:rsidRPr="004C5C0C" w:rsidRDefault="00616450" w:rsidP="00616450">
      <w:pPr>
        <w:autoSpaceDE w:val="0"/>
        <w:autoSpaceDN w:val="0"/>
        <w:adjustRightInd w:val="0"/>
        <w:spacing w:after="60" w:line="276" w:lineRule="auto"/>
        <w:jc w:val="both"/>
        <w:rPr>
          <w:rFonts w:ascii="Arial" w:hAnsi="Arial" w:cs="Arial"/>
          <w:b/>
          <w:bCs/>
          <w:color w:val="9F0035"/>
          <w:sz w:val="22"/>
          <w:szCs w:val="22"/>
        </w:rPr>
      </w:pPr>
      <w:r w:rsidRPr="004C5C0C">
        <w:rPr>
          <w:rFonts w:ascii="Arial" w:hAnsi="Arial" w:cs="Arial"/>
          <w:b/>
          <w:bCs/>
          <w:color w:val="9F0035"/>
          <w:sz w:val="22"/>
          <w:szCs w:val="22"/>
        </w:rPr>
        <w:t>Coordinadores:</w:t>
      </w:r>
    </w:p>
    <w:tbl>
      <w:tblPr>
        <w:tblW w:w="8926" w:type="dxa"/>
        <w:tblInd w:w="-106" w:type="dxa"/>
        <w:tblLook w:val="00A0" w:firstRow="1" w:lastRow="0" w:firstColumn="1" w:lastColumn="0" w:noHBand="0" w:noVBand="0"/>
      </w:tblPr>
      <w:tblGrid>
        <w:gridCol w:w="3681"/>
        <w:gridCol w:w="142"/>
        <w:gridCol w:w="5103"/>
      </w:tblGrid>
      <w:tr w:rsidR="00616450" w:rsidRPr="00931B65" w14:paraId="72D69E38" w14:textId="77777777" w:rsidTr="007B4109">
        <w:tc>
          <w:tcPr>
            <w:tcW w:w="3681" w:type="dxa"/>
          </w:tcPr>
          <w:p w14:paraId="4CE5D35F" w14:textId="003CF867" w:rsidR="00616450" w:rsidRPr="00402FF4" w:rsidRDefault="00616450" w:rsidP="00616450">
            <w:pPr>
              <w:autoSpaceDE w:val="0"/>
              <w:autoSpaceDN w:val="0"/>
              <w:adjustRightInd w:val="0"/>
              <w:spacing w:before="60" w:line="276" w:lineRule="auto"/>
              <w:rPr>
                <w:rFonts w:ascii="Arial" w:hAnsi="Arial" w:cs="Arial"/>
                <w:b/>
                <w:color w:val="0000CC"/>
                <w:lang w:val="es-ES_tradnl"/>
              </w:rPr>
            </w:pPr>
            <w:r w:rsidRPr="00402FF4">
              <w:rPr>
                <w:rFonts w:ascii="Arial" w:hAnsi="Arial" w:cs="Arial"/>
                <w:sz w:val="22"/>
                <w:szCs w:val="22"/>
                <w:lang w:val="es-ES_tradnl"/>
              </w:rPr>
              <w:t>Esteban Martínez (GeSIDA)</w:t>
            </w:r>
          </w:p>
        </w:tc>
        <w:tc>
          <w:tcPr>
            <w:tcW w:w="5245" w:type="dxa"/>
            <w:gridSpan w:val="2"/>
          </w:tcPr>
          <w:p w14:paraId="27EAB962" w14:textId="3E25C803" w:rsidR="00616450" w:rsidRPr="00637FAC" w:rsidRDefault="00616450" w:rsidP="00616450">
            <w:pPr>
              <w:autoSpaceDE w:val="0"/>
              <w:autoSpaceDN w:val="0"/>
              <w:adjustRightInd w:val="0"/>
              <w:spacing w:before="60" w:line="276" w:lineRule="auto"/>
              <w:rPr>
                <w:rFonts w:ascii="Arial" w:hAnsi="Arial" w:cs="Arial"/>
                <w:b/>
                <w:color w:val="0000CC"/>
                <w:sz w:val="20"/>
                <w:szCs w:val="20"/>
                <w:lang w:val="es-ES_tradnl"/>
              </w:rPr>
            </w:pPr>
            <w:r w:rsidRPr="00637FAC">
              <w:rPr>
                <w:rFonts w:ascii="Arial" w:hAnsi="Arial" w:cs="Arial"/>
                <w:i/>
                <w:color w:val="000000"/>
                <w:sz w:val="20"/>
                <w:szCs w:val="20"/>
                <w:lang w:val="es-ES_tradnl"/>
              </w:rPr>
              <w:t>Hospital Clinic Universitari / IDIBAPS. UB. Barcelona</w:t>
            </w:r>
          </w:p>
        </w:tc>
      </w:tr>
      <w:tr w:rsidR="007B4109" w:rsidRPr="00931B65" w14:paraId="625EFF07" w14:textId="77777777" w:rsidTr="007B4109">
        <w:tc>
          <w:tcPr>
            <w:tcW w:w="3823" w:type="dxa"/>
            <w:gridSpan w:val="2"/>
            <w:vAlign w:val="center"/>
          </w:tcPr>
          <w:p w14:paraId="5191F5C6" w14:textId="1959F0E5" w:rsidR="007B4109" w:rsidRPr="007B4109" w:rsidRDefault="007B4109" w:rsidP="007B4109">
            <w:pPr>
              <w:autoSpaceDE w:val="0"/>
              <w:autoSpaceDN w:val="0"/>
              <w:adjustRightInd w:val="0"/>
              <w:spacing w:after="60" w:line="276" w:lineRule="auto"/>
              <w:rPr>
                <w:rFonts w:ascii="Arial" w:hAnsi="Arial" w:cs="Arial"/>
                <w:sz w:val="22"/>
                <w:szCs w:val="22"/>
                <w:highlight w:val="yellow"/>
                <w:lang w:val="es-ES_tradnl"/>
              </w:rPr>
            </w:pPr>
            <w:r w:rsidRPr="007B4109">
              <w:rPr>
                <w:rFonts w:ascii="Arial" w:hAnsi="Arial" w:cs="Arial"/>
                <w:sz w:val="22"/>
                <w:szCs w:val="22"/>
                <w:highlight w:val="yellow"/>
                <w:lang w:val="es-ES_tradnl"/>
              </w:rPr>
              <w:t>José Ramón Arribas (GeSIDA)</w:t>
            </w:r>
          </w:p>
        </w:tc>
        <w:tc>
          <w:tcPr>
            <w:tcW w:w="5103" w:type="dxa"/>
            <w:vAlign w:val="center"/>
          </w:tcPr>
          <w:p w14:paraId="678E8A5D" w14:textId="0137E2DD" w:rsidR="007B4109" w:rsidRPr="007B4109" w:rsidRDefault="007B4109" w:rsidP="007B4109">
            <w:pPr>
              <w:autoSpaceDE w:val="0"/>
              <w:autoSpaceDN w:val="0"/>
              <w:adjustRightInd w:val="0"/>
              <w:spacing w:after="60" w:line="276" w:lineRule="auto"/>
              <w:rPr>
                <w:rFonts w:ascii="Arial" w:hAnsi="Arial" w:cs="Arial"/>
                <w:i/>
                <w:sz w:val="20"/>
                <w:szCs w:val="20"/>
                <w:highlight w:val="yellow"/>
                <w:lang w:val="es-ES_tradnl"/>
              </w:rPr>
            </w:pPr>
            <w:r w:rsidRPr="007B4109">
              <w:rPr>
                <w:rFonts w:ascii="Arial" w:hAnsi="Arial" w:cs="Arial"/>
                <w:i/>
                <w:sz w:val="20"/>
                <w:szCs w:val="20"/>
                <w:highlight w:val="yellow"/>
                <w:lang w:val="es-ES_tradnl"/>
              </w:rPr>
              <w:t>Hospital Universitario La Paz. IdiPAZ, Madrid</w:t>
            </w:r>
          </w:p>
        </w:tc>
      </w:tr>
      <w:tr w:rsidR="007B4109" w:rsidRPr="00931B65" w14:paraId="121B849F" w14:textId="77777777" w:rsidTr="007B4109">
        <w:tc>
          <w:tcPr>
            <w:tcW w:w="3681" w:type="dxa"/>
          </w:tcPr>
          <w:p w14:paraId="2E80BE56" w14:textId="2E654BB2" w:rsidR="007B4109" w:rsidRPr="00402FF4" w:rsidRDefault="007B4109" w:rsidP="007B4109">
            <w:pPr>
              <w:autoSpaceDE w:val="0"/>
              <w:autoSpaceDN w:val="0"/>
              <w:adjustRightInd w:val="0"/>
              <w:spacing w:before="60" w:line="276" w:lineRule="auto"/>
              <w:rPr>
                <w:rFonts w:ascii="Arial" w:hAnsi="Arial" w:cs="Arial"/>
                <w:b/>
                <w:color w:val="0000CC"/>
                <w:lang w:val="es-ES_tradnl"/>
              </w:rPr>
            </w:pPr>
            <w:r w:rsidRPr="00402FF4">
              <w:rPr>
                <w:rFonts w:ascii="Arial" w:hAnsi="Arial" w:cs="Arial"/>
                <w:color w:val="000000"/>
                <w:sz w:val="22"/>
                <w:szCs w:val="22"/>
                <w:lang w:val="es-ES_tradnl"/>
              </w:rPr>
              <w:t>Rosa Polo (PNS)</w:t>
            </w:r>
          </w:p>
        </w:tc>
        <w:tc>
          <w:tcPr>
            <w:tcW w:w="5245" w:type="dxa"/>
            <w:gridSpan w:val="2"/>
          </w:tcPr>
          <w:p w14:paraId="1C12A39D" w14:textId="013B380E" w:rsidR="007B4109" w:rsidRPr="00637FAC" w:rsidRDefault="007B4109" w:rsidP="007B4109">
            <w:pPr>
              <w:autoSpaceDE w:val="0"/>
              <w:autoSpaceDN w:val="0"/>
              <w:adjustRightInd w:val="0"/>
              <w:spacing w:before="60" w:line="276" w:lineRule="auto"/>
              <w:rPr>
                <w:rFonts w:ascii="Arial" w:hAnsi="Arial" w:cs="Arial"/>
                <w:b/>
                <w:color w:val="0000CC"/>
                <w:sz w:val="20"/>
                <w:szCs w:val="20"/>
                <w:lang w:val="es-ES_tradnl"/>
              </w:rPr>
            </w:pPr>
            <w:r w:rsidRPr="00637FAC">
              <w:rPr>
                <w:rFonts w:ascii="Arial" w:hAnsi="Arial" w:cs="Arial"/>
                <w:i/>
                <w:color w:val="000000"/>
                <w:sz w:val="20"/>
                <w:szCs w:val="20"/>
                <w:lang w:val="es-ES_tradnl"/>
              </w:rPr>
              <w:t>Secretaría</w:t>
            </w:r>
            <w:r w:rsidRPr="00637FAC">
              <w:rPr>
                <w:rFonts w:ascii="Arial" w:hAnsi="Arial" w:cs="Arial"/>
                <w:color w:val="000000"/>
                <w:sz w:val="20"/>
                <w:szCs w:val="20"/>
                <w:lang w:val="es-ES_tradnl"/>
              </w:rPr>
              <w:t xml:space="preserve"> del </w:t>
            </w:r>
            <w:r w:rsidRPr="00637FAC">
              <w:rPr>
                <w:rFonts w:ascii="Arial" w:hAnsi="Arial" w:cs="Arial"/>
                <w:i/>
                <w:sz w:val="20"/>
                <w:szCs w:val="20"/>
                <w:lang w:val="es-ES_tradnl"/>
              </w:rPr>
              <w:t>Plan Nacional sobre el Sida. MSCBS. Madrid</w:t>
            </w:r>
          </w:p>
        </w:tc>
      </w:tr>
      <w:tr w:rsidR="007B4109" w:rsidRPr="00931B65" w14:paraId="1D61AEDE" w14:textId="77777777" w:rsidTr="007B4109">
        <w:tc>
          <w:tcPr>
            <w:tcW w:w="3681" w:type="dxa"/>
          </w:tcPr>
          <w:p w14:paraId="44BB7F49" w14:textId="67A1C6A8" w:rsidR="007B4109" w:rsidRPr="00402FF4" w:rsidRDefault="007B4109" w:rsidP="007B4109">
            <w:pPr>
              <w:autoSpaceDE w:val="0"/>
              <w:autoSpaceDN w:val="0"/>
              <w:adjustRightInd w:val="0"/>
              <w:spacing w:before="60" w:line="276" w:lineRule="auto"/>
              <w:rPr>
                <w:rFonts w:ascii="Arial" w:hAnsi="Arial" w:cs="Arial"/>
                <w:b/>
                <w:color w:val="0000CC"/>
                <w:lang w:val="es-ES_tradnl"/>
              </w:rPr>
            </w:pPr>
          </w:p>
        </w:tc>
        <w:tc>
          <w:tcPr>
            <w:tcW w:w="5245" w:type="dxa"/>
            <w:gridSpan w:val="2"/>
          </w:tcPr>
          <w:p w14:paraId="680EDDD9" w14:textId="6CDCA48E" w:rsidR="007B4109" w:rsidRPr="00637FAC" w:rsidRDefault="007B4109" w:rsidP="007B4109">
            <w:pPr>
              <w:autoSpaceDE w:val="0"/>
              <w:autoSpaceDN w:val="0"/>
              <w:adjustRightInd w:val="0"/>
              <w:spacing w:before="60" w:line="276" w:lineRule="auto"/>
              <w:rPr>
                <w:rFonts w:ascii="Arial" w:hAnsi="Arial" w:cs="Arial"/>
                <w:b/>
                <w:color w:val="0000CC"/>
                <w:sz w:val="20"/>
                <w:szCs w:val="20"/>
                <w:lang w:val="es-ES_tradnl"/>
              </w:rPr>
            </w:pPr>
          </w:p>
        </w:tc>
      </w:tr>
    </w:tbl>
    <w:p w14:paraId="477E36BE" w14:textId="77777777" w:rsidR="00616450" w:rsidRPr="00931B65" w:rsidRDefault="00616450" w:rsidP="00616450">
      <w:pPr>
        <w:shd w:val="clear" w:color="auto" w:fill="FFFFFF"/>
        <w:autoSpaceDE w:val="0"/>
        <w:autoSpaceDN w:val="0"/>
        <w:adjustRightInd w:val="0"/>
        <w:spacing w:before="100" w:after="60" w:line="276" w:lineRule="auto"/>
        <w:jc w:val="both"/>
        <w:rPr>
          <w:rFonts w:ascii="Arial" w:hAnsi="Arial" w:cs="Arial"/>
          <w:b/>
          <w:color w:val="0000CC"/>
          <w:sz w:val="18"/>
          <w:szCs w:val="18"/>
        </w:rPr>
      </w:pPr>
    </w:p>
    <w:p w14:paraId="5006E46C" w14:textId="77777777" w:rsidR="00616450" w:rsidRPr="004C5C0C" w:rsidRDefault="00616450" w:rsidP="00616450">
      <w:pPr>
        <w:autoSpaceDE w:val="0"/>
        <w:autoSpaceDN w:val="0"/>
        <w:adjustRightInd w:val="0"/>
        <w:spacing w:after="60" w:line="276" w:lineRule="auto"/>
        <w:jc w:val="both"/>
        <w:rPr>
          <w:rFonts w:ascii="Arial" w:hAnsi="Arial" w:cs="Arial"/>
          <w:b/>
          <w:bCs/>
          <w:color w:val="9F0035"/>
          <w:sz w:val="22"/>
          <w:szCs w:val="22"/>
        </w:rPr>
      </w:pPr>
      <w:r w:rsidRPr="004C5C0C">
        <w:rPr>
          <w:rFonts w:ascii="Arial" w:hAnsi="Arial" w:cs="Arial"/>
          <w:b/>
          <w:bCs/>
          <w:color w:val="9F0035"/>
          <w:sz w:val="22"/>
          <w:szCs w:val="22"/>
        </w:rPr>
        <w:t xml:space="preserve">Redactores Generales: </w:t>
      </w:r>
    </w:p>
    <w:tbl>
      <w:tblPr>
        <w:tblW w:w="8926" w:type="dxa"/>
        <w:tblInd w:w="-106" w:type="dxa"/>
        <w:tblLook w:val="00A0" w:firstRow="1" w:lastRow="0" w:firstColumn="1" w:lastColumn="0" w:noHBand="0" w:noVBand="0"/>
      </w:tblPr>
      <w:tblGrid>
        <w:gridCol w:w="3681"/>
        <w:gridCol w:w="5245"/>
      </w:tblGrid>
      <w:tr w:rsidR="00616450" w:rsidRPr="00931B65" w14:paraId="6D91DB21" w14:textId="77777777" w:rsidTr="007B4109">
        <w:trPr>
          <w:trHeight w:val="174"/>
        </w:trPr>
        <w:tc>
          <w:tcPr>
            <w:tcW w:w="3681" w:type="dxa"/>
          </w:tcPr>
          <w:p w14:paraId="4F55298B" w14:textId="1F7572A0" w:rsidR="00616450" w:rsidRPr="00402FF4" w:rsidRDefault="00616450" w:rsidP="007B4109">
            <w:pPr>
              <w:autoSpaceDE w:val="0"/>
              <w:autoSpaceDN w:val="0"/>
              <w:adjustRightInd w:val="0"/>
              <w:spacing w:before="60" w:line="276" w:lineRule="auto"/>
              <w:rPr>
                <w:rFonts w:ascii="Arial" w:hAnsi="Arial" w:cs="Arial"/>
                <w:color w:val="000000"/>
                <w:lang w:val="es-ES_tradnl"/>
              </w:rPr>
            </w:pPr>
            <w:r w:rsidRPr="00402FF4">
              <w:rPr>
                <w:rFonts w:ascii="Arial" w:hAnsi="Arial" w:cs="Arial"/>
                <w:color w:val="000000"/>
                <w:sz w:val="22"/>
                <w:szCs w:val="22"/>
                <w:lang w:val="es-ES_tradnl"/>
              </w:rPr>
              <w:t xml:space="preserve">Juan González García </w:t>
            </w:r>
          </w:p>
        </w:tc>
        <w:tc>
          <w:tcPr>
            <w:tcW w:w="5245" w:type="dxa"/>
            <w:vAlign w:val="center"/>
          </w:tcPr>
          <w:p w14:paraId="36BC36DF" w14:textId="77BB2503" w:rsidR="00616450" w:rsidRPr="00637FAC" w:rsidRDefault="00616450" w:rsidP="007B4109">
            <w:pPr>
              <w:autoSpaceDE w:val="0"/>
              <w:autoSpaceDN w:val="0"/>
              <w:adjustRightInd w:val="0"/>
              <w:spacing w:before="60" w:line="276" w:lineRule="auto"/>
              <w:rPr>
                <w:rFonts w:ascii="Arial" w:hAnsi="Arial" w:cs="Arial"/>
                <w:i/>
                <w:color w:val="000000"/>
                <w:sz w:val="20"/>
                <w:szCs w:val="18"/>
                <w:lang w:val="es-ES_tradnl"/>
              </w:rPr>
            </w:pPr>
            <w:r w:rsidRPr="00402FF4">
              <w:rPr>
                <w:rFonts w:ascii="Arial" w:hAnsi="Arial" w:cs="Arial"/>
                <w:i/>
                <w:sz w:val="20"/>
                <w:szCs w:val="20"/>
                <w:lang w:val="es-ES_tradnl"/>
              </w:rPr>
              <w:t>Hospital Universitario La Paz. IdiPAZ, Madrid</w:t>
            </w:r>
          </w:p>
        </w:tc>
      </w:tr>
      <w:tr w:rsidR="007B4109" w:rsidRPr="00931B65" w14:paraId="13EDC008" w14:textId="77777777" w:rsidTr="007B4109">
        <w:trPr>
          <w:trHeight w:val="174"/>
        </w:trPr>
        <w:tc>
          <w:tcPr>
            <w:tcW w:w="3681" w:type="dxa"/>
          </w:tcPr>
          <w:p w14:paraId="0DE9E872" w14:textId="1D05CC1F" w:rsidR="007B4109" w:rsidRPr="00402FF4" w:rsidRDefault="007B4109" w:rsidP="007B4109">
            <w:pPr>
              <w:autoSpaceDE w:val="0"/>
              <w:autoSpaceDN w:val="0"/>
              <w:adjustRightInd w:val="0"/>
              <w:spacing w:before="60" w:line="276" w:lineRule="auto"/>
              <w:rPr>
                <w:rFonts w:ascii="Arial" w:hAnsi="Arial" w:cs="Arial"/>
                <w:color w:val="000000"/>
                <w:sz w:val="22"/>
                <w:szCs w:val="22"/>
                <w:lang w:val="es-ES_tradnl"/>
              </w:rPr>
            </w:pPr>
            <w:r w:rsidRPr="007B4109">
              <w:rPr>
                <w:rFonts w:ascii="Arial" w:hAnsi="Arial" w:cs="Arial"/>
                <w:color w:val="000000"/>
                <w:sz w:val="22"/>
                <w:szCs w:val="22"/>
                <w:highlight w:val="yellow"/>
                <w:lang w:val="es-ES_tradnl"/>
              </w:rPr>
              <w:t>Rosario Palacios</w:t>
            </w:r>
          </w:p>
        </w:tc>
        <w:tc>
          <w:tcPr>
            <w:tcW w:w="5245" w:type="dxa"/>
            <w:vAlign w:val="center"/>
          </w:tcPr>
          <w:p w14:paraId="61870593" w14:textId="32F5EC42" w:rsidR="007B4109" w:rsidRPr="00402FF4" w:rsidRDefault="007B4109" w:rsidP="007B4109">
            <w:pPr>
              <w:autoSpaceDE w:val="0"/>
              <w:autoSpaceDN w:val="0"/>
              <w:adjustRightInd w:val="0"/>
              <w:spacing w:before="60" w:line="276" w:lineRule="auto"/>
              <w:rPr>
                <w:rFonts w:ascii="Arial" w:hAnsi="Arial" w:cs="Arial"/>
                <w:i/>
                <w:sz w:val="20"/>
                <w:szCs w:val="20"/>
                <w:lang w:val="es-ES_tradnl"/>
              </w:rPr>
            </w:pPr>
            <w:r w:rsidRPr="007B4109">
              <w:rPr>
                <w:rFonts w:ascii="Arial" w:hAnsi="Arial" w:cs="Arial"/>
                <w:i/>
                <w:color w:val="000000"/>
                <w:sz w:val="20"/>
                <w:szCs w:val="18"/>
                <w:highlight w:val="yellow"/>
                <w:lang w:val="es-ES_tradnl"/>
              </w:rPr>
              <w:t>Hospital Universitario Virgen de la Victoria. Málaga</w:t>
            </w:r>
          </w:p>
        </w:tc>
      </w:tr>
    </w:tbl>
    <w:p w14:paraId="0F908431" w14:textId="77777777" w:rsidR="00616450" w:rsidRPr="00931B65" w:rsidRDefault="00616450" w:rsidP="00616450">
      <w:pPr>
        <w:shd w:val="clear" w:color="auto" w:fill="FFFFFF"/>
        <w:autoSpaceDE w:val="0"/>
        <w:autoSpaceDN w:val="0"/>
        <w:adjustRightInd w:val="0"/>
        <w:spacing w:before="100" w:after="60" w:line="276" w:lineRule="auto"/>
        <w:jc w:val="both"/>
        <w:rPr>
          <w:rFonts w:ascii="Arial" w:hAnsi="Arial" w:cs="Arial"/>
          <w:b/>
          <w:color w:val="0000CC"/>
          <w:sz w:val="18"/>
          <w:szCs w:val="18"/>
        </w:rPr>
      </w:pPr>
    </w:p>
    <w:p w14:paraId="362C0160" w14:textId="77777777" w:rsidR="00616450" w:rsidRPr="00765703" w:rsidRDefault="00616450" w:rsidP="00616450">
      <w:pPr>
        <w:autoSpaceDE w:val="0"/>
        <w:autoSpaceDN w:val="0"/>
        <w:adjustRightInd w:val="0"/>
        <w:spacing w:after="60" w:line="276" w:lineRule="auto"/>
        <w:jc w:val="both"/>
        <w:rPr>
          <w:rFonts w:ascii="Arial" w:hAnsi="Arial" w:cs="Arial"/>
          <w:b/>
          <w:bCs/>
          <w:color w:val="AE1C1F"/>
          <w:sz w:val="22"/>
          <w:szCs w:val="22"/>
        </w:rPr>
      </w:pPr>
      <w:r w:rsidRPr="00765703">
        <w:rPr>
          <w:rFonts w:ascii="Arial" w:hAnsi="Arial" w:cs="Arial"/>
          <w:b/>
          <w:bCs/>
          <w:color w:val="AE1C1F"/>
          <w:sz w:val="22"/>
          <w:szCs w:val="22"/>
        </w:rPr>
        <w:t>Redactores y Revisores:</w:t>
      </w:r>
    </w:p>
    <w:tbl>
      <w:tblPr>
        <w:tblW w:w="8926" w:type="dxa"/>
        <w:tblInd w:w="-106" w:type="dxa"/>
        <w:tblLook w:val="00A0" w:firstRow="1" w:lastRow="0" w:firstColumn="1" w:lastColumn="0" w:noHBand="0" w:noVBand="0"/>
      </w:tblPr>
      <w:tblGrid>
        <w:gridCol w:w="3823"/>
        <w:gridCol w:w="5103"/>
      </w:tblGrid>
      <w:tr w:rsidR="00616450" w:rsidRPr="00931B65" w14:paraId="701C200F" w14:textId="77777777" w:rsidTr="007B4109">
        <w:tc>
          <w:tcPr>
            <w:tcW w:w="3823" w:type="dxa"/>
            <w:vAlign w:val="center"/>
          </w:tcPr>
          <w:p w14:paraId="178FB0D2"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Juan Berenguer (GeSIDA)</w:t>
            </w:r>
          </w:p>
        </w:tc>
        <w:tc>
          <w:tcPr>
            <w:tcW w:w="5103" w:type="dxa"/>
            <w:vAlign w:val="center"/>
          </w:tcPr>
          <w:p w14:paraId="7E7F2E32" w14:textId="77777777" w:rsidR="00616450" w:rsidRPr="003F3B0A" w:rsidRDefault="00616450"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 xml:space="preserve">Hospital General Universitario Gregorio Marañón. </w:t>
            </w:r>
            <w:r w:rsidRPr="005476CD">
              <w:rPr>
                <w:rFonts w:ascii="Arial" w:hAnsi="Arial" w:cs="Arial"/>
                <w:i/>
                <w:color w:val="000000" w:themeColor="text1"/>
                <w:sz w:val="20"/>
                <w:szCs w:val="20"/>
                <w:lang w:val="es-ES_tradnl"/>
              </w:rPr>
              <w:t>IiSGM</w:t>
            </w:r>
            <w:r w:rsidRPr="003F3B0A">
              <w:rPr>
                <w:rFonts w:ascii="Arial" w:hAnsi="Arial" w:cs="Arial"/>
                <w:i/>
                <w:color w:val="000000" w:themeColor="text1"/>
                <w:sz w:val="20"/>
                <w:szCs w:val="20"/>
                <w:lang w:val="es-ES_tradnl"/>
              </w:rPr>
              <w:t xml:space="preserve">. </w:t>
            </w:r>
            <w:r w:rsidRPr="003F3B0A">
              <w:rPr>
                <w:rFonts w:ascii="Arial" w:hAnsi="Arial" w:cs="Arial"/>
                <w:i/>
                <w:sz w:val="20"/>
                <w:szCs w:val="20"/>
                <w:lang w:val="es-ES_tradnl"/>
              </w:rPr>
              <w:t>Madrid</w:t>
            </w:r>
          </w:p>
        </w:tc>
      </w:tr>
      <w:tr w:rsidR="007B4109" w:rsidRPr="00931B65" w14:paraId="325606E8" w14:textId="77777777" w:rsidTr="007B4109">
        <w:tc>
          <w:tcPr>
            <w:tcW w:w="3823" w:type="dxa"/>
            <w:vAlign w:val="center"/>
          </w:tcPr>
          <w:p w14:paraId="5801B4D1" w14:textId="54EF72CE" w:rsidR="007B4109" w:rsidRPr="00402FF4" w:rsidRDefault="007B4109" w:rsidP="007B4109">
            <w:pPr>
              <w:autoSpaceDE w:val="0"/>
              <w:autoSpaceDN w:val="0"/>
              <w:adjustRightInd w:val="0"/>
              <w:spacing w:after="60" w:line="276" w:lineRule="auto"/>
              <w:rPr>
                <w:rFonts w:ascii="Arial" w:hAnsi="Arial" w:cs="Arial"/>
                <w:sz w:val="22"/>
                <w:szCs w:val="22"/>
                <w:lang w:val="es-ES_tradnl"/>
              </w:rPr>
            </w:pPr>
            <w:r w:rsidRPr="008B0A36">
              <w:rPr>
                <w:rFonts w:ascii="Arial" w:hAnsi="Arial" w:cs="Arial"/>
                <w:sz w:val="22"/>
                <w:szCs w:val="22"/>
                <w:highlight w:val="yellow"/>
                <w:lang w:val="es-ES_tradnl"/>
              </w:rPr>
              <w:t>Enrique Bernal</w:t>
            </w:r>
            <w:r w:rsidR="008B0A36" w:rsidRPr="008B0A36">
              <w:rPr>
                <w:rFonts w:ascii="Arial" w:hAnsi="Arial" w:cs="Arial"/>
                <w:sz w:val="22"/>
                <w:szCs w:val="22"/>
                <w:highlight w:val="yellow"/>
                <w:lang w:val="es-ES_tradnl"/>
              </w:rPr>
              <w:t xml:space="preserve"> (GESIDA)</w:t>
            </w:r>
          </w:p>
        </w:tc>
        <w:tc>
          <w:tcPr>
            <w:tcW w:w="5103" w:type="dxa"/>
            <w:vAlign w:val="center"/>
          </w:tcPr>
          <w:p w14:paraId="5482A08C" w14:textId="561B6A55" w:rsidR="007B4109" w:rsidRPr="00491A21" w:rsidRDefault="0017325F" w:rsidP="00491A21">
            <w:pPr>
              <w:rPr>
                <w:rFonts w:ascii="Arial" w:hAnsi="Arial" w:cs="Arial"/>
                <w:i/>
                <w:sz w:val="20"/>
                <w:szCs w:val="20"/>
                <w:lang w:val="es-ES_tradnl"/>
              </w:rPr>
            </w:pPr>
            <w:r w:rsidRPr="0017325F">
              <w:rPr>
                <w:rFonts w:ascii="Arial" w:hAnsi="Arial" w:cs="Arial"/>
                <w:i/>
                <w:sz w:val="20"/>
                <w:szCs w:val="20"/>
                <w:highlight w:val="yellow"/>
                <w:lang w:val="es-ES_tradnl"/>
              </w:rPr>
              <w:t>Hospital General Universitario Reina Sofía. Murcia.</w:t>
            </w:r>
          </w:p>
        </w:tc>
      </w:tr>
      <w:tr w:rsidR="00616450" w:rsidRPr="00931B65" w14:paraId="44BEBDFB" w14:textId="77777777" w:rsidTr="007B4109">
        <w:tc>
          <w:tcPr>
            <w:tcW w:w="3823" w:type="dxa"/>
            <w:vAlign w:val="center"/>
          </w:tcPr>
          <w:p w14:paraId="0206CEDF"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José Ramón Blanco (</w:t>
            </w:r>
            <w:r w:rsidRPr="003E271A">
              <w:rPr>
                <w:rFonts w:ascii="Arial" w:hAnsi="Arial" w:cs="Arial"/>
                <w:sz w:val="22"/>
                <w:szCs w:val="22"/>
                <w:lang w:val="es-ES_tradnl"/>
              </w:rPr>
              <w:t>PNS</w:t>
            </w:r>
            <w:r w:rsidRPr="00402FF4">
              <w:rPr>
                <w:rFonts w:ascii="Arial" w:hAnsi="Arial" w:cs="Arial"/>
                <w:sz w:val="22"/>
                <w:szCs w:val="22"/>
                <w:lang w:val="es-ES_tradnl"/>
              </w:rPr>
              <w:t>)</w:t>
            </w:r>
          </w:p>
          <w:p w14:paraId="5D28942B" w14:textId="77777777" w:rsidR="00616450" w:rsidRDefault="00616450" w:rsidP="007B4109">
            <w:pPr>
              <w:autoSpaceDE w:val="0"/>
              <w:autoSpaceDN w:val="0"/>
              <w:adjustRightInd w:val="0"/>
              <w:spacing w:after="60" w:line="276" w:lineRule="auto"/>
              <w:rPr>
                <w:rFonts w:ascii="Arial" w:hAnsi="Arial" w:cs="Arial"/>
                <w:sz w:val="22"/>
                <w:szCs w:val="22"/>
                <w:lang w:val="es-ES_tradnl"/>
              </w:rPr>
            </w:pPr>
            <w:r w:rsidRPr="00402FF4">
              <w:rPr>
                <w:rFonts w:ascii="Arial" w:hAnsi="Arial" w:cs="Arial"/>
                <w:sz w:val="22"/>
                <w:szCs w:val="22"/>
                <w:lang w:val="es-ES_tradnl"/>
              </w:rPr>
              <w:t>Adriá Curran (GeSIDA)</w:t>
            </w:r>
          </w:p>
          <w:p w14:paraId="2357AA5D" w14:textId="78C90D36" w:rsidR="008B0A36" w:rsidRPr="00402FF4" w:rsidRDefault="008B0A36" w:rsidP="007B4109">
            <w:pPr>
              <w:autoSpaceDE w:val="0"/>
              <w:autoSpaceDN w:val="0"/>
              <w:adjustRightInd w:val="0"/>
              <w:spacing w:after="60" w:line="276" w:lineRule="auto"/>
              <w:rPr>
                <w:rFonts w:ascii="Arial" w:hAnsi="Arial" w:cs="Arial"/>
                <w:lang w:val="es-ES_tradnl"/>
              </w:rPr>
            </w:pPr>
            <w:r w:rsidRPr="008B0A36">
              <w:rPr>
                <w:rFonts w:ascii="Arial" w:hAnsi="Arial" w:cs="Arial"/>
                <w:sz w:val="22"/>
                <w:szCs w:val="22"/>
                <w:highlight w:val="yellow"/>
                <w:lang w:val="es-ES_tradnl"/>
              </w:rPr>
              <w:t>Carmen de Mendoza (GESIDA)</w:t>
            </w:r>
          </w:p>
        </w:tc>
        <w:tc>
          <w:tcPr>
            <w:tcW w:w="5103" w:type="dxa"/>
            <w:vAlign w:val="center"/>
          </w:tcPr>
          <w:p w14:paraId="752F6555" w14:textId="0F070FED" w:rsidR="00616450" w:rsidRPr="003F3B0A" w:rsidRDefault="00616450"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San Pedro-CIBIR. Logroño</w:t>
            </w:r>
          </w:p>
          <w:p w14:paraId="7F7A2BE0" w14:textId="0CF23BBF" w:rsidR="0017325F" w:rsidRPr="0017325F" w:rsidRDefault="00616450" w:rsidP="0017325F">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w:t>
            </w:r>
            <w:r w:rsidRPr="005476CD">
              <w:rPr>
                <w:rFonts w:ascii="Arial" w:hAnsi="Arial" w:cs="Arial"/>
                <w:i/>
                <w:sz w:val="20"/>
                <w:szCs w:val="20"/>
                <w:lang w:val="es-ES_tradnl"/>
              </w:rPr>
              <w:t>l</w:t>
            </w:r>
            <w:r w:rsidRPr="003F3B0A">
              <w:rPr>
                <w:rFonts w:ascii="Arial" w:hAnsi="Arial" w:cs="Arial"/>
                <w:i/>
                <w:sz w:val="20"/>
                <w:szCs w:val="20"/>
                <w:lang w:val="es-ES_tradnl"/>
              </w:rPr>
              <w:t xml:space="preserve"> Universitari Vall d’Hebrón. </w:t>
            </w:r>
            <w:r w:rsidRPr="005476CD">
              <w:rPr>
                <w:rFonts w:ascii="Arial" w:hAnsi="Arial" w:cs="Arial"/>
                <w:i/>
                <w:sz w:val="20"/>
                <w:szCs w:val="20"/>
                <w:lang w:val="es-ES_tradnl"/>
              </w:rPr>
              <w:t>VHIR.</w:t>
            </w:r>
            <w:r w:rsidRPr="003F3B0A">
              <w:rPr>
                <w:rFonts w:ascii="Arial" w:hAnsi="Arial" w:cs="Arial"/>
                <w:i/>
                <w:sz w:val="20"/>
                <w:szCs w:val="20"/>
                <w:lang w:val="es-ES_tradnl"/>
              </w:rPr>
              <w:t xml:space="preserve"> Barcelona</w:t>
            </w:r>
          </w:p>
          <w:p w14:paraId="2010EF72" w14:textId="74CB3231" w:rsidR="008B0A36" w:rsidRPr="00491A21" w:rsidRDefault="0017325F" w:rsidP="00491A21">
            <w:pPr>
              <w:rPr>
                <w:rFonts w:ascii="Arial" w:hAnsi="Arial" w:cs="Arial"/>
                <w:i/>
                <w:sz w:val="20"/>
                <w:szCs w:val="20"/>
                <w:lang w:val="es-ES_tradnl"/>
              </w:rPr>
            </w:pPr>
            <w:r w:rsidRPr="0017325F">
              <w:rPr>
                <w:rFonts w:ascii="Arial" w:hAnsi="Arial" w:cs="Arial"/>
                <w:i/>
                <w:sz w:val="20"/>
                <w:szCs w:val="20"/>
                <w:highlight w:val="yellow"/>
                <w:lang w:val="es-ES_tradnl"/>
              </w:rPr>
              <w:t>Hospital Universitario Puerta de Hierro/IDIPHIM. Madrid</w:t>
            </w:r>
          </w:p>
        </w:tc>
      </w:tr>
      <w:tr w:rsidR="00616450" w:rsidRPr="00931B65" w14:paraId="213EF350" w14:textId="77777777" w:rsidTr="007B4109">
        <w:tc>
          <w:tcPr>
            <w:tcW w:w="3823" w:type="dxa"/>
            <w:vAlign w:val="center"/>
          </w:tcPr>
          <w:p w14:paraId="648B30A8"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Pere Domingo (GeSIDA)</w:t>
            </w:r>
          </w:p>
        </w:tc>
        <w:tc>
          <w:tcPr>
            <w:tcW w:w="5103" w:type="dxa"/>
            <w:vAlign w:val="center"/>
          </w:tcPr>
          <w:p w14:paraId="4AD67B24" w14:textId="77777777" w:rsidR="00616450" w:rsidRPr="003F3B0A" w:rsidRDefault="00616450" w:rsidP="007B4109">
            <w:pPr>
              <w:rPr>
                <w:rFonts w:ascii="Arial" w:hAnsi="Arial"/>
                <w:i/>
                <w:sz w:val="20"/>
                <w:szCs w:val="20"/>
              </w:rPr>
            </w:pPr>
            <w:r w:rsidRPr="003F3B0A">
              <w:rPr>
                <w:rFonts w:ascii="Arial" w:hAnsi="Arial"/>
                <w:i/>
                <w:sz w:val="20"/>
                <w:szCs w:val="20"/>
              </w:rPr>
              <w:t xml:space="preserve">Hospital de la Santa Creu i Sant Pau. </w:t>
            </w:r>
            <w:r w:rsidRPr="005476CD">
              <w:rPr>
                <w:rFonts w:ascii="Arial" w:hAnsi="Arial"/>
                <w:i/>
                <w:sz w:val="20"/>
                <w:szCs w:val="20"/>
              </w:rPr>
              <w:t>IIB Sant Pau.</w:t>
            </w:r>
            <w:r w:rsidRPr="003F3B0A">
              <w:rPr>
                <w:rFonts w:ascii="Arial" w:hAnsi="Arial"/>
                <w:i/>
                <w:sz w:val="20"/>
                <w:szCs w:val="20"/>
              </w:rPr>
              <w:t xml:space="preserve"> Universidad Autónoma de Barcelona, Barcelona</w:t>
            </w:r>
          </w:p>
        </w:tc>
      </w:tr>
      <w:tr w:rsidR="00616450" w:rsidRPr="00931B65" w14:paraId="306F07CA" w14:textId="77777777" w:rsidTr="007B4109">
        <w:trPr>
          <w:trHeight w:val="55"/>
        </w:trPr>
        <w:tc>
          <w:tcPr>
            <w:tcW w:w="3823" w:type="dxa"/>
            <w:vAlign w:val="center"/>
          </w:tcPr>
          <w:p w14:paraId="070918BC"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Carlos Dueñas (PNS)</w:t>
            </w:r>
          </w:p>
        </w:tc>
        <w:tc>
          <w:tcPr>
            <w:tcW w:w="5103" w:type="dxa"/>
            <w:vAlign w:val="center"/>
          </w:tcPr>
          <w:p w14:paraId="0306A184" w14:textId="77777777" w:rsidR="00616450" w:rsidRPr="003F3B0A" w:rsidRDefault="00616450" w:rsidP="007B4109">
            <w:pPr>
              <w:rPr>
                <w:rFonts w:ascii="Arial" w:hAnsi="Arial" w:cs="Arial"/>
                <w:i/>
                <w:sz w:val="20"/>
                <w:szCs w:val="20"/>
              </w:rPr>
            </w:pPr>
            <w:r w:rsidRPr="003F3B0A">
              <w:rPr>
                <w:rFonts w:ascii="Arial" w:hAnsi="Arial" w:cs="Arial"/>
                <w:i/>
                <w:color w:val="000000"/>
                <w:sz w:val="20"/>
                <w:szCs w:val="20"/>
              </w:rPr>
              <w:t>Hospital Clínico Universitario de Valladolid</w:t>
            </w:r>
          </w:p>
        </w:tc>
      </w:tr>
      <w:tr w:rsidR="00616450" w:rsidRPr="00931B65" w14:paraId="72DED594" w14:textId="77777777" w:rsidTr="007B4109">
        <w:tc>
          <w:tcPr>
            <w:tcW w:w="3823" w:type="dxa"/>
            <w:vAlign w:val="center"/>
          </w:tcPr>
          <w:p w14:paraId="2E8AAB20"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Vicente Estrada (PNS)</w:t>
            </w:r>
          </w:p>
        </w:tc>
        <w:tc>
          <w:tcPr>
            <w:tcW w:w="5103" w:type="dxa"/>
            <w:vAlign w:val="center"/>
          </w:tcPr>
          <w:p w14:paraId="18D3B3D5" w14:textId="77777777" w:rsidR="00616450" w:rsidRPr="003F3B0A" w:rsidRDefault="00616450" w:rsidP="007B4109">
            <w:r w:rsidRPr="003F3B0A">
              <w:rPr>
                <w:rFonts w:ascii="Arial" w:hAnsi="Arial" w:cs="Arial"/>
                <w:i/>
                <w:sz w:val="20"/>
                <w:szCs w:val="20"/>
                <w:lang w:val="es-ES_tradnl"/>
              </w:rPr>
              <w:t xml:space="preserve">Hospital Clínico San Carlos. </w:t>
            </w:r>
            <w:r w:rsidRPr="005476CD">
              <w:rPr>
                <w:rFonts w:ascii="Arial" w:hAnsi="Arial" w:cs="Arial"/>
                <w:i/>
                <w:sz w:val="20"/>
                <w:szCs w:val="20"/>
                <w:lang w:val="es-ES_tradnl"/>
              </w:rPr>
              <w:t>IdISSC.</w:t>
            </w:r>
          </w:p>
          <w:p w14:paraId="0CA6B79E" w14:textId="77777777" w:rsidR="00616450" w:rsidRPr="003F3B0A" w:rsidRDefault="00616450"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Madrid</w:t>
            </w:r>
          </w:p>
        </w:tc>
      </w:tr>
      <w:tr w:rsidR="00616450" w:rsidRPr="00931B65" w14:paraId="54E9F5AF" w14:textId="77777777" w:rsidTr="007B4109">
        <w:tc>
          <w:tcPr>
            <w:tcW w:w="3823" w:type="dxa"/>
            <w:vAlign w:val="center"/>
          </w:tcPr>
          <w:p w14:paraId="0D6009D6" w14:textId="77777777" w:rsidR="00616450" w:rsidRDefault="00616450" w:rsidP="007B4109">
            <w:pPr>
              <w:autoSpaceDE w:val="0"/>
              <w:autoSpaceDN w:val="0"/>
              <w:adjustRightInd w:val="0"/>
              <w:spacing w:after="60" w:line="276" w:lineRule="auto"/>
              <w:rPr>
                <w:rFonts w:ascii="Arial" w:hAnsi="Arial" w:cs="Arial"/>
                <w:sz w:val="22"/>
                <w:szCs w:val="22"/>
                <w:lang w:val="es-ES_tradnl"/>
              </w:rPr>
            </w:pPr>
            <w:r w:rsidRPr="00402FF4">
              <w:rPr>
                <w:rFonts w:ascii="Arial" w:hAnsi="Arial" w:cs="Arial"/>
                <w:sz w:val="22"/>
                <w:szCs w:val="22"/>
                <w:lang w:val="es-ES_tradnl"/>
              </w:rPr>
              <w:t>Pepa Galindo (PNS)</w:t>
            </w:r>
          </w:p>
          <w:p w14:paraId="69B47CE8" w14:textId="3DA5B7E3" w:rsidR="008B0A36" w:rsidRPr="008B0A36" w:rsidRDefault="008B0A36" w:rsidP="007B4109">
            <w:pPr>
              <w:autoSpaceDE w:val="0"/>
              <w:autoSpaceDN w:val="0"/>
              <w:adjustRightInd w:val="0"/>
              <w:spacing w:after="60" w:line="276" w:lineRule="auto"/>
              <w:rPr>
                <w:rFonts w:ascii="Arial" w:hAnsi="Arial" w:cs="Arial"/>
                <w:sz w:val="22"/>
                <w:szCs w:val="22"/>
                <w:lang w:val="es-ES_tradnl"/>
              </w:rPr>
            </w:pPr>
            <w:r w:rsidRPr="008B0A36">
              <w:rPr>
                <w:rFonts w:ascii="Arial" w:hAnsi="Arial" w:cs="Arial"/>
                <w:sz w:val="22"/>
                <w:szCs w:val="22"/>
                <w:highlight w:val="yellow"/>
                <w:lang w:val="es-ES_tradnl"/>
              </w:rPr>
              <w:t>Ana González-Cordón (GESIDA)</w:t>
            </w:r>
          </w:p>
        </w:tc>
        <w:tc>
          <w:tcPr>
            <w:tcW w:w="5103" w:type="dxa"/>
            <w:vAlign w:val="center"/>
          </w:tcPr>
          <w:p w14:paraId="379B7EE6" w14:textId="77777777" w:rsidR="00616450" w:rsidRDefault="00616450" w:rsidP="007B4109">
            <w:pPr>
              <w:autoSpaceDE w:val="0"/>
              <w:autoSpaceDN w:val="0"/>
              <w:adjustRightInd w:val="0"/>
              <w:spacing w:after="60" w:line="276" w:lineRule="auto"/>
              <w:rPr>
                <w:rFonts w:ascii="Arial" w:hAnsi="Arial" w:cs="Arial"/>
                <w:i/>
                <w:sz w:val="20"/>
                <w:szCs w:val="20"/>
                <w:lang w:val="es-ES_tradnl"/>
              </w:rPr>
            </w:pPr>
            <w:r w:rsidRPr="00402FF4">
              <w:rPr>
                <w:rFonts w:ascii="Arial" w:hAnsi="Arial" w:cs="Arial"/>
                <w:i/>
                <w:sz w:val="20"/>
                <w:szCs w:val="20"/>
                <w:lang w:val="es-ES_tradnl"/>
              </w:rPr>
              <w:t>Hospital Clínico Universitario. Valencia</w:t>
            </w:r>
          </w:p>
          <w:p w14:paraId="4C28D115" w14:textId="58D03BA6" w:rsidR="008B0A36" w:rsidRPr="00402FF4" w:rsidRDefault="00802EB8" w:rsidP="007B4109">
            <w:pPr>
              <w:autoSpaceDE w:val="0"/>
              <w:autoSpaceDN w:val="0"/>
              <w:adjustRightInd w:val="0"/>
              <w:spacing w:after="60" w:line="276" w:lineRule="auto"/>
              <w:rPr>
                <w:rFonts w:ascii="Arial" w:hAnsi="Arial" w:cs="Arial"/>
                <w:i/>
                <w:sz w:val="20"/>
                <w:szCs w:val="20"/>
                <w:lang w:val="es-ES_tradnl"/>
              </w:rPr>
            </w:pPr>
            <w:r w:rsidRPr="00802EB8">
              <w:rPr>
                <w:rFonts w:ascii="Arial" w:hAnsi="Arial" w:cs="Arial"/>
                <w:i/>
                <w:color w:val="000000"/>
                <w:sz w:val="18"/>
                <w:szCs w:val="18"/>
                <w:highlight w:val="yellow"/>
                <w:lang w:val="es-ES_tradnl"/>
              </w:rPr>
              <w:t xml:space="preserve">Hospital Clinic Universitari. IDIBAPS. </w:t>
            </w:r>
            <w:r w:rsidRPr="00802EB8">
              <w:rPr>
                <w:rFonts w:ascii="Arial" w:hAnsi="Arial" w:cs="Arial"/>
                <w:i/>
                <w:sz w:val="20"/>
                <w:szCs w:val="20"/>
                <w:highlight w:val="yellow"/>
                <w:lang w:val="es-ES_tradnl"/>
              </w:rPr>
              <w:t>UB. Barcelona</w:t>
            </w:r>
          </w:p>
        </w:tc>
      </w:tr>
      <w:tr w:rsidR="00616450" w:rsidRPr="00931B65" w14:paraId="12635CDB" w14:textId="77777777" w:rsidTr="007B4109">
        <w:tc>
          <w:tcPr>
            <w:tcW w:w="3823" w:type="dxa"/>
            <w:vAlign w:val="center"/>
          </w:tcPr>
          <w:p w14:paraId="4BBA1F21" w14:textId="777777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Félix Gutiérrez (PNS)</w:t>
            </w:r>
          </w:p>
        </w:tc>
        <w:tc>
          <w:tcPr>
            <w:tcW w:w="5103" w:type="dxa"/>
            <w:vAlign w:val="center"/>
          </w:tcPr>
          <w:p w14:paraId="3E490576" w14:textId="77777777" w:rsidR="00616450" w:rsidRPr="00402FF4" w:rsidRDefault="00616450" w:rsidP="007B4109">
            <w:pPr>
              <w:spacing w:before="120" w:after="120" w:line="276" w:lineRule="auto"/>
              <w:jc w:val="both"/>
              <w:rPr>
                <w:rFonts w:ascii="Arial" w:hAnsi="Arial" w:cs="Arial"/>
                <w:i/>
                <w:sz w:val="20"/>
                <w:szCs w:val="20"/>
                <w:lang w:val="es-ES_tradnl"/>
              </w:rPr>
            </w:pPr>
            <w:r w:rsidRPr="00402FF4">
              <w:rPr>
                <w:rFonts w:ascii="Arial" w:hAnsi="Arial" w:cs="Arial"/>
                <w:i/>
                <w:iCs/>
                <w:sz w:val="20"/>
                <w:szCs w:val="20"/>
                <w:lang w:val="es-ES_tradnl"/>
              </w:rPr>
              <w:t>Hospital General Universitario de Elche</w:t>
            </w:r>
            <w:r>
              <w:rPr>
                <w:rFonts w:ascii="Arial" w:hAnsi="Arial" w:cs="Arial"/>
                <w:i/>
                <w:iCs/>
                <w:sz w:val="20"/>
                <w:szCs w:val="20"/>
                <w:lang w:val="es-ES_tradnl"/>
              </w:rPr>
              <w:t xml:space="preserve">. </w:t>
            </w:r>
            <w:r w:rsidRPr="00402FF4">
              <w:rPr>
                <w:rFonts w:ascii="Arial" w:hAnsi="Arial" w:cs="Arial"/>
                <w:i/>
                <w:iCs/>
                <w:sz w:val="20"/>
                <w:szCs w:val="20"/>
                <w:lang w:val="es-ES_tradnl"/>
              </w:rPr>
              <w:t>Universidad Miguel Hernández, Alicante</w:t>
            </w:r>
          </w:p>
        </w:tc>
      </w:tr>
      <w:tr w:rsidR="00616450" w:rsidRPr="00931B65" w14:paraId="46E78CA7" w14:textId="77777777" w:rsidTr="007B4109">
        <w:tc>
          <w:tcPr>
            <w:tcW w:w="3823" w:type="dxa"/>
            <w:vAlign w:val="center"/>
          </w:tcPr>
          <w:p w14:paraId="623A8060" w14:textId="0E8D6C2B" w:rsidR="008B0A36" w:rsidRDefault="008B0A36" w:rsidP="007B4109">
            <w:pPr>
              <w:autoSpaceDE w:val="0"/>
              <w:autoSpaceDN w:val="0"/>
              <w:adjustRightInd w:val="0"/>
              <w:spacing w:after="60" w:line="276" w:lineRule="auto"/>
              <w:rPr>
                <w:rFonts w:ascii="Arial" w:hAnsi="Arial" w:cs="Arial"/>
                <w:sz w:val="22"/>
                <w:szCs w:val="22"/>
                <w:lang w:val="es-ES_tradnl"/>
              </w:rPr>
            </w:pPr>
            <w:r w:rsidRPr="00402FF4">
              <w:rPr>
                <w:rFonts w:ascii="Arial" w:hAnsi="Arial" w:cs="Arial"/>
                <w:sz w:val="22"/>
                <w:szCs w:val="22"/>
                <w:lang w:val="es-ES_tradnl"/>
              </w:rPr>
              <w:t>Arkaitz Imaz</w:t>
            </w:r>
            <w:r>
              <w:rPr>
                <w:rFonts w:ascii="Arial" w:hAnsi="Arial" w:cs="Arial"/>
                <w:sz w:val="22"/>
                <w:szCs w:val="22"/>
                <w:lang w:val="es-ES_tradnl"/>
              </w:rPr>
              <w:t xml:space="preserve"> (GeSIDA)</w:t>
            </w:r>
          </w:p>
          <w:p w14:paraId="627B54A8" w14:textId="77777777" w:rsidR="008B0A36" w:rsidRDefault="008B0A36" w:rsidP="007B4109">
            <w:pPr>
              <w:autoSpaceDE w:val="0"/>
              <w:autoSpaceDN w:val="0"/>
              <w:adjustRightInd w:val="0"/>
              <w:spacing w:after="60" w:line="276" w:lineRule="auto"/>
              <w:rPr>
                <w:rFonts w:ascii="Arial" w:hAnsi="Arial" w:cs="Arial"/>
                <w:sz w:val="22"/>
                <w:szCs w:val="22"/>
                <w:lang w:val="es-ES_tradnl"/>
              </w:rPr>
            </w:pPr>
          </w:p>
          <w:p w14:paraId="08EE00FF" w14:textId="23648477" w:rsidR="00616450" w:rsidRPr="00402FF4" w:rsidRDefault="00616450"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José Antonio Iribarren (GeSIDA)</w:t>
            </w:r>
          </w:p>
        </w:tc>
        <w:tc>
          <w:tcPr>
            <w:tcW w:w="5103" w:type="dxa"/>
            <w:vAlign w:val="center"/>
          </w:tcPr>
          <w:p w14:paraId="37FA0B39" w14:textId="77777777" w:rsidR="008B0A36" w:rsidRDefault="008B0A36"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 de Bellvitge. IDIBELL. L’Hospitalet de Llobregat, Barcelona</w:t>
            </w:r>
            <w:r w:rsidRPr="00402FF4">
              <w:rPr>
                <w:rFonts w:ascii="Arial" w:hAnsi="Arial" w:cs="Arial"/>
                <w:i/>
                <w:sz w:val="20"/>
                <w:szCs w:val="20"/>
                <w:lang w:val="es-ES_tradnl"/>
              </w:rPr>
              <w:t xml:space="preserve"> </w:t>
            </w:r>
          </w:p>
          <w:p w14:paraId="2DA8FC65" w14:textId="6476ADE5" w:rsidR="00616450" w:rsidRPr="00402FF4" w:rsidRDefault="00616450" w:rsidP="007B4109">
            <w:pPr>
              <w:autoSpaceDE w:val="0"/>
              <w:autoSpaceDN w:val="0"/>
              <w:adjustRightInd w:val="0"/>
              <w:spacing w:after="60" w:line="276" w:lineRule="auto"/>
              <w:rPr>
                <w:rFonts w:ascii="Arial" w:hAnsi="Arial" w:cs="Arial"/>
                <w:i/>
                <w:sz w:val="20"/>
                <w:szCs w:val="20"/>
                <w:lang w:val="es-ES_tradnl"/>
              </w:rPr>
            </w:pPr>
            <w:r w:rsidRPr="00402FF4">
              <w:rPr>
                <w:rFonts w:ascii="Arial" w:hAnsi="Arial" w:cs="Arial"/>
                <w:i/>
                <w:sz w:val="20"/>
                <w:szCs w:val="20"/>
                <w:lang w:val="es-ES_tradnl"/>
              </w:rPr>
              <w:t>Hospital Universitario Donostia. Instituto Biodonostia. San Sebastián</w:t>
            </w:r>
          </w:p>
        </w:tc>
      </w:tr>
      <w:tr w:rsidR="00393948" w:rsidRPr="00931B65" w14:paraId="777B2605" w14:textId="77777777" w:rsidTr="007B4109">
        <w:tc>
          <w:tcPr>
            <w:tcW w:w="3823" w:type="dxa"/>
            <w:vAlign w:val="center"/>
          </w:tcPr>
          <w:p w14:paraId="2CD7C306" w14:textId="6BCEF247" w:rsidR="00393948" w:rsidRPr="00402FF4" w:rsidRDefault="00393948"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Ana Mariño (PNS)</w:t>
            </w:r>
          </w:p>
        </w:tc>
        <w:tc>
          <w:tcPr>
            <w:tcW w:w="5103" w:type="dxa"/>
            <w:vAlign w:val="center"/>
          </w:tcPr>
          <w:p w14:paraId="6C619AC3" w14:textId="6EBA1D0F"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Complexo Hospitalario Universitario de Ferrol. El Ferrol.</w:t>
            </w:r>
          </w:p>
        </w:tc>
      </w:tr>
      <w:tr w:rsidR="00393948" w:rsidRPr="00931B65" w14:paraId="06508D1B" w14:textId="77777777" w:rsidTr="007B4109">
        <w:tc>
          <w:tcPr>
            <w:tcW w:w="3823" w:type="dxa"/>
            <w:vAlign w:val="center"/>
          </w:tcPr>
          <w:p w14:paraId="4A6E7F55" w14:textId="28BF7807" w:rsidR="00393948" w:rsidRPr="00402FF4" w:rsidRDefault="00393948"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Celia Miralles (PNS)</w:t>
            </w:r>
          </w:p>
        </w:tc>
        <w:tc>
          <w:tcPr>
            <w:tcW w:w="5103" w:type="dxa"/>
            <w:vAlign w:val="center"/>
          </w:tcPr>
          <w:p w14:paraId="0C17C0EA" w14:textId="5D90316F"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color w:val="000000"/>
                <w:sz w:val="20"/>
                <w:szCs w:val="20"/>
              </w:rPr>
              <w:t>Hospital Álvaro Cunqueiro. Vigo.</w:t>
            </w:r>
          </w:p>
        </w:tc>
      </w:tr>
      <w:tr w:rsidR="00393948" w:rsidRPr="00931B65" w14:paraId="5ABCB957" w14:textId="77777777" w:rsidTr="007B4109">
        <w:tc>
          <w:tcPr>
            <w:tcW w:w="3823" w:type="dxa"/>
            <w:vAlign w:val="center"/>
          </w:tcPr>
          <w:p w14:paraId="5B41EBD8" w14:textId="4EA02169" w:rsidR="00393948" w:rsidRPr="00402FF4" w:rsidRDefault="00393948" w:rsidP="007B4109">
            <w:pPr>
              <w:autoSpaceDE w:val="0"/>
              <w:autoSpaceDN w:val="0"/>
              <w:adjustRightInd w:val="0"/>
              <w:spacing w:after="60" w:line="276" w:lineRule="auto"/>
              <w:rPr>
                <w:rFonts w:ascii="Arial" w:hAnsi="Arial" w:cs="Arial"/>
                <w:lang w:val="es-ES_tradnl"/>
              </w:rPr>
            </w:pPr>
            <w:r w:rsidRPr="00402FF4">
              <w:rPr>
                <w:rFonts w:ascii="Arial" w:hAnsi="Arial" w:cs="Arial"/>
                <w:sz w:val="22"/>
                <w:szCs w:val="22"/>
                <w:lang w:val="es-ES_tradnl"/>
              </w:rPr>
              <w:t>José M. Miró (GeSIDA)</w:t>
            </w:r>
          </w:p>
        </w:tc>
        <w:tc>
          <w:tcPr>
            <w:tcW w:w="5103" w:type="dxa"/>
            <w:vAlign w:val="center"/>
          </w:tcPr>
          <w:p w14:paraId="0B01AFAA" w14:textId="490579F9"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color w:val="000000"/>
                <w:sz w:val="18"/>
                <w:szCs w:val="18"/>
                <w:lang w:val="es-ES_tradnl"/>
              </w:rPr>
              <w:t xml:space="preserve">Hospital Clinic Universitari. IDIBAPS. </w:t>
            </w:r>
            <w:r w:rsidRPr="003F3B0A">
              <w:rPr>
                <w:rFonts w:ascii="Arial" w:hAnsi="Arial" w:cs="Arial"/>
                <w:i/>
                <w:sz w:val="20"/>
                <w:szCs w:val="20"/>
                <w:lang w:val="es-ES_tradnl"/>
              </w:rPr>
              <w:t>Universidad de Barcelona. Barcelona</w:t>
            </w:r>
          </w:p>
        </w:tc>
      </w:tr>
      <w:tr w:rsidR="00393948" w:rsidRPr="00931B65" w14:paraId="24130A1F" w14:textId="77777777" w:rsidTr="007B4109">
        <w:tc>
          <w:tcPr>
            <w:tcW w:w="3823" w:type="dxa"/>
            <w:vAlign w:val="center"/>
          </w:tcPr>
          <w:p w14:paraId="151F1B5F" w14:textId="157EF4AA" w:rsidR="00393948" w:rsidRPr="00402FF4"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María Luisa Montes (GeSIDA)</w:t>
            </w:r>
          </w:p>
        </w:tc>
        <w:tc>
          <w:tcPr>
            <w:tcW w:w="5103" w:type="dxa"/>
            <w:vAlign w:val="center"/>
          </w:tcPr>
          <w:p w14:paraId="6569BA0A" w14:textId="495CBD81"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La Paz. IdiPAZ. Madrid</w:t>
            </w:r>
          </w:p>
        </w:tc>
      </w:tr>
      <w:tr w:rsidR="00393948" w:rsidRPr="00931B65" w14:paraId="58297FE5" w14:textId="77777777" w:rsidTr="007B4109">
        <w:tc>
          <w:tcPr>
            <w:tcW w:w="3823" w:type="dxa"/>
            <w:vAlign w:val="center"/>
          </w:tcPr>
          <w:p w14:paraId="0977FDBD" w14:textId="5025B026" w:rsidR="00393948" w:rsidRPr="00402FF4"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Santiago Moreno (GeSIDA)</w:t>
            </w:r>
          </w:p>
        </w:tc>
        <w:tc>
          <w:tcPr>
            <w:tcW w:w="5103" w:type="dxa"/>
            <w:vAlign w:val="center"/>
          </w:tcPr>
          <w:p w14:paraId="5B4DF128" w14:textId="4427A24D" w:rsidR="00393948" w:rsidRPr="003F3B0A" w:rsidRDefault="00393948" w:rsidP="007B4109">
            <w:pPr>
              <w:rPr>
                <w:rFonts w:ascii="Arial" w:hAnsi="Arial" w:cs="Arial"/>
                <w:i/>
                <w:color w:val="000000"/>
                <w:sz w:val="20"/>
                <w:szCs w:val="20"/>
              </w:rPr>
            </w:pPr>
            <w:r w:rsidRPr="003F3B0A">
              <w:rPr>
                <w:rFonts w:ascii="Arial" w:hAnsi="Arial" w:cs="Arial"/>
                <w:i/>
                <w:sz w:val="20"/>
                <w:szCs w:val="20"/>
                <w:lang w:val="es-ES_tradnl"/>
              </w:rPr>
              <w:t>Hospital Ramón y Cajal. IRYCIS. Madrid</w:t>
            </w:r>
          </w:p>
        </w:tc>
      </w:tr>
      <w:tr w:rsidR="00393948" w:rsidRPr="00491A21" w14:paraId="0D32FB5C" w14:textId="77777777" w:rsidTr="007B4109">
        <w:tc>
          <w:tcPr>
            <w:tcW w:w="3823" w:type="dxa"/>
            <w:vAlign w:val="center"/>
          </w:tcPr>
          <w:p w14:paraId="5923E4B7" w14:textId="2741AB97" w:rsidR="00393948" w:rsidRPr="003F3B0A" w:rsidRDefault="00393948" w:rsidP="007B4109">
            <w:pPr>
              <w:autoSpaceDE w:val="0"/>
              <w:autoSpaceDN w:val="0"/>
              <w:adjustRightInd w:val="0"/>
              <w:spacing w:after="60" w:line="276" w:lineRule="auto"/>
              <w:rPr>
                <w:rFonts w:ascii="Arial" w:hAnsi="Arial" w:cs="Arial"/>
                <w:sz w:val="22"/>
                <w:szCs w:val="22"/>
                <w:lang w:val="es-ES_tradnl"/>
              </w:rPr>
            </w:pPr>
            <w:r w:rsidRPr="00393948">
              <w:rPr>
                <w:rFonts w:ascii="Arial" w:hAnsi="Arial" w:cs="Arial"/>
                <w:sz w:val="22"/>
                <w:szCs w:val="22"/>
                <w:highlight w:val="yellow"/>
                <w:lang w:val="es-ES_tradnl"/>
              </w:rPr>
              <w:t>Roger Paredes (GESIDA)</w:t>
            </w:r>
          </w:p>
        </w:tc>
        <w:tc>
          <w:tcPr>
            <w:tcW w:w="5103" w:type="dxa"/>
            <w:vAlign w:val="center"/>
          </w:tcPr>
          <w:p w14:paraId="1FCD6F73" w14:textId="41A3E3BB" w:rsidR="00491A21" w:rsidRPr="00491A21" w:rsidRDefault="00491A21" w:rsidP="00491A21">
            <w:pPr>
              <w:rPr>
                <w:lang w:val="en-US"/>
              </w:rPr>
            </w:pPr>
            <w:r w:rsidRPr="00491A21">
              <w:rPr>
                <w:rFonts w:ascii="Arial" w:hAnsi="Arial" w:cs="Arial"/>
                <w:i/>
                <w:sz w:val="20"/>
                <w:szCs w:val="20"/>
                <w:highlight w:val="yellow"/>
                <w:lang w:val="en-US"/>
              </w:rPr>
              <w:t xml:space="preserve">Hospital Germans Trias i Pujol. </w:t>
            </w:r>
            <w:r w:rsidR="007C23CF" w:rsidRPr="00865FA0">
              <w:rPr>
                <w:rFonts w:ascii="Arial" w:eastAsia="MS Mincho" w:hAnsi="Arial" w:cs="Arial"/>
                <w:i/>
                <w:sz w:val="20"/>
                <w:szCs w:val="20"/>
                <w:highlight w:val="yellow"/>
                <w:lang w:val="en-US"/>
              </w:rPr>
              <w:t>IGTP</w:t>
            </w:r>
            <w:r w:rsidR="007C23CF">
              <w:rPr>
                <w:rFonts w:ascii="Arial" w:eastAsia="MS Mincho" w:hAnsi="Arial" w:cs="Arial"/>
                <w:i/>
                <w:sz w:val="20"/>
                <w:szCs w:val="20"/>
                <w:highlight w:val="yellow"/>
                <w:lang w:val="en-US"/>
              </w:rPr>
              <w:t>.</w:t>
            </w:r>
            <w:r w:rsidR="007C23CF" w:rsidRPr="00491A21">
              <w:rPr>
                <w:rFonts w:ascii="Arial" w:hAnsi="Arial" w:cs="Arial"/>
                <w:i/>
                <w:sz w:val="20"/>
                <w:szCs w:val="20"/>
                <w:highlight w:val="yellow"/>
                <w:lang w:val="en-US"/>
              </w:rPr>
              <w:t xml:space="preserve"> </w:t>
            </w:r>
            <w:r w:rsidRPr="00491A21">
              <w:rPr>
                <w:rFonts w:ascii="Arial" w:hAnsi="Arial" w:cs="Arial"/>
                <w:i/>
                <w:sz w:val="20"/>
                <w:szCs w:val="20"/>
                <w:highlight w:val="yellow"/>
                <w:lang w:val="en-US"/>
              </w:rPr>
              <w:t>Badalona</w:t>
            </w:r>
          </w:p>
          <w:p w14:paraId="510A24CF" w14:textId="77777777" w:rsidR="00393948" w:rsidRPr="00491A21" w:rsidRDefault="00393948" w:rsidP="007B4109">
            <w:pPr>
              <w:rPr>
                <w:rFonts w:ascii="Arial" w:hAnsi="Arial" w:cs="Arial"/>
                <w:i/>
                <w:sz w:val="20"/>
                <w:szCs w:val="20"/>
                <w:lang w:val="en-US"/>
              </w:rPr>
            </w:pPr>
          </w:p>
        </w:tc>
      </w:tr>
      <w:tr w:rsidR="00393948" w:rsidRPr="00931B65" w14:paraId="7702563B" w14:textId="77777777" w:rsidTr="007B4109">
        <w:tc>
          <w:tcPr>
            <w:tcW w:w="3823" w:type="dxa"/>
            <w:vAlign w:val="center"/>
          </w:tcPr>
          <w:p w14:paraId="4B1C5167" w14:textId="61223F76" w:rsidR="00393948" w:rsidRPr="00402FF4" w:rsidRDefault="00393948" w:rsidP="007B4109">
            <w:pPr>
              <w:autoSpaceDE w:val="0"/>
              <w:autoSpaceDN w:val="0"/>
              <w:adjustRightInd w:val="0"/>
              <w:spacing w:after="60" w:line="276" w:lineRule="auto"/>
              <w:rPr>
                <w:rFonts w:ascii="Arial" w:hAnsi="Arial" w:cs="Arial"/>
                <w:lang w:val="es-ES_tradnl"/>
              </w:rPr>
            </w:pPr>
            <w:r>
              <w:rPr>
                <w:rFonts w:ascii="Arial" w:hAnsi="Arial" w:cs="Arial"/>
                <w:sz w:val="22"/>
                <w:szCs w:val="22"/>
                <w:lang w:val="es-ES_tradnl"/>
              </w:rPr>
              <w:lastRenderedPageBreak/>
              <w:t>Jose Antonio Pérez Molin</w:t>
            </w:r>
            <w:r w:rsidR="0017325F">
              <w:rPr>
                <w:rFonts w:ascii="Arial" w:hAnsi="Arial" w:cs="Arial"/>
                <w:sz w:val="22"/>
                <w:szCs w:val="22"/>
                <w:lang w:val="es-ES_tradnl"/>
              </w:rPr>
              <w:t>a</w:t>
            </w:r>
            <w:r w:rsidRPr="003F3B0A">
              <w:rPr>
                <w:rFonts w:ascii="Arial" w:hAnsi="Arial" w:cs="Arial"/>
                <w:sz w:val="22"/>
                <w:szCs w:val="22"/>
                <w:lang w:val="es-ES_tradnl"/>
              </w:rPr>
              <w:t xml:space="preserve"> (GeSIDA)</w:t>
            </w:r>
          </w:p>
        </w:tc>
        <w:tc>
          <w:tcPr>
            <w:tcW w:w="5103" w:type="dxa"/>
            <w:vAlign w:val="center"/>
          </w:tcPr>
          <w:p w14:paraId="186BB4C3" w14:textId="6901BB2B"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Ramón y Cajal. IRYCIS. Madrid</w:t>
            </w:r>
          </w:p>
        </w:tc>
      </w:tr>
      <w:tr w:rsidR="00393948" w:rsidRPr="003F3B0A" w14:paraId="7B4AB511" w14:textId="77777777" w:rsidTr="007B4109">
        <w:tc>
          <w:tcPr>
            <w:tcW w:w="3823" w:type="dxa"/>
            <w:vAlign w:val="center"/>
          </w:tcPr>
          <w:p w14:paraId="2FB31AE2" w14:textId="0EC43A7D"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Federico Pulido (GeSIDA)</w:t>
            </w:r>
            <w:r w:rsidRPr="003F3B0A">
              <w:rPr>
                <w:rFonts w:ascii="Arial" w:hAnsi="Arial" w:cs="Arial"/>
                <w:sz w:val="22"/>
                <w:szCs w:val="22"/>
                <w:lang w:val="es-ES_tradnl"/>
              </w:rPr>
              <w:tab/>
            </w:r>
          </w:p>
        </w:tc>
        <w:tc>
          <w:tcPr>
            <w:tcW w:w="5103" w:type="dxa"/>
            <w:vAlign w:val="center"/>
          </w:tcPr>
          <w:p w14:paraId="051B16EA" w14:textId="5CDCEC9F"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12 Octubre-Instituto de Investigación 1+12. Madrid</w:t>
            </w:r>
          </w:p>
        </w:tc>
      </w:tr>
      <w:tr w:rsidR="00393948" w:rsidRPr="003F3B0A" w14:paraId="746EB3AB" w14:textId="77777777" w:rsidTr="007B4109">
        <w:tc>
          <w:tcPr>
            <w:tcW w:w="3823" w:type="dxa"/>
            <w:vAlign w:val="center"/>
          </w:tcPr>
          <w:p w14:paraId="7C1157DD" w14:textId="23F2D27E" w:rsidR="00393948" w:rsidRPr="003F3B0A" w:rsidRDefault="00393948" w:rsidP="007B4109">
            <w:pPr>
              <w:autoSpaceDE w:val="0"/>
              <w:autoSpaceDN w:val="0"/>
              <w:adjustRightInd w:val="0"/>
              <w:spacing w:after="60" w:line="276" w:lineRule="auto"/>
              <w:rPr>
                <w:rFonts w:ascii="Arial" w:hAnsi="Arial" w:cs="Arial"/>
                <w:lang w:val="es-ES_tradnl"/>
              </w:rPr>
            </w:pPr>
            <w:r w:rsidRPr="007C23CF">
              <w:rPr>
                <w:rFonts w:ascii="Arial" w:hAnsi="Arial" w:cs="Arial"/>
                <w:sz w:val="22"/>
                <w:szCs w:val="22"/>
                <w:highlight w:val="yellow"/>
                <w:lang w:val="es-ES_tradnl"/>
              </w:rPr>
              <w:t>Est</w:t>
            </w:r>
            <w:r w:rsidR="0017325F" w:rsidRPr="007C23CF">
              <w:rPr>
                <w:rFonts w:ascii="Arial" w:hAnsi="Arial" w:cs="Arial"/>
                <w:sz w:val="22"/>
                <w:szCs w:val="22"/>
                <w:highlight w:val="yellow"/>
                <w:lang w:val="es-ES_tradnl"/>
              </w:rPr>
              <w:t>eve</w:t>
            </w:r>
            <w:r w:rsidRPr="003F3B0A">
              <w:rPr>
                <w:rFonts w:ascii="Arial" w:hAnsi="Arial" w:cs="Arial"/>
                <w:sz w:val="22"/>
                <w:szCs w:val="22"/>
                <w:lang w:val="es-ES_tradnl"/>
              </w:rPr>
              <w:t xml:space="preserve"> Ribera (GeSIDA)</w:t>
            </w:r>
          </w:p>
        </w:tc>
        <w:tc>
          <w:tcPr>
            <w:tcW w:w="5103" w:type="dxa"/>
            <w:vAlign w:val="center"/>
          </w:tcPr>
          <w:p w14:paraId="4064C1E1" w14:textId="26F34D12"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 Vall d’ Hebron. VHIR. Barcelona</w:t>
            </w:r>
          </w:p>
        </w:tc>
      </w:tr>
      <w:tr w:rsidR="00393948" w:rsidRPr="003F3B0A" w14:paraId="49015205" w14:textId="77777777" w:rsidTr="007B4109">
        <w:tc>
          <w:tcPr>
            <w:tcW w:w="3823" w:type="dxa"/>
            <w:vAlign w:val="center"/>
          </w:tcPr>
          <w:p w14:paraId="55EFACA4" w14:textId="6128686F"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Antonio Rivero (GeSIDA)</w:t>
            </w:r>
          </w:p>
        </w:tc>
        <w:tc>
          <w:tcPr>
            <w:tcW w:w="5103" w:type="dxa"/>
            <w:vAlign w:val="center"/>
          </w:tcPr>
          <w:p w14:paraId="66BF03CA" w14:textId="0C33FF9A"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Reina Sofía. IMIBIC. Córdoba</w:t>
            </w:r>
          </w:p>
        </w:tc>
      </w:tr>
      <w:tr w:rsidR="00393948" w:rsidRPr="003F3B0A" w14:paraId="5A230DF0" w14:textId="77777777" w:rsidTr="007B4109">
        <w:tc>
          <w:tcPr>
            <w:tcW w:w="3823" w:type="dxa"/>
            <w:vAlign w:val="center"/>
          </w:tcPr>
          <w:p w14:paraId="52B46A66" w14:textId="03265B98"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Rafael Rubio (GeSIDA)</w:t>
            </w:r>
          </w:p>
        </w:tc>
        <w:tc>
          <w:tcPr>
            <w:tcW w:w="5103" w:type="dxa"/>
            <w:vAlign w:val="center"/>
          </w:tcPr>
          <w:p w14:paraId="6E62AA10" w14:textId="6C5BED5A"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12 Octubre. Instituto de Investigación i+12, Universidad Complutense. Madrid</w:t>
            </w:r>
          </w:p>
        </w:tc>
      </w:tr>
      <w:tr w:rsidR="00393948" w:rsidRPr="003F3B0A" w14:paraId="2DF58702" w14:textId="77777777" w:rsidTr="007B4109">
        <w:tc>
          <w:tcPr>
            <w:tcW w:w="3823" w:type="dxa"/>
            <w:vAlign w:val="center"/>
          </w:tcPr>
          <w:p w14:paraId="0DDAA035" w14:textId="237F96CB"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Pablo Ryan (GeSIDA)</w:t>
            </w:r>
          </w:p>
        </w:tc>
        <w:tc>
          <w:tcPr>
            <w:tcW w:w="5103" w:type="dxa"/>
            <w:vAlign w:val="center"/>
          </w:tcPr>
          <w:p w14:paraId="1740D9F0" w14:textId="5BF97D3B"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color w:val="000000"/>
                <w:sz w:val="20"/>
                <w:szCs w:val="20"/>
                <w:lang w:val="es-ES_tradnl"/>
              </w:rPr>
              <w:t>Hospital Universitario Infanta Leonor. Universidad Complutense. Madrid.</w:t>
            </w:r>
          </w:p>
        </w:tc>
      </w:tr>
      <w:tr w:rsidR="00393948" w:rsidRPr="003F3B0A" w14:paraId="7C0A3DCA" w14:textId="77777777" w:rsidTr="007B4109">
        <w:tc>
          <w:tcPr>
            <w:tcW w:w="3823" w:type="dxa"/>
            <w:vAlign w:val="center"/>
          </w:tcPr>
          <w:p w14:paraId="3F4921C2" w14:textId="56B2725B"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Matilde Sánchez-Conde (GeSIDA)</w:t>
            </w:r>
          </w:p>
        </w:tc>
        <w:tc>
          <w:tcPr>
            <w:tcW w:w="5103" w:type="dxa"/>
            <w:vAlign w:val="center"/>
          </w:tcPr>
          <w:p w14:paraId="73A0D4A2" w14:textId="44C02615"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 xml:space="preserve">Hospital </w:t>
            </w:r>
            <w:r w:rsidRPr="003F3B0A">
              <w:rPr>
                <w:rFonts w:ascii="Calibri" w:hAnsi="Calibri"/>
                <w:i/>
                <w:color w:val="000000"/>
                <w:sz w:val="22"/>
                <w:szCs w:val="22"/>
                <w:lang w:val="es-ES_tradnl"/>
              </w:rPr>
              <w:t>Ramón y Cajal. IRYCIS. Madrid</w:t>
            </w:r>
          </w:p>
        </w:tc>
      </w:tr>
      <w:tr w:rsidR="00393948" w:rsidRPr="003F3B0A" w14:paraId="6659E2A2" w14:textId="77777777" w:rsidTr="007B4109">
        <w:trPr>
          <w:trHeight w:val="704"/>
        </w:trPr>
        <w:tc>
          <w:tcPr>
            <w:tcW w:w="3823" w:type="dxa"/>
            <w:vAlign w:val="center"/>
          </w:tcPr>
          <w:p w14:paraId="2FF160CD" w14:textId="01AB7B26"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José Sanz Moreno (PNS)</w:t>
            </w:r>
          </w:p>
        </w:tc>
        <w:tc>
          <w:tcPr>
            <w:tcW w:w="5103" w:type="dxa"/>
            <w:vAlign w:val="center"/>
          </w:tcPr>
          <w:p w14:paraId="5A1B5A09" w14:textId="58C6F062"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Príncipe de Asturias. Alcalá de Henares</w:t>
            </w:r>
          </w:p>
        </w:tc>
      </w:tr>
      <w:tr w:rsidR="00393948" w:rsidRPr="003F3B0A" w14:paraId="4A2A3E75" w14:textId="77777777" w:rsidTr="007B4109">
        <w:tc>
          <w:tcPr>
            <w:tcW w:w="3823" w:type="dxa"/>
            <w:vAlign w:val="center"/>
          </w:tcPr>
          <w:p w14:paraId="2158591D" w14:textId="2FC83F5A"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Jesús Sanz Sanz (PNS)</w:t>
            </w:r>
          </w:p>
        </w:tc>
        <w:tc>
          <w:tcPr>
            <w:tcW w:w="5103" w:type="dxa"/>
            <w:vAlign w:val="center"/>
          </w:tcPr>
          <w:p w14:paraId="555F7577" w14:textId="34C655E3" w:rsidR="00393948" w:rsidRPr="003F3B0A" w:rsidRDefault="00393948" w:rsidP="007B4109">
            <w:pPr>
              <w:rPr>
                <w:rFonts w:ascii="Arial" w:hAnsi="Arial" w:cs="Arial"/>
                <w:i/>
                <w:color w:val="000000"/>
                <w:sz w:val="20"/>
                <w:szCs w:val="20"/>
                <w:lang w:val="es-ES_tradnl"/>
              </w:rPr>
            </w:pPr>
            <w:r w:rsidRPr="003F3B0A">
              <w:rPr>
                <w:rFonts w:ascii="Arial" w:hAnsi="Arial" w:cs="Arial"/>
                <w:i/>
                <w:sz w:val="20"/>
                <w:szCs w:val="20"/>
                <w:lang w:val="es-ES_tradnl"/>
              </w:rPr>
              <w:t>Hospital Universitario de la Princesa. IIS La Princesa. Madrid</w:t>
            </w:r>
          </w:p>
        </w:tc>
      </w:tr>
      <w:tr w:rsidR="00393948" w:rsidRPr="003F3B0A" w14:paraId="2EA062E2" w14:textId="77777777" w:rsidTr="007B4109">
        <w:tc>
          <w:tcPr>
            <w:tcW w:w="3823" w:type="dxa"/>
            <w:vAlign w:val="center"/>
          </w:tcPr>
          <w:p w14:paraId="51AADB61" w14:textId="361FD56F"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Sergio Serrano (PNS)</w:t>
            </w:r>
          </w:p>
        </w:tc>
        <w:tc>
          <w:tcPr>
            <w:tcW w:w="5103" w:type="dxa"/>
            <w:vAlign w:val="center"/>
          </w:tcPr>
          <w:p w14:paraId="22AF0004" w14:textId="3D511E5F" w:rsidR="00393948" w:rsidRPr="003F3B0A" w:rsidRDefault="00393948" w:rsidP="007B4109">
            <w:pPr>
              <w:rPr>
                <w:sz w:val="20"/>
                <w:szCs w:val="20"/>
                <w:lang w:val="es-ES_tradnl"/>
              </w:rPr>
            </w:pPr>
            <w:r w:rsidRPr="003F3B0A">
              <w:rPr>
                <w:rFonts w:ascii="Arial" w:hAnsi="Arial" w:cs="Arial"/>
                <w:i/>
                <w:sz w:val="20"/>
                <w:szCs w:val="20"/>
                <w:lang w:val="es-ES_tradnl"/>
              </w:rPr>
              <w:t>Hospital Ramón y Cajal. IRYCIS. Madrid</w:t>
            </w:r>
          </w:p>
        </w:tc>
      </w:tr>
      <w:tr w:rsidR="00393948" w:rsidRPr="003F3B0A" w14:paraId="51EA77A9" w14:textId="77777777" w:rsidTr="007B4109">
        <w:tc>
          <w:tcPr>
            <w:tcW w:w="3823" w:type="dxa"/>
            <w:vAlign w:val="center"/>
          </w:tcPr>
          <w:p w14:paraId="59FE523D" w14:textId="475B4150" w:rsidR="00393948" w:rsidRPr="003F3B0A" w:rsidRDefault="0017325F" w:rsidP="007B4109">
            <w:pPr>
              <w:autoSpaceDE w:val="0"/>
              <w:autoSpaceDN w:val="0"/>
              <w:adjustRightInd w:val="0"/>
              <w:spacing w:after="60" w:line="276" w:lineRule="auto"/>
              <w:rPr>
                <w:rFonts w:ascii="Arial" w:hAnsi="Arial" w:cs="Arial"/>
                <w:lang w:val="es-ES_tradnl"/>
              </w:rPr>
            </w:pPr>
            <w:r w:rsidRPr="0017325F">
              <w:rPr>
                <w:rFonts w:ascii="Arial" w:hAnsi="Arial" w:cs="Arial"/>
                <w:sz w:val="22"/>
                <w:szCs w:val="22"/>
                <w:highlight w:val="yellow"/>
                <w:lang w:val="es-ES_tradnl"/>
              </w:rPr>
              <w:t>Inés Suárez</w:t>
            </w:r>
            <w:r w:rsidR="00393948" w:rsidRPr="0017325F">
              <w:rPr>
                <w:rFonts w:ascii="Arial" w:hAnsi="Arial" w:cs="Arial"/>
                <w:sz w:val="22"/>
                <w:szCs w:val="22"/>
                <w:highlight w:val="yellow"/>
                <w:lang w:val="es-ES_tradnl"/>
              </w:rPr>
              <w:t xml:space="preserve"> (GeSIDA)</w:t>
            </w:r>
          </w:p>
        </w:tc>
        <w:tc>
          <w:tcPr>
            <w:tcW w:w="5103" w:type="dxa"/>
            <w:vAlign w:val="center"/>
          </w:tcPr>
          <w:p w14:paraId="0CA5DBB5" w14:textId="0C2C5A55" w:rsidR="00393948" w:rsidRPr="00491A21" w:rsidRDefault="00491A21" w:rsidP="00491A21">
            <w:pPr>
              <w:rPr>
                <w:rFonts w:ascii="Arial" w:hAnsi="Arial" w:cs="Arial"/>
                <w:i/>
                <w:sz w:val="20"/>
                <w:szCs w:val="20"/>
                <w:highlight w:val="yellow"/>
                <w:lang w:val="es-ES_tradnl"/>
              </w:rPr>
            </w:pPr>
            <w:r w:rsidRPr="00491A21">
              <w:rPr>
                <w:rFonts w:ascii="Arial" w:hAnsi="Arial" w:cs="Arial"/>
                <w:i/>
                <w:sz w:val="20"/>
                <w:szCs w:val="20"/>
                <w:highlight w:val="yellow"/>
                <w:lang w:val="es-ES_tradnl"/>
              </w:rPr>
              <w:t>Hospital Infanta Sofía. Madrid</w:t>
            </w:r>
          </w:p>
        </w:tc>
      </w:tr>
      <w:tr w:rsidR="0017325F" w:rsidRPr="003F3B0A" w14:paraId="47BFEB73" w14:textId="77777777" w:rsidTr="007B4109">
        <w:tc>
          <w:tcPr>
            <w:tcW w:w="3823" w:type="dxa"/>
            <w:vAlign w:val="center"/>
          </w:tcPr>
          <w:p w14:paraId="1D4E1FCF" w14:textId="394FE7A2" w:rsidR="0017325F" w:rsidRPr="0017325F" w:rsidRDefault="0017325F" w:rsidP="007B4109">
            <w:pPr>
              <w:autoSpaceDE w:val="0"/>
              <w:autoSpaceDN w:val="0"/>
              <w:adjustRightInd w:val="0"/>
              <w:spacing w:after="60" w:line="276" w:lineRule="auto"/>
              <w:rPr>
                <w:rFonts w:ascii="Arial" w:hAnsi="Arial" w:cs="Arial"/>
                <w:sz w:val="22"/>
                <w:szCs w:val="22"/>
                <w:highlight w:val="yellow"/>
                <w:lang w:val="es-ES_tradnl"/>
              </w:rPr>
            </w:pPr>
            <w:r w:rsidRPr="0017325F">
              <w:rPr>
                <w:rFonts w:ascii="Arial" w:hAnsi="Arial" w:cs="Arial"/>
                <w:sz w:val="22"/>
                <w:szCs w:val="22"/>
                <w:highlight w:val="yellow"/>
                <w:lang w:val="es-ES_tradnl"/>
              </w:rPr>
              <w:t>Miguel Torralba (GeSIDA)</w:t>
            </w:r>
          </w:p>
        </w:tc>
        <w:tc>
          <w:tcPr>
            <w:tcW w:w="5103" w:type="dxa"/>
            <w:vAlign w:val="center"/>
          </w:tcPr>
          <w:p w14:paraId="5926FCDF" w14:textId="2542A8F5" w:rsidR="0017325F" w:rsidRPr="003F3B0A" w:rsidRDefault="00491A21" w:rsidP="007B4109">
            <w:pPr>
              <w:autoSpaceDE w:val="0"/>
              <w:autoSpaceDN w:val="0"/>
              <w:adjustRightInd w:val="0"/>
              <w:spacing w:after="60" w:line="276" w:lineRule="auto"/>
              <w:rPr>
                <w:rFonts w:ascii="Arial" w:hAnsi="Arial" w:cs="Arial"/>
                <w:i/>
                <w:sz w:val="20"/>
                <w:szCs w:val="20"/>
                <w:lang w:val="es-ES_tradnl"/>
              </w:rPr>
            </w:pPr>
            <w:r w:rsidRPr="00491A21">
              <w:rPr>
                <w:rFonts w:ascii="Arial" w:hAnsi="Arial" w:cs="Arial"/>
                <w:i/>
                <w:sz w:val="20"/>
                <w:szCs w:val="20"/>
                <w:highlight w:val="yellow"/>
                <w:lang w:val="es-ES_tradnl"/>
              </w:rPr>
              <w:t>Hospital Universitario de Guadalajara</w:t>
            </w:r>
          </w:p>
        </w:tc>
      </w:tr>
      <w:tr w:rsidR="00393948" w:rsidRPr="003F3B0A" w14:paraId="7661D8BE" w14:textId="77777777" w:rsidTr="007B4109">
        <w:tc>
          <w:tcPr>
            <w:tcW w:w="3823" w:type="dxa"/>
            <w:vAlign w:val="center"/>
          </w:tcPr>
          <w:p w14:paraId="2AFD5E1F" w14:textId="5BE1D4C4"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Montserrat Tuset (G</w:t>
            </w:r>
            <w:r w:rsidR="0017325F">
              <w:rPr>
                <w:rFonts w:ascii="Arial" w:hAnsi="Arial" w:cs="Arial"/>
                <w:sz w:val="22"/>
                <w:szCs w:val="22"/>
                <w:lang w:val="es-ES_tradnl"/>
              </w:rPr>
              <w:t>e</w:t>
            </w:r>
            <w:r w:rsidRPr="003F3B0A">
              <w:rPr>
                <w:rFonts w:ascii="Arial" w:hAnsi="Arial" w:cs="Arial"/>
                <w:sz w:val="22"/>
                <w:szCs w:val="22"/>
                <w:lang w:val="es-ES_tradnl"/>
              </w:rPr>
              <w:t>SIDA)</w:t>
            </w:r>
          </w:p>
        </w:tc>
        <w:tc>
          <w:tcPr>
            <w:tcW w:w="5103" w:type="dxa"/>
            <w:vAlign w:val="center"/>
          </w:tcPr>
          <w:p w14:paraId="551088ED" w14:textId="772A99A8"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Clínic Universitari. IDIBAPS. Barcelona</w:t>
            </w:r>
          </w:p>
        </w:tc>
      </w:tr>
      <w:tr w:rsidR="0017325F" w:rsidRPr="003F3B0A" w14:paraId="7323BAB4" w14:textId="77777777" w:rsidTr="007B4109">
        <w:tc>
          <w:tcPr>
            <w:tcW w:w="3823" w:type="dxa"/>
            <w:vAlign w:val="center"/>
          </w:tcPr>
          <w:p w14:paraId="24A4B641" w14:textId="49272FBA" w:rsidR="0017325F" w:rsidRPr="0017325F" w:rsidRDefault="0017325F" w:rsidP="007B4109">
            <w:pPr>
              <w:autoSpaceDE w:val="0"/>
              <w:autoSpaceDN w:val="0"/>
              <w:adjustRightInd w:val="0"/>
              <w:spacing w:after="60" w:line="276" w:lineRule="auto"/>
              <w:rPr>
                <w:rFonts w:ascii="Arial" w:hAnsi="Arial" w:cs="Arial"/>
                <w:sz w:val="22"/>
                <w:szCs w:val="22"/>
                <w:highlight w:val="yellow"/>
                <w:lang w:val="es-ES_tradnl"/>
              </w:rPr>
            </w:pPr>
            <w:r w:rsidRPr="0017325F">
              <w:rPr>
                <w:rFonts w:ascii="Arial" w:hAnsi="Arial" w:cs="Arial"/>
                <w:sz w:val="22"/>
                <w:szCs w:val="22"/>
                <w:highlight w:val="yellow"/>
                <w:lang w:val="es-ES_tradnl"/>
              </w:rPr>
              <w:t>María Velasco (GeSIDA)</w:t>
            </w:r>
          </w:p>
        </w:tc>
        <w:tc>
          <w:tcPr>
            <w:tcW w:w="5103" w:type="dxa"/>
            <w:vAlign w:val="center"/>
          </w:tcPr>
          <w:p w14:paraId="28F27BF4" w14:textId="77777777" w:rsidR="00802EB8" w:rsidRPr="00802EB8" w:rsidRDefault="00802EB8" w:rsidP="00802EB8">
            <w:pPr>
              <w:rPr>
                <w:rFonts w:ascii="Arial" w:hAnsi="Arial" w:cs="Arial"/>
                <w:i/>
                <w:sz w:val="20"/>
                <w:szCs w:val="20"/>
                <w:lang w:val="es-ES_tradnl"/>
              </w:rPr>
            </w:pPr>
            <w:r w:rsidRPr="00802EB8">
              <w:rPr>
                <w:rFonts w:ascii="Arial" w:hAnsi="Arial" w:cs="Arial"/>
                <w:i/>
                <w:sz w:val="20"/>
                <w:szCs w:val="20"/>
                <w:highlight w:val="yellow"/>
                <w:lang w:val="es-ES_tradnl"/>
              </w:rPr>
              <w:t>Hospital Universitario Fundación Alcorcón. Madrid</w:t>
            </w:r>
            <w:r w:rsidRPr="00802EB8">
              <w:rPr>
                <w:rFonts w:ascii="Arial" w:hAnsi="Arial" w:cs="Arial"/>
                <w:i/>
                <w:sz w:val="20"/>
                <w:szCs w:val="20"/>
                <w:lang w:val="es-ES_tradnl"/>
              </w:rPr>
              <w:t xml:space="preserve"> </w:t>
            </w:r>
          </w:p>
          <w:p w14:paraId="5DF09F7F" w14:textId="77777777" w:rsidR="0017325F" w:rsidRPr="003F3B0A" w:rsidRDefault="0017325F" w:rsidP="007B4109">
            <w:pPr>
              <w:autoSpaceDE w:val="0"/>
              <w:autoSpaceDN w:val="0"/>
              <w:adjustRightInd w:val="0"/>
              <w:spacing w:after="60" w:line="276" w:lineRule="auto"/>
              <w:rPr>
                <w:rFonts w:ascii="Arial" w:hAnsi="Arial" w:cs="Arial"/>
                <w:i/>
                <w:sz w:val="20"/>
                <w:szCs w:val="20"/>
                <w:lang w:val="es-ES_tradnl"/>
              </w:rPr>
            </w:pPr>
          </w:p>
        </w:tc>
      </w:tr>
      <w:tr w:rsidR="0017325F" w:rsidRPr="003F3B0A" w14:paraId="424CD30F" w14:textId="77777777" w:rsidTr="007B4109">
        <w:tc>
          <w:tcPr>
            <w:tcW w:w="3823" w:type="dxa"/>
            <w:vAlign w:val="center"/>
          </w:tcPr>
          <w:p w14:paraId="5D439F49" w14:textId="72592661" w:rsidR="0017325F" w:rsidRPr="0017325F" w:rsidRDefault="0017325F" w:rsidP="007B4109">
            <w:pPr>
              <w:autoSpaceDE w:val="0"/>
              <w:autoSpaceDN w:val="0"/>
              <w:adjustRightInd w:val="0"/>
              <w:spacing w:after="60" w:line="276" w:lineRule="auto"/>
              <w:rPr>
                <w:rFonts w:ascii="Arial" w:hAnsi="Arial" w:cs="Arial"/>
                <w:sz w:val="22"/>
                <w:szCs w:val="22"/>
                <w:highlight w:val="yellow"/>
                <w:lang w:val="es-ES_tradnl"/>
              </w:rPr>
            </w:pPr>
            <w:r w:rsidRPr="0017325F">
              <w:rPr>
                <w:rFonts w:ascii="Arial" w:hAnsi="Arial" w:cs="Arial"/>
                <w:sz w:val="22"/>
                <w:szCs w:val="22"/>
                <w:highlight w:val="yellow"/>
                <w:lang w:val="es-ES_tradnl"/>
              </w:rPr>
              <w:t>Isabel Viciana (GeSIDA)</w:t>
            </w:r>
          </w:p>
        </w:tc>
        <w:tc>
          <w:tcPr>
            <w:tcW w:w="5103" w:type="dxa"/>
            <w:vAlign w:val="center"/>
          </w:tcPr>
          <w:p w14:paraId="06428DF6" w14:textId="233D9290" w:rsidR="0017325F" w:rsidRPr="003F3B0A" w:rsidRDefault="00491A21" w:rsidP="007B4109">
            <w:pPr>
              <w:autoSpaceDE w:val="0"/>
              <w:autoSpaceDN w:val="0"/>
              <w:adjustRightInd w:val="0"/>
              <w:spacing w:after="60" w:line="276" w:lineRule="auto"/>
              <w:rPr>
                <w:rFonts w:ascii="Arial" w:hAnsi="Arial" w:cs="Arial"/>
                <w:i/>
                <w:sz w:val="20"/>
                <w:szCs w:val="20"/>
                <w:lang w:val="es-ES_tradnl"/>
              </w:rPr>
            </w:pPr>
            <w:r w:rsidRPr="007B4109">
              <w:rPr>
                <w:rFonts w:ascii="Arial" w:hAnsi="Arial" w:cs="Arial"/>
                <w:i/>
                <w:color w:val="000000"/>
                <w:sz w:val="20"/>
                <w:szCs w:val="18"/>
                <w:highlight w:val="yellow"/>
                <w:lang w:val="es-ES_tradnl"/>
              </w:rPr>
              <w:t>Hospital Universitario Virgen de la Victoria. Málaga</w:t>
            </w:r>
          </w:p>
        </w:tc>
      </w:tr>
      <w:tr w:rsidR="00393948" w:rsidRPr="003F3B0A" w14:paraId="295F1C0E" w14:textId="77777777" w:rsidTr="007B4109">
        <w:tc>
          <w:tcPr>
            <w:tcW w:w="3823" w:type="dxa"/>
            <w:vAlign w:val="center"/>
          </w:tcPr>
          <w:p w14:paraId="22C4D967" w14:textId="4C5151D2" w:rsidR="00393948" w:rsidRPr="003F3B0A" w:rsidRDefault="00393948" w:rsidP="007B4109">
            <w:pPr>
              <w:autoSpaceDE w:val="0"/>
              <w:autoSpaceDN w:val="0"/>
              <w:adjustRightInd w:val="0"/>
              <w:spacing w:after="60" w:line="276" w:lineRule="auto"/>
              <w:rPr>
                <w:rFonts w:ascii="Arial" w:hAnsi="Arial" w:cs="Arial"/>
                <w:lang w:val="es-ES_tradnl"/>
              </w:rPr>
            </w:pPr>
            <w:r w:rsidRPr="003F3B0A">
              <w:rPr>
                <w:rFonts w:ascii="Arial" w:hAnsi="Arial" w:cs="Arial"/>
                <w:sz w:val="22"/>
                <w:szCs w:val="22"/>
                <w:lang w:val="es-ES_tradnl"/>
              </w:rPr>
              <w:t>Francesc Vidal (GeSIDA)</w:t>
            </w:r>
          </w:p>
        </w:tc>
        <w:tc>
          <w:tcPr>
            <w:tcW w:w="5103" w:type="dxa"/>
            <w:vAlign w:val="center"/>
          </w:tcPr>
          <w:p w14:paraId="74D4F8F1" w14:textId="723F43AF"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 xml:space="preserve">Hospital Universitari de Tarragona Joan XXIII. </w:t>
            </w:r>
            <w:r w:rsidRPr="003F3B0A">
              <w:rPr>
                <w:rFonts w:ascii="Arial" w:hAnsi="Arial" w:cs="Arial"/>
                <w:i/>
                <w:sz w:val="20"/>
                <w:szCs w:val="20"/>
                <w:lang w:val="en-US"/>
              </w:rPr>
              <w:t xml:space="preserve">IISPV. Universitat Rovira i Virgili. </w:t>
            </w:r>
            <w:r w:rsidRPr="003F3B0A">
              <w:rPr>
                <w:rFonts w:ascii="Arial" w:hAnsi="Arial" w:cs="Arial"/>
                <w:i/>
                <w:sz w:val="20"/>
                <w:szCs w:val="20"/>
                <w:lang w:val="es-ES_tradnl"/>
              </w:rPr>
              <w:t>Tarragona.</w:t>
            </w:r>
          </w:p>
        </w:tc>
      </w:tr>
      <w:tr w:rsidR="00393948" w:rsidRPr="003F3B0A" w14:paraId="75DB9AD1" w14:textId="77777777" w:rsidTr="007B4109">
        <w:tc>
          <w:tcPr>
            <w:tcW w:w="3823" w:type="dxa"/>
            <w:vAlign w:val="center"/>
          </w:tcPr>
          <w:p w14:paraId="40C40B25" w14:textId="2D3CF3E9" w:rsidR="00393948" w:rsidRPr="00393948" w:rsidRDefault="00393948" w:rsidP="007B4109">
            <w:pPr>
              <w:autoSpaceDE w:val="0"/>
              <w:autoSpaceDN w:val="0"/>
              <w:adjustRightInd w:val="0"/>
              <w:spacing w:after="60" w:line="276" w:lineRule="auto"/>
              <w:rPr>
                <w:rFonts w:ascii="Arial" w:hAnsi="Arial" w:cs="Arial"/>
                <w:lang w:val="en-US"/>
              </w:rPr>
            </w:pPr>
            <w:r w:rsidRPr="003F3B0A">
              <w:rPr>
                <w:rFonts w:ascii="Arial" w:hAnsi="Arial" w:cs="Arial"/>
                <w:sz w:val="22"/>
                <w:szCs w:val="22"/>
                <w:lang w:val="en-US"/>
              </w:rPr>
              <w:t>Miguel A. von Wichmann (PNS)</w:t>
            </w:r>
          </w:p>
        </w:tc>
        <w:tc>
          <w:tcPr>
            <w:tcW w:w="5103" w:type="dxa"/>
            <w:vAlign w:val="center"/>
          </w:tcPr>
          <w:p w14:paraId="3BEC5DE9" w14:textId="6113330A"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r w:rsidRPr="003F3B0A">
              <w:rPr>
                <w:rFonts w:ascii="Arial" w:hAnsi="Arial" w:cs="Arial"/>
                <w:i/>
                <w:sz w:val="20"/>
                <w:szCs w:val="20"/>
                <w:lang w:val="es-ES_tradnl"/>
              </w:rPr>
              <w:t>Hospital Universitario Donostia. Instituto Biodonostia. San Sebastián</w:t>
            </w:r>
          </w:p>
        </w:tc>
      </w:tr>
      <w:tr w:rsidR="00393948" w:rsidRPr="003F3B0A" w14:paraId="6243A31D" w14:textId="77777777" w:rsidTr="007B4109">
        <w:tc>
          <w:tcPr>
            <w:tcW w:w="3823" w:type="dxa"/>
            <w:vAlign w:val="center"/>
          </w:tcPr>
          <w:p w14:paraId="04CF48B4" w14:textId="4BCDF4AC" w:rsidR="00393948" w:rsidRPr="003F3B0A" w:rsidRDefault="00393948" w:rsidP="007B4109">
            <w:pPr>
              <w:autoSpaceDE w:val="0"/>
              <w:autoSpaceDN w:val="0"/>
              <w:adjustRightInd w:val="0"/>
              <w:spacing w:after="60" w:line="276" w:lineRule="auto"/>
              <w:rPr>
                <w:rFonts w:ascii="Arial" w:hAnsi="Arial" w:cs="Arial"/>
                <w:lang w:val="es-ES_tradnl"/>
              </w:rPr>
            </w:pPr>
          </w:p>
        </w:tc>
        <w:tc>
          <w:tcPr>
            <w:tcW w:w="5103" w:type="dxa"/>
            <w:vAlign w:val="center"/>
          </w:tcPr>
          <w:p w14:paraId="1F24CFC6" w14:textId="7B642435"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p>
        </w:tc>
      </w:tr>
      <w:tr w:rsidR="00393948" w:rsidRPr="003F3B0A" w14:paraId="771234D8" w14:textId="77777777" w:rsidTr="007B4109">
        <w:tc>
          <w:tcPr>
            <w:tcW w:w="3823" w:type="dxa"/>
            <w:vAlign w:val="center"/>
          </w:tcPr>
          <w:p w14:paraId="57D5749D" w14:textId="524F6F19" w:rsidR="00393948" w:rsidRPr="003F3B0A" w:rsidRDefault="00393948" w:rsidP="007B4109">
            <w:pPr>
              <w:autoSpaceDE w:val="0"/>
              <w:autoSpaceDN w:val="0"/>
              <w:adjustRightInd w:val="0"/>
              <w:spacing w:after="60" w:line="276" w:lineRule="auto"/>
              <w:rPr>
                <w:rFonts w:ascii="Arial" w:hAnsi="Arial" w:cs="Arial"/>
                <w:lang w:val="es-ES_tradnl"/>
              </w:rPr>
            </w:pPr>
          </w:p>
        </w:tc>
        <w:tc>
          <w:tcPr>
            <w:tcW w:w="5103" w:type="dxa"/>
            <w:vAlign w:val="center"/>
          </w:tcPr>
          <w:p w14:paraId="32E78626" w14:textId="37304838" w:rsidR="00393948" w:rsidRPr="003F3B0A" w:rsidRDefault="00393948" w:rsidP="007B4109">
            <w:pPr>
              <w:rPr>
                <w:rFonts w:ascii="Arial" w:hAnsi="Arial" w:cs="Arial"/>
                <w:i/>
                <w:sz w:val="20"/>
                <w:szCs w:val="20"/>
                <w:lang w:val="es-ES_tradnl"/>
              </w:rPr>
            </w:pPr>
          </w:p>
        </w:tc>
      </w:tr>
      <w:tr w:rsidR="00393948" w:rsidRPr="003F3B0A" w14:paraId="5281F696" w14:textId="77777777" w:rsidTr="007B4109">
        <w:tc>
          <w:tcPr>
            <w:tcW w:w="3823" w:type="dxa"/>
            <w:vAlign w:val="center"/>
          </w:tcPr>
          <w:p w14:paraId="108248E5" w14:textId="7F68B3C3" w:rsidR="00393948" w:rsidRPr="003F3B0A" w:rsidRDefault="00393948" w:rsidP="007B4109">
            <w:pPr>
              <w:autoSpaceDE w:val="0"/>
              <w:autoSpaceDN w:val="0"/>
              <w:adjustRightInd w:val="0"/>
              <w:spacing w:after="60" w:line="276" w:lineRule="auto"/>
              <w:rPr>
                <w:rFonts w:ascii="Arial" w:hAnsi="Arial" w:cs="Arial"/>
                <w:lang w:val="en-US"/>
              </w:rPr>
            </w:pPr>
          </w:p>
        </w:tc>
        <w:tc>
          <w:tcPr>
            <w:tcW w:w="5103" w:type="dxa"/>
            <w:vAlign w:val="center"/>
          </w:tcPr>
          <w:p w14:paraId="71332792" w14:textId="4C65FB5B" w:rsidR="00393948" w:rsidRPr="003F3B0A" w:rsidRDefault="00393948" w:rsidP="007B4109">
            <w:pPr>
              <w:autoSpaceDE w:val="0"/>
              <w:autoSpaceDN w:val="0"/>
              <w:adjustRightInd w:val="0"/>
              <w:spacing w:after="60" w:line="276" w:lineRule="auto"/>
              <w:rPr>
                <w:rFonts w:ascii="Arial" w:hAnsi="Arial" w:cs="Arial"/>
                <w:i/>
                <w:sz w:val="20"/>
                <w:szCs w:val="20"/>
                <w:lang w:val="es-ES_tradnl"/>
              </w:rPr>
            </w:pPr>
          </w:p>
        </w:tc>
      </w:tr>
    </w:tbl>
    <w:p w14:paraId="5EDDBDB8" w14:textId="77777777" w:rsidR="00616450" w:rsidRPr="003F3B0A" w:rsidRDefault="00616450" w:rsidP="00616450">
      <w:pPr>
        <w:autoSpaceDE w:val="0"/>
        <w:autoSpaceDN w:val="0"/>
        <w:adjustRightInd w:val="0"/>
        <w:spacing w:after="120" w:line="276" w:lineRule="auto"/>
        <w:jc w:val="both"/>
        <w:rPr>
          <w:rFonts w:ascii="Arial" w:hAnsi="Arial" w:cs="Arial"/>
          <w:color w:val="000000"/>
          <w:sz w:val="18"/>
          <w:szCs w:val="18"/>
        </w:rPr>
      </w:pPr>
    </w:p>
    <w:p w14:paraId="7BC424E4" w14:textId="77777777" w:rsidR="00616450" w:rsidRPr="003F3B0A" w:rsidRDefault="00616450" w:rsidP="00616450">
      <w:pPr>
        <w:spacing w:before="100" w:after="60" w:line="276" w:lineRule="auto"/>
        <w:jc w:val="both"/>
        <w:rPr>
          <w:rFonts w:ascii="Calibri" w:hAnsi="Calibri" w:cs="Calibri"/>
          <w:b/>
          <w:color w:val="0000CC"/>
          <w:sz w:val="22"/>
          <w:szCs w:val="22"/>
        </w:rPr>
      </w:pPr>
    </w:p>
    <w:p w14:paraId="2EC831FF" w14:textId="77777777" w:rsidR="00616450" w:rsidRPr="003F3B0A" w:rsidRDefault="00616450" w:rsidP="00616450">
      <w:pPr>
        <w:spacing w:before="100" w:after="60" w:line="276" w:lineRule="auto"/>
        <w:jc w:val="both"/>
        <w:rPr>
          <w:rFonts w:ascii="Calibri" w:hAnsi="Calibri" w:cs="Calibri"/>
          <w:b/>
          <w:color w:val="0000CC"/>
          <w:sz w:val="22"/>
          <w:szCs w:val="22"/>
        </w:rPr>
      </w:pPr>
    </w:p>
    <w:p w14:paraId="5132BE28" w14:textId="77777777" w:rsidR="00616450" w:rsidRPr="003F3B0A" w:rsidRDefault="00616450" w:rsidP="00616450">
      <w:pPr>
        <w:autoSpaceDE w:val="0"/>
        <w:autoSpaceDN w:val="0"/>
        <w:adjustRightInd w:val="0"/>
        <w:spacing w:after="120" w:line="276" w:lineRule="auto"/>
        <w:jc w:val="both"/>
        <w:rPr>
          <w:rFonts w:ascii="Arial" w:hAnsi="Arial" w:cs="Arial"/>
          <w:b/>
          <w:bCs/>
          <w:color w:val="AE1C1F"/>
        </w:rPr>
      </w:pPr>
      <w:r w:rsidRPr="003F3B0A">
        <w:rPr>
          <w:rFonts w:ascii="Arial" w:hAnsi="Arial" w:cs="Arial"/>
          <w:b/>
          <w:bCs/>
          <w:color w:val="AE1C1F"/>
        </w:rPr>
        <w:t>AGRADECIMIENTOS</w:t>
      </w:r>
    </w:p>
    <w:p w14:paraId="22B5D90D" w14:textId="64E718FB" w:rsidR="00616450" w:rsidRPr="003F3B0A" w:rsidRDefault="00616450" w:rsidP="00616450">
      <w:pPr>
        <w:spacing w:after="160" w:line="276" w:lineRule="auto"/>
        <w:jc w:val="both"/>
        <w:rPr>
          <w:rFonts w:ascii="Arial" w:hAnsi="Arial" w:cs="Arial"/>
          <w:sz w:val="22"/>
          <w:szCs w:val="22"/>
        </w:rPr>
      </w:pPr>
      <w:r w:rsidRPr="003F3B0A">
        <w:rPr>
          <w:rFonts w:ascii="Arial" w:hAnsi="Arial" w:cs="Arial"/>
          <w:sz w:val="22"/>
          <w:szCs w:val="22"/>
        </w:rPr>
        <w:t xml:space="preserve">La Junta Directiva de GeSIDA y el Plan Nacional sobre el Sida agradecen las aportaciones y opiniones de: </w:t>
      </w:r>
      <w:r w:rsidR="00FD5A66">
        <w:rPr>
          <w:rFonts w:ascii="Arial" w:hAnsi="Arial" w:cs="Arial"/>
          <w:sz w:val="22"/>
          <w:szCs w:val="22"/>
        </w:rPr>
        <w:t xml:space="preserve">……………………………………………………………… </w:t>
      </w:r>
      <w:r w:rsidRPr="003F3B0A">
        <w:rPr>
          <w:rFonts w:ascii="Arial" w:hAnsi="Arial" w:cs="Arial"/>
          <w:sz w:val="22"/>
          <w:szCs w:val="22"/>
        </w:rPr>
        <w:t>para mejorar el texto.</w:t>
      </w:r>
    </w:p>
    <w:p w14:paraId="35549D5E" w14:textId="77777777" w:rsidR="00616450" w:rsidRPr="003F3B0A" w:rsidRDefault="00616450" w:rsidP="00616450">
      <w:pPr>
        <w:spacing w:after="160" w:line="276" w:lineRule="auto"/>
        <w:rPr>
          <w:rFonts w:ascii="Calibri" w:hAnsi="Calibri" w:cs="Calibri"/>
          <w:b/>
          <w:color w:val="0000CC"/>
          <w:sz w:val="22"/>
          <w:szCs w:val="22"/>
        </w:rPr>
      </w:pPr>
    </w:p>
    <w:p w14:paraId="3F1BABDB" w14:textId="77777777" w:rsidR="00616450" w:rsidRPr="00931B65" w:rsidRDefault="00616450" w:rsidP="00616450">
      <w:pPr>
        <w:spacing w:before="100" w:after="60" w:line="276" w:lineRule="auto"/>
        <w:jc w:val="both"/>
        <w:rPr>
          <w:rFonts w:ascii="Arial" w:hAnsi="Arial" w:cs="Arial"/>
        </w:rPr>
      </w:pPr>
    </w:p>
    <w:p w14:paraId="788A0AB7" w14:textId="3006F106" w:rsidR="00FD5A66" w:rsidRPr="003F3B0A" w:rsidRDefault="00616450" w:rsidP="00FD5A66">
      <w:pPr>
        <w:spacing w:after="160" w:line="276" w:lineRule="auto"/>
        <w:rPr>
          <w:rFonts w:ascii="Calibri" w:hAnsi="Calibri" w:cs="Calibri"/>
          <w:b/>
          <w:color w:val="0000CC"/>
          <w:sz w:val="22"/>
          <w:szCs w:val="22"/>
        </w:rPr>
      </w:pPr>
      <w:r>
        <w:rPr>
          <w:rFonts w:ascii="Arial" w:eastAsiaTheme="minorHAnsi" w:hAnsi="Arial" w:cs="Arial"/>
          <w:b/>
          <w:bCs/>
          <w:color w:val="9F0034"/>
          <w:sz w:val="28"/>
          <w:szCs w:val="28"/>
          <w:lang w:val="es-ES_tradnl" w:eastAsia="en-US"/>
        </w:rPr>
        <w:br w:type="page"/>
      </w:r>
      <w:r w:rsidR="00FD5A66" w:rsidRPr="003F3B0A">
        <w:rPr>
          <w:rFonts w:ascii="Arial" w:hAnsi="Arial" w:cs="Arial"/>
          <w:b/>
          <w:color w:val="AE1C1F"/>
          <w:sz w:val="28"/>
          <w:szCs w:val="28"/>
        </w:rPr>
        <w:lastRenderedPageBreak/>
        <w:t>ÍNDICE</w:t>
      </w:r>
      <w:r w:rsidR="00FD5A66">
        <w:rPr>
          <w:rFonts w:ascii="Arial" w:hAnsi="Arial" w:cs="Arial"/>
          <w:b/>
          <w:color w:val="AE1C1F"/>
          <w:sz w:val="28"/>
          <w:szCs w:val="28"/>
        </w:rPr>
        <w:t xml:space="preserve"> </w:t>
      </w:r>
      <w:r w:rsidR="00FD5A66" w:rsidRPr="007C23CF">
        <w:rPr>
          <w:rFonts w:ascii="Arial" w:hAnsi="Arial" w:cs="Arial"/>
          <w:b/>
          <w:color w:val="AE1C1F"/>
          <w:sz w:val="28"/>
          <w:szCs w:val="28"/>
          <w:highlight w:val="yellow"/>
        </w:rPr>
        <w:t>( es el de la versión 2019, pendiente modificar y paginar cuando esté el borrador final)</w:t>
      </w:r>
    </w:p>
    <w:p w14:paraId="62C9F535" w14:textId="77777777" w:rsidR="00FD5A66" w:rsidRPr="003F3B0A" w:rsidRDefault="00FD5A66" w:rsidP="00FD5A66">
      <w:pPr>
        <w:spacing w:before="100" w:after="60" w:line="276" w:lineRule="auto"/>
        <w:jc w:val="both"/>
        <w:rPr>
          <w:rFonts w:ascii="Calibri" w:hAnsi="Calibri" w:cs="Calibri"/>
          <w:b/>
          <w:color w:val="A80000"/>
          <w:sz w:val="22"/>
          <w:szCs w:val="22"/>
        </w:rPr>
      </w:pPr>
    </w:p>
    <w:p w14:paraId="78D0CD4A"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Abreviaturas utilizadas                                                                                  </w:t>
      </w:r>
      <w:r w:rsidRPr="003F3B0A">
        <w:rPr>
          <w:rFonts w:ascii="Calibri" w:hAnsi="Calibri" w:cs="Calibri"/>
          <w:sz w:val="22"/>
          <w:szCs w:val="22"/>
        </w:rPr>
        <w:tab/>
      </w:r>
      <w:r w:rsidRPr="003F3B0A">
        <w:rPr>
          <w:rFonts w:ascii="Calibri" w:hAnsi="Calibri" w:cs="Calibri"/>
          <w:sz w:val="22"/>
          <w:szCs w:val="22"/>
        </w:rPr>
        <w:tab/>
        <w:t xml:space="preserve">        </w:t>
      </w:r>
      <w:r w:rsidRPr="003F3B0A">
        <w:rPr>
          <w:rFonts w:ascii="Calibri" w:hAnsi="Calibri" w:cs="Calibri"/>
          <w:sz w:val="22"/>
          <w:szCs w:val="22"/>
        </w:rPr>
        <w:tab/>
        <w:t>vii</w:t>
      </w:r>
    </w:p>
    <w:p w14:paraId="7D608451" w14:textId="77777777" w:rsidR="00FD5A66" w:rsidRPr="003F3B0A" w:rsidRDefault="00FD5A66" w:rsidP="00FD5A66">
      <w:pPr>
        <w:spacing w:before="100" w:after="60" w:line="276" w:lineRule="auto"/>
        <w:jc w:val="both"/>
        <w:rPr>
          <w:rFonts w:ascii="Calibri" w:hAnsi="Calibri" w:cs="Calibri"/>
          <w:b/>
          <w:color w:val="006600"/>
          <w:sz w:val="22"/>
          <w:szCs w:val="22"/>
        </w:rPr>
      </w:pPr>
      <w:r w:rsidRPr="003F3B0A">
        <w:rPr>
          <w:rFonts w:ascii="Calibri" w:hAnsi="Calibri" w:cs="Calibri"/>
          <w:b/>
          <w:color w:val="AE1C1F"/>
          <w:sz w:val="22"/>
          <w:szCs w:val="22"/>
        </w:rPr>
        <w:t>1.</w:t>
      </w:r>
      <w:r w:rsidRPr="003F3B0A">
        <w:rPr>
          <w:rFonts w:ascii="Calibri" w:hAnsi="Calibri" w:cs="Calibri"/>
          <w:b/>
          <w:color w:val="2153DD"/>
          <w:sz w:val="22"/>
          <w:szCs w:val="22"/>
        </w:rPr>
        <w:t xml:space="preserve"> </w:t>
      </w:r>
      <w:r w:rsidRPr="003F3B0A">
        <w:rPr>
          <w:rFonts w:ascii="Calibri" w:hAnsi="Calibri" w:cs="Calibri"/>
          <w:b/>
          <w:color w:val="AE1C1F"/>
          <w:sz w:val="22"/>
          <w:szCs w:val="22"/>
        </w:rPr>
        <w:t xml:space="preserve">Introducción                                                                                                      </w:t>
      </w:r>
      <w:r w:rsidRPr="003F3B0A">
        <w:rPr>
          <w:rFonts w:ascii="Calibri" w:hAnsi="Calibri" w:cs="Calibri"/>
          <w:b/>
          <w:color w:val="AE1C1F"/>
          <w:sz w:val="22"/>
          <w:szCs w:val="22"/>
        </w:rPr>
        <w:tab/>
        <w:t xml:space="preserve">  </w:t>
      </w:r>
      <w:r w:rsidRPr="003F3B0A">
        <w:rPr>
          <w:rFonts w:ascii="Calibri" w:hAnsi="Calibri" w:cs="Calibri"/>
          <w:b/>
          <w:color w:val="AE1C1F"/>
          <w:sz w:val="22"/>
          <w:szCs w:val="22"/>
        </w:rPr>
        <w:tab/>
        <w:t xml:space="preserve">   1</w:t>
      </w:r>
      <w:r w:rsidRPr="003F3B0A">
        <w:rPr>
          <w:rFonts w:ascii="Calibri" w:hAnsi="Calibri" w:cs="Calibri"/>
          <w:b/>
          <w:color w:val="006600"/>
          <w:sz w:val="22"/>
          <w:szCs w:val="22"/>
        </w:rPr>
        <w:t xml:space="preserve">                    </w:t>
      </w:r>
    </w:p>
    <w:p w14:paraId="7AC1221D"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1.1. Justificación, objetivos y alcance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w:t>
      </w:r>
    </w:p>
    <w:p w14:paraId="5E46BB21"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1.2. Metodología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w:t>
      </w:r>
      <w:r w:rsidRPr="003F3B0A">
        <w:rPr>
          <w:rFonts w:ascii="Calibri" w:hAnsi="Calibri" w:cs="Calibri"/>
          <w:sz w:val="22"/>
          <w:szCs w:val="22"/>
        </w:rPr>
        <w:tab/>
        <w:t xml:space="preserve">   1</w:t>
      </w:r>
    </w:p>
    <w:p w14:paraId="5A85BFEC" w14:textId="77777777" w:rsidR="00FD5A66" w:rsidRPr="003F3B0A" w:rsidRDefault="00FD5A66" w:rsidP="00FD5A66">
      <w:pPr>
        <w:spacing w:before="100" w:after="60" w:line="276" w:lineRule="auto"/>
        <w:jc w:val="both"/>
        <w:rPr>
          <w:rFonts w:ascii="Calibri" w:hAnsi="Calibri" w:cs="Calibri"/>
          <w:b/>
          <w:sz w:val="22"/>
          <w:szCs w:val="22"/>
        </w:rPr>
      </w:pPr>
    </w:p>
    <w:p w14:paraId="58209FE4"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AE1C1F"/>
          <w:sz w:val="22"/>
          <w:szCs w:val="22"/>
        </w:rPr>
        <w:t>2.</w:t>
      </w:r>
      <w:r w:rsidRPr="003F3B0A">
        <w:rPr>
          <w:rFonts w:ascii="Calibri" w:hAnsi="Calibri" w:cs="Calibri"/>
          <w:b/>
          <w:color w:val="006600"/>
          <w:sz w:val="22"/>
          <w:szCs w:val="22"/>
        </w:rPr>
        <w:t xml:space="preserve"> </w:t>
      </w:r>
      <w:r w:rsidRPr="003F3B0A">
        <w:rPr>
          <w:rFonts w:ascii="Calibri" w:hAnsi="Calibri" w:cs="Calibri"/>
          <w:b/>
          <w:color w:val="AE1C1F"/>
          <w:sz w:val="22"/>
          <w:szCs w:val="22"/>
        </w:rPr>
        <w:t>Evaluación clínica y de laboratorio para guiar el TAR</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 xml:space="preserve">   3</w:t>
      </w:r>
    </w:p>
    <w:p w14:paraId="76A2E1E4"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2.1. Evaluación clínica</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w:t>
      </w:r>
    </w:p>
    <w:p w14:paraId="61C0CF87" w14:textId="77777777" w:rsidR="00FD5A66" w:rsidRPr="003F3B0A" w:rsidRDefault="00FD5A66" w:rsidP="00FD5A66">
      <w:pPr>
        <w:spacing w:before="100" w:after="60" w:line="276" w:lineRule="auto"/>
        <w:ind w:left="708" w:hanging="708"/>
        <w:jc w:val="both"/>
        <w:rPr>
          <w:rFonts w:ascii="Calibri" w:hAnsi="Calibri" w:cs="Calibri"/>
          <w:sz w:val="22"/>
          <w:szCs w:val="22"/>
        </w:rPr>
      </w:pPr>
      <w:r w:rsidRPr="003F3B0A">
        <w:rPr>
          <w:rFonts w:ascii="Calibri" w:hAnsi="Calibri" w:cs="Calibri"/>
          <w:sz w:val="22"/>
          <w:szCs w:val="22"/>
        </w:rPr>
        <w:t xml:space="preserve">     2.2. Evaluación de laboratorio y otros estudios complementarios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              </w:t>
      </w:r>
      <w:r w:rsidRPr="003F3B0A">
        <w:rPr>
          <w:rFonts w:ascii="Calibri" w:hAnsi="Calibri" w:cs="Calibri"/>
          <w:i/>
          <w:sz w:val="22"/>
          <w:szCs w:val="22"/>
        </w:rPr>
        <w:t>2.2.1. Linfocitos CD4+</w:t>
      </w:r>
      <w:r w:rsidRPr="003F3B0A">
        <w:rPr>
          <w:rFonts w:ascii="Calibri" w:hAnsi="Calibri" w:cs="Calibri"/>
          <w: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4</w:t>
      </w:r>
    </w:p>
    <w:p w14:paraId="3CE656DE"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i/>
          <w:sz w:val="22"/>
          <w:szCs w:val="22"/>
        </w:rPr>
        <w:t>2.2.2. Carga viral plasmática</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4</w:t>
      </w:r>
    </w:p>
    <w:p w14:paraId="6B9F60E8" w14:textId="77777777" w:rsidR="00FD5A66" w:rsidRPr="003F3B0A" w:rsidRDefault="00FD5A66" w:rsidP="00FD5A66">
      <w:pPr>
        <w:spacing w:before="100" w:after="60" w:line="276" w:lineRule="auto"/>
        <w:ind w:left="708"/>
        <w:jc w:val="both"/>
        <w:rPr>
          <w:rFonts w:ascii="Calibri" w:hAnsi="Calibri" w:cs="Calibri"/>
          <w:sz w:val="22"/>
          <w:szCs w:val="22"/>
        </w:rPr>
      </w:pPr>
      <w:r w:rsidRPr="003F3B0A">
        <w:rPr>
          <w:rFonts w:ascii="Calibri" w:hAnsi="Calibri" w:cs="Calibri"/>
          <w:i/>
          <w:sz w:val="22"/>
          <w:szCs w:val="22"/>
        </w:rPr>
        <w:t>2.2.3.</w:t>
      </w:r>
      <w:r w:rsidRPr="003F3B0A">
        <w:rPr>
          <w:rFonts w:ascii="Calibri" w:hAnsi="Calibri" w:cs="Calibri"/>
          <w:sz w:val="22"/>
          <w:szCs w:val="22"/>
        </w:rPr>
        <w:t xml:space="preserve"> </w:t>
      </w:r>
      <w:r w:rsidRPr="003F3B0A">
        <w:rPr>
          <w:rFonts w:ascii="Calibri" w:hAnsi="Calibri" w:cs="Calibri"/>
          <w:i/>
          <w:sz w:val="22"/>
          <w:szCs w:val="22"/>
        </w:rPr>
        <w:t>Resistencia genotípica del VIH frente a los fármacos antirretrovirales</w:t>
      </w:r>
      <w:r w:rsidRPr="003F3B0A">
        <w:rPr>
          <w:rFonts w:ascii="Calibri" w:hAnsi="Calibri" w:cs="Calibri"/>
          <w:sz w:val="22"/>
          <w:szCs w:val="22"/>
        </w:rPr>
        <w:tab/>
        <w:t xml:space="preserve">   5</w:t>
      </w:r>
    </w:p>
    <w:p w14:paraId="5C55917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2.2.4. Determinación del alelo HLA-B*5701</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6</w:t>
      </w:r>
    </w:p>
    <w:p w14:paraId="59B9DBA4"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2.2.5. Determinación del tropismo del VIH</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6</w:t>
      </w:r>
    </w:p>
    <w:p w14:paraId="4A2C0DE0" w14:textId="77777777" w:rsidR="00FD5A66" w:rsidRPr="003F3B0A" w:rsidRDefault="00FD5A66" w:rsidP="00FD5A66">
      <w:pPr>
        <w:spacing w:before="100" w:after="60" w:line="276" w:lineRule="auto"/>
        <w:jc w:val="both"/>
        <w:rPr>
          <w:rFonts w:ascii="Calibri" w:hAnsi="Calibri" w:cs="Calibri"/>
          <w:b/>
          <w:sz w:val="22"/>
          <w:szCs w:val="22"/>
        </w:rPr>
      </w:pPr>
    </w:p>
    <w:p w14:paraId="171D286A"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AE1C1F"/>
          <w:sz w:val="22"/>
          <w:szCs w:val="22"/>
        </w:rPr>
        <w:t>3. Tratamiento antirretroviral inicial</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 xml:space="preserve">   7</w:t>
      </w:r>
    </w:p>
    <w:p w14:paraId="54A41C69"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3.1. Cuando iniciar el TAR</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7</w:t>
      </w:r>
    </w:p>
    <w:p w14:paraId="36E2C0EF"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3.2. Qué combinación de antirretrovirales debe utilizarse</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10</w:t>
      </w:r>
    </w:p>
    <w:p w14:paraId="34107408"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3.2.1. ITIAN</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10</w:t>
      </w:r>
    </w:p>
    <w:p w14:paraId="76401D4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3.2.2. ITINN</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13</w:t>
      </w:r>
    </w:p>
    <w:p w14:paraId="14AF82B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3.2.3. Inhibidores de la proteasa potenciados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16</w:t>
      </w:r>
    </w:p>
    <w:p w14:paraId="2C354A6B"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3.2.4. Inhibidores de la integrasa</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18</w:t>
      </w:r>
    </w:p>
    <w:p w14:paraId="1374B25B" w14:textId="77777777" w:rsidR="00FD5A66" w:rsidRPr="003F3B0A" w:rsidRDefault="00FD5A66" w:rsidP="00FD5A66">
      <w:pPr>
        <w:spacing w:before="100" w:after="60" w:line="276" w:lineRule="auto"/>
        <w:jc w:val="both"/>
        <w:rPr>
          <w:rFonts w:ascii="Calibri" w:hAnsi="Calibri" w:cs="Calibri"/>
          <w:b/>
          <w:sz w:val="22"/>
          <w:szCs w:val="22"/>
        </w:rPr>
      </w:pPr>
    </w:p>
    <w:p w14:paraId="7EEB0B78"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AE1C1F"/>
          <w:sz w:val="22"/>
          <w:szCs w:val="22"/>
        </w:rPr>
        <w:t>4. Cambio del TAR en pacientes con replicación viral suprimida</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 xml:space="preserve"> 24</w:t>
      </w:r>
    </w:p>
    <w:p w14:paraId="1A24069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4.1. Cambio de fármacos antirretrovirales. Consideraciones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25</w:t>
      </w:r>
    </w:p>
    <w:p w14:paraId="731C8179"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4.2. Cambio a regímenes que siguen incluyendo 3 FAR</w:t>
      </w:r>
      <w:r w:rsidRPr="003F3B0A">
        <w:rPr>
          <w:rFonts w:ascii="Calibri" w:hAnsi="Calibri" w:cs="Calibri"/>
          <w:sz w:val="22"/>
          <w:szCs w:val="22"/>
        </w:rPr>
        <w:tab/>
        <w:t xml:space="preserv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27</w:t>
      </w:r>
    </w:p>
    <w:p w14:paraId="27A003E2"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4.2.1. Cambio de ITIAN</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27</w:t>
      </w:r>
    </w:p>
    <w:p w14:paraId="40C1B192"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4.2.2. Cambio a regímenes basados en ITINN</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28</w:t>
      </w:r>
    </w:p>
    <w:p w14:paraId="61C5F7EB"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4.2.3. Cambio a regímenes basados en IP/p</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29</w:t>
      </w:r>
    </w:p>
    <w:p w14:paraId="02C4CFF6"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4.2.4. Cambio a regímenes basados en INI</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30  </w:t>
      </w:r>
    </w:p>
    <w:p w14:paraId="536ABED2"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4.3.</w:t>
      </w:r>
      <w:r w:rsidRPr="003F3B0A">
        <w:rPr>
          <w:rFonts w:ascii="Calibri" w:hAnsi="Calibri" w:cs="Calibri"/>
          <w:sz w:val="22"/>
          <w:szCs w:val="22"/>
        </w:rPr>
        <w:tab/>
        <w:t xml:space="preserve">Cambio a regímenes que incluyen menos de 3 FAR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33</w:t>
      </w:r>
    </w:p>
    <w:p w14:paraId="41276FCF"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4.3.1. Terapia dual con IP/p + 3TC</w:t>
      </w:r>
      <w:r w:rsidRPr="003F3B0A">
        <w:rPr>
          <w:rFonts w:ascii="Calibri" w:hAnsi="Calibri" w:cs="Calibri"/>
          <w:i/>
          <w:sz w:val="22"/>
          <w:szCs w:val="22"/>
        </w:rPr>
        <w:tab/>
      </w:r>
      <w:r w:rsidRPr="003F3B0A">
        <w:rPr>
          <w:rFonts w:ascii="Calibri" w:hAnsi="Calibri" w:cs="Calibri"/>
          <w: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33</w:t>
      </w:r>
    </w:p>
    <w:p w14:paraId="20F929CC"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lastRenderedPageBreak/>
        <w:tab/>
      </w:r>
      <w:r w:rsidRPr="003F3B0A">
        <w:rPr>
          <w:rFonts w:ascii="Calibri" w:hAnsi="Calibri" w:cs="Calibri"/>
          <w:i/>
          <w:sz w:val="22"/>
          <w:szCs w:val="22"/>
        </w:rPr>
        <w:t xml:space="preserve">4.3.2. Terapia dual con DTG + RPV </w:t>
      </w:r>
      <w:r w:rsidRPr="003F3B0A">
        <w:rPr>
          <w:rFonts w:ascii="Calibri" w:hAnsi="Calibri" w:cs="Calibri"/>
          <w:i/>
          <w:sz w:val="22"/>
          <w:szCs w:val="22"/>
        </w:rPr>
        <w:tab/>
      </w:r>
      <w:r w:rsidRPr="003F3B0A">
        <w:rPr>
          <w:rFonts w:ascii="Calibri" w:hAnsi="Calibri" w:cs="Calibri"/>
          <w: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33</w:t>
      </w:r>
    </w:p>
    <w:p w14:paraId="11C54989"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4.3.3. Terapia dual con DTG + 3TC</w:t>
      </w:r>
      <w:r w:rsidRPr="003F3B0A">
        <w:rPr>
          <w:rFonts w:ascii="Calibri" w:hAnsi="Calibri" w:cs="Calibri"/>
          <w:i/>
          <w:sz w:val="22"/>
          <w:szCs w:val="22"/>
        </w:rPr>
        <w:tab/>
      </w:r>
      <w:r w:rsidRPr="003F3B0A">
        <w:rPr>
          <w:rFonts w:ascii="Calibri" w:hAnsi="Calibri" w:cs="Calibri"/>
          <w: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34</w:t>
      </w:r>
    </w:p>
    <w:p w14:paraId="58A2B8C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4.3.4. Monoterapia con IP/p</w:t>
      </w: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34</w:t>
      </w:r>
    </w:p>
    <w:p w14:paraId="75968F7D"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4.3.5. Monoterapia con DTG</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35</w:t>
      </w:r>
    </w:p>
    <w:p w14:paraId="2C0BA446"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4.4. Seguimiento posterior a un cambio de TAR en pacientes con replicación </w:t>
      </w:r>
    </w:p>
    <w:p w14:paraId="55A9E0A1" w14:textId="77777777" w:rsidR="00FD5A66" w:rsidRPr="003F3B0A" w:rsidRDefault="00FD5A66" w:rsidP="00FD5A66">
      <w:pPr>
        <w:spacing w:before="100" w:after="60" w:line="276" w:lineRule="auto"/>
        <w:ind w:firstLine="708"/>
        <w:jc w:val="both"/>
        <w:rPr>
          <w:rFonts w:ascii="Calibri" w:hAnsi="Calibri" w:cs="Calibri"/>
          <w:sz w:val="22"/>
          <w:szCs w:val="22"/>
        </w:rPr>
      </w:pPr>
      <w:r w:rsidRPr="003F3B0A">
        <w:rPr>
          <w:rFonts w:ascii="Calibri" w:hAnsi="Calibri" w:cs="Calibri"/>
          <w:sz w:val="22"/>
          <w:szCs w:val="22"/>
        </w:rPr>
        <w:t xml:space="preserve">viral suprimida                                      </w:t>
      </w:r>
      <w:r w:rsidRPr="003F3B0A">
        <w:rPr>
          <w:rFonts w:ascii="Calibri" w:hAnsi="Calibri" w:cs="Calibri"/>
          <w:sz w:val="22"/>
          <w:szCs w:val="22"/>
        </w:rPr>
        <w:tab/>
      </w:r>
      <w:r w:rsidRPr="003F3B0A">
        <w:rPr>
          <w:rFonts w:ascii="Calibri" w:hAnsi="Calibri" w:cs="Calibri"/>
          <w:sz w:val="22"/>
          <w:szCs w:val="22"/>
        </w:rPr>
        <w:tab/>
        <w:t xml:space="preserv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35</w:t>
      </w:r>
    </w:p>
    <w:p w14:paraId="711B5A1A" w14:textId="77777777" w:rsidR="00FD5A66" w:rsidRPr="003F3B0A" w:rsidRDefault="00FD5A66" w:rsidP="00FD5A66">
      <w:pPr>
        <w:spacing w:before="100" w:after="60" w:line="276" w:lineRule="auto"/>
        <w:jc w:val="both"/>
        <w:rPr>
          <w:rFonts w:ascii="Calibri" w:hAnsi="Calibri" w:cs="Calibri"/>
          <w:b/>
          <w:sz w:val="22"/>
          <w:szCs w:val="22"/>
        </w:rPr>
      </w:pPr>
    </w:p>
    <w:p w14:paraId="415C7A93"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AE1C1F"/>
          <w:sz w:val="22"/>
          <w:szCs w:val="22"/>
        </w:rPr>
        <w:t>5. Fracaso del tratamiento antirretroviral</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38</w:t>
      </w:r>
    </w:p>
    <w:p w14:paraId="13D73F3C"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5.1. Definiciones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38</w:t>
      </w:r>
    </w:p>
    <w:p w14:paraId="43A18E81"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5.2. Incidencia y factores determinantes del fracaso virológico</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38</w:t>
      </w:r>
    </w:p>
    <w:p w14:paraId="27E4BD1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5.3. Objetivo del TAR tras el fracaso virológico</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39</w:t>
      </w:r>
    </w:p>
    <w:p w14:paraId="0D35CC42"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5.4. Estrategias para mejorar el éxito de los TAR de rescate</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39</w:t>
      </w:r>
    </w:p>
    <w:p w14:paraId="63E9B15A"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5.5. Escenarios clínicos de fracaso virológico</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40</w:t>
      </w:r>
    </w:p>
    <w:p w14:paraId="1745BE7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5.5.1.</w:t>
      </w:r>
      <w:r w:rsidRPr="003F3B0A">
        <w:rPr>
          <w:rFonts w:ascii="Calibri" w:hAnsi="Calibri" w:cs="Calibri"/>
          <w:sz w:val="22"/>
          <w:szCs w:val="22"/>
        </w:rPr>
        <w:t xml:space="preserve"> </w:t>
      </w:r>
      <w:r w:rsidRPr="003F3B0A">
        <w:rPr>
          <w:rFonts w:ascii="Calibri" w:hAnsi="Calibri" w:cs="Calibri"/>
          <w:i/>
          <w:sz w:val="22"/>
          <w:szCs w:val="22"/>
        </w:rPr>
        <w:t>Fracaso virológico con viremias bajas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40</w:t>
      </w:r>
    </w:p>
    <w:p w14:paraId="69A7820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5.5.2.</w:t>
      </w:r>
      <w:r w:rsidRPr="003F3B0A">
        <w:rPr>
          <w:rFonts w:ascii="Calibri" w:hAnsi="Calibri" w:cs="Calibri"/>
          <w:sz w:val="22"/>
          <w:szCs w:val="22"/>
        </w:rPr>
        <w:t xml:space="preserve"> </w:t>
      </w:r>
      <w:r w:rsidRPr="003F3B0A">
        <w:rPr>
          <w:rFonts w:ascii="Calibri" w:hAnsi="Calibri" w:cs="Calibri"/>
          <w:i/>
          <w:sz w:val="22"/>
          <w:szCs w:val="22"/>
        </w:rPr>
        <w:t>Fracaso virológico precoz</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41</w:t>
      </w:r>
    </w:p>
    <w:p w14:paraId="5A339730"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5.5.3</w:t>
      </w:r>
      <w:r w:rsidRPr="003F3B0A">
        <w:rPr>
          <w:rFonts w:ascii="Calibri" w:hAnsi="Calibri" w:cs="Calibri"/>
          <w:sz w:val="22"/>
          <w:szCs w:val="22"/>
        </w:rPr>
        <w:t xml:space="preserve">. </w:t>
      </w:r>
      <w:r w:rsidRPr="003F3B0A">
        <w:rPr>
          <w:rFonts w:ascii="Calibri" w:hAnsi="Calibri" w:cs="Calibri"/>
          <w:i/>
          <w:sz w:val="22"/>
          <w:szCs w:val="22"/>
        </w:rPr>
        <w:t>Fracaso virológico avanzado</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42</w:t>
      </w:r>
    </w:p>
    <w:p w14:paraId="083BEE1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5.5.4.</w:t>
      </w:r>
      <w:r w:rsidRPr="003F3B0A">
        <w:rPr>
          <w:rFonts w:ascii="Calibri" w:hAnsi="Calibri" w:cs="Calibri"/>
          <w:sz w:val="22"/>
          <w:szCs w:val="22"/>
        </w:rPr>
        <w:t xml:space="preserve"> </w:t>
      </w:r>
      <w:r w:rsidRPr="003F3B0A">
        <w:rPr>
          <w:rFonts w:ascii="Calibri" w:hAnsi="Calibri" w:cs="Calibri"/>
          <w:i/>
          <w:sz w:val="22"/>
          <w:szCs w:val="22"/>
        </w:rPr>
        <w:t>Fracaso virológico en pacientes sin opciones terapéuticas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46</w:t>
      </w:r>
    </w:p>
    <w:p w14:paraId="7E28F603" w14:textId="77777777" w:rsidR="00FD5A66" w:rsidRPr="003F3B0A" w:rsidRDefault="00FD5A66" w:rsidP="00FD5A66">
      <w:pPr>
        <w:spacing w:before="100" w:after="60" w:line="276" w:lineRule="auto"/>
        <w:jc w:val="both"/>
        <w:rPr>
          <w:rFonts w:ascii="Calibri" w:hAnsi="Calibri" w:cs="Calibri"/>
          <w:b/>
          <w:sz w:val="22"/>
          <w:szCs w:val="22"/>
        </w:rPr>
      </w:pPr>
    </w:p>
    <w:p w14:paraId="0472CA41"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AE1C1F"/>
          <w:sz w:val="22"/>
          <w:szCs w:val="22"/>
        </w:rPr>
        <w:t>6. Factores que condicionan el éxito del tratamiento antirretroviral</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50</w:t>
      </w:r>
    </w:p>
    <w:p w14:paraId="42C5C826"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6.1. Adherencia</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50</w:t>
      </w:r>
    </w:p>
    <w:p w14:paraId="389C3DE9"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6.2. Tolerabilidad y efectos adversos del TAR</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53</w:t>
      </w:r>
    </w:p>
    <w:p w14:paraId="5CFFE0E5"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6.2.1. Factores</w:t>
      </w:r>
      <w:r w:rsidRPr="003F3B0A">
        <w:rPr>
          <w:rFonts w:ascii="Calibri" w:hAnsi="Calibri" w:cs="Calibri"/>
          <w:sz w:val="22"/>
          <w:szCs w:val="22"/>
        </w:rPr>
        <w:t xml:space="preserve"> </w:t>
      </w:r>
      <w:r w:rsidRPr="003F3B0A">
        <w:rPr>
          <w:rFonts w:ascii="Calibri" w:hAnsi="Calibri" w:cs="Calibri"/>
          <w:i/>
          <w:sz w:val="22"/>
          <w:szCs w:val="22"/>
        </w:rPr>
        <w:t>asociados a la tolerabilidad del TAR</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53</w:t>
      </w:r>
    </w:p>
    <w:p w14:paraId="5F639572"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6.2.2. Clasificación cronológica de los efectos adversos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53</w:t>
      </w:r>
    </w:p>
    <w:p w14:paraId="0A69119B"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6.2.3. Efectos adversos inmediatos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53</w:t>
      </w:r>
    </w:p>
    <w:p w14:paraId="7BD51CF4"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ab/>
      </w:r>
      <w:r w:rsidRPr="003F3B0A">
        <w:rPr>
          <w:rFonts w:ascii="Calibri" w:hAnsi="Calibri" w:cs="Calibri"/>
          <w:i/>
          <w:sz w:val="22"/>
          <w:szCs w:val="22"/>
        </w:rPr>
        <w:t>6.2.4. Efectos adversos tardíos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54</w:t>
      </w:r>
    </w:p>
    <w:p w14:paraId="39C4BEF1"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6.3. Interacciones farmacológicas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57</w:t>
      </w:r>
    </w:p>
    <w:p w14:paraId="4BDDF898" w14:textId="77777777" w:rsidR="00FD5A66" w:rsidRPr="003F3B0A" w:rsidRDefault="00FD5A66" w:rsidP="00FD5A66">
      <w:pPr>
        <w:spacing w:before="100" w:after="60" w:line="276" w:lineRule="auto"/>
        <w:jc w:val="both"/>
        <w:rPr>
          <w:rFonts w:ascii="Calibri" w:hAnsi="Calibri" w:cs="Calibri"/>
          <w:b/>
          <w:sz w:val="22"/>
          <w:szCs w:val="22"/>
        </w:rPr>
      </w:pPr>
    </w:p>
    <w:p w14:paraId="1D96BF47"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006600"/>
          <w:sz w:val="22"/>
          <w:szCs w:val="22"/>
        </w:rPr>
        <w:t xml:space="preserve"> </w:t>
      </w:r>
      <w:r w:rsidRPr="003F3B0A">
        <w:rPr>
          <w:rFonts w:ascii="Calibri" w:hAnsi="Calibri" w:cs="Calibri"/>
          <w:b/>
          <w:color w:val="AE1C1F"/>
          <w:sz w:val="22"/>
          <w:szCs w:val="22"/>
        </w:rPr>
        <w:t>7. Situaciones especiales</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59</w:t>
      </w:r>
    </w:p>
    <w:p w14:paraId="3B34DB6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7.1. Infección aguda por VIH</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59</w:t>
      </w:r>
    </w:p>
    <w:p w14:paraId="75D1419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7.2. Infección por VIH-2</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62</w:t>
      </w:r>
    </w:p>
    <w:p w14:paraId="77CD91B8"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7.3. Embarazo</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63</w:t>
      </w:r>
    </w:p>
    <w:p w14:paraId="245C40A6"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7.4. Comorbilidades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65</w:t>
      </w:r>
    </w:p>
    <w:p w14:paraId="0228DD13"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i/>
          <w:sz w:val="22"/>
          <w:szCs w:val="22"/>
        </w:rPr>
        <w:t>7.4.1. TAR de inicio en pacientes con infecciones oportunistas no-TB</w:t>
      </w:r>
      <w:r w:rsidRPr="003F3B0A">
        <w:rPr>
          <w:rFonts w:ascii="Calibri" w:hAnsi="Calibri" w:cs="Calibri"/>
          <w:sz w:val="22"/>
          <w:szCs w:val="22"/>
        </w:rPr>
        <w:tab/>
      </w:r>
      <w:r w:rsidRPr="003F3B0A">
        <w:rPr>
          <w:rFonts w:ascii="Calibri" w:hAnsi="Calibri" w:cs="Calibri"/>
          <w:sz w:val="22"/>
          <w:szCs w:val="22"/>
        </w:rPr>
        <w:tab/>
        <w:t>65</w:t>
      </w:r>
    </w:p>
    <w:p w14:paraId="74B5E14A"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i/>
          <w:sz w:val="22"/>
          <w:szCs w:val="22"/>
        </w:rPr>
        <w:t>7.4.2. TAR y tuberculosis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67</w:t>
      </w:r>
    </w:p>
    <w:p w14:paraId="0090C75B"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lastRenderedPageBreak/>
        <w:t xml:space="preserve">    </w:t>
      </w:r>
      <w:r w:rsidRPr="003F3B0A">
        <w:rPr>
          <w:rFonts w:ascii="Calibri" w:hAnsi="Calibri" w:cs="Calibri"/>
          <w:sz w:val="22"/>
          <w:szCs w:val="22"/>
        </w:rPr>
        <w:tab/>
      </w:r>
      <w:r w:rsidRPr="003F3B0A">
        <w:rPr>
          <w:rFonts w:ascii="Calibri" w:hAnsi="Calibri" w:cs="Calibri"/>
          <w:i/>
          <w:sz w:val="22"/>
          <w:szCs w:val="22"/>
        </w:rPr>
        <w:t>7.4.3. Uso de FAR en pacientes con insuficiencia renal</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70</w:t>
      </w:r>
    </w:p>
    <w:p w14:paraId="4D3C8EA7"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i/>
          <w:sz w:val="22"/>
          <w:szCs w:val="22"/>
        </w:rPr>
        <w:t>7.4.4. Hepatopatías (VHB, VHC, cirrosis hepática)</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72</w:t>
      </w:r>
    </w:p>
    <w:p w14:paraId="27397709"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i/>
          <w:sz w:val="22"/>
          <w:szCs w:val="22"/>
        </w:rPr>
        <w:t>7.4.5. Neoplasias</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75</w:t>
      </w:r>
    </w:p>
    <w:p w14:paraId="62985575" w14:textId="77777777" w:rsidR="00FD5A66" w:rsidRPr="003F3B0A" w:rsidRDefault="00FD5A66" w:rsidP="00FD5A66">
      <w:pPr>
        <w:spacing w:before="100" w:after="60" w:line="276" w:lineRule="auto"/>
        <w:jc w:val="both"/>
        <w:rPr>
          <w:rFonts w:ascii="Calibri" w:hAnsi="Calibri" w:cs="Calibri"/>
          <w:sz w:val="22"/>
          <w:szCs w:val="22"/>
        </w:rPr>
      </w:pPr>
    </w:p>
    <w:p w14:paraId="09134465"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color w:val="AE1C1F"/>
          <w:sz w:val="22"/>
          <w:szCs w:val="22"/>
        </w:rPr>
        <w:t xml:space="preserve"> </w:t>
      </w:r>
      <w:r w:rsidRPr="003F3B0A">
        <w:rPr>
          <w:rFonts w:ascii="Calibri" w:hAnsi="Calibri" w:cs="Calibri"/>
          <w:b/>
          <w:color w:val="AE1C1F"/>
          <w:sz w:val="22"/>
          <w:szCs w:val="22"/>
        </w:rPr>
        <w:t>8. Coste comparativo de las diferentes combinaciones de antirretrovirales</w:t>
      </w:r>
      <w:r w:rsidRPr="003F3B0A">
        <w:rPr>
          <w:rFonts w:ascii="Calibri" w:hAnsi="Calibri" w:cs="Calibri"/>
          <w:color w:val="AE1C1F"/>
          <w:sz w:val="22"/>
          <w:szCs w:val="22"/>
        </w:rPr>
        <w:tab/>
      </w:r>
      <w:r w:rsidRPr="003F3B0A">
        <w:rPr>
          <w:rFonts w:ascii="Calibri" w:hAnsi="Calibri" w:cs="Calibri"/>
          <w:color w:val="AE1C1F"/>
          <w:sz w:val="22"/>
          <w:szCs w:val="22"/>
        </w:rPr>
        <w:tab/>
      </w:r>
      <w:r w:rsidRPr="003F3B0A">
        <w:rPr>
          <w:rFonts w:ascii="Calibri" w:hAnsi="Calibri" w:cs="Calibri"/>
          <w:b/>
          <w:color w:val="AE1C1F"/>
          <w:sz w:val="22"/>
          <w:szCs w:val="22"/>
        </w:rPr>
        <w:t>76</w:t>
      </w:r>
    </w:p>
    <w:p w14:paraId="433396D5" w14:textId="77777777" w:rsidR="00FD5A66" w:rsidRPr="003F3B0A" w:rsidRDefault="00FD5A66" w:rsidP="00FD5A66">
      <w:pPr>
        <w:spacing w:before="100" w:after="60" w:line="276" w:lineRule="auto"/>
        <w:jc w:val="both"/>
        <w:rPr>
          <w:rFonts w:ascii="Calibri" w:hAnsi="Calibri" w:cs="Calibri"/>
          <w:b/>
          <w:color w:val="2153DD"/>
          <w:sz w:val="22"/>
          <w:szCs w:val="22"/>
        </w:rPr>
      </w:pPr>
    </w:p>
    <w:p w14:paraId="2D2E2F70" w14:textId="77777777" w:rsidR="00FD5A66" w:rsidRPr="003F3B0A" w:rsidRDefault="00FD5A66" w:rsidP="00FD5A66">
      <w:pPr>
        <w:spacing w:before="100" w:after="60" w:line="276" w:lineRule="auto"/>
        <w:jc w:val="both"/>
        <w:rPr>
          <w:rFonts w:ascii="Calibri" w:hAnsi="Calibri" w:cs="Calibri"/>
          <w:b/>
          <w:color w:val="AE1C1F"/>
          <w:sz w:val="22"/>
          <w:szCs w:val="22"/>
        </w:rPr>
      </w:pPr>
      <w:r w:rsidRPr="003F3B0A">
        <w:rPr>
          <w:rFonts w:ascii="Calibri" w:hAnsi="Calibri" w:cs="Calibri"/>
          <w:b/>
          <w:color w:val="006600"/>
          <w:sz w:val="22"/>
          <w:szCs w:val="22"/>
        </w:rPr>
        <w:t xml:space="preserve"> </w:t>
      </w:r>
      <w:r w:rsidRPr="003F3B0A">
        <w:rPr>
          <w:rFonts w:ascii="Calibri" w:hAnsi="Calibri" w:cs="Calibri"/>
          <w:b/>
          <w:color w:val="AE1C1F"/>
          <w:sz w:val="22"/>
          <w:szCs w:val="22"/>
        </w:rPr>
        <w:t>Tablas</w:t>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r>
      <w:r w:rsidRPr="003F3B0A">
        <w:rPr>
          <w:rFonts w:ascii="Calibri" w:hAnsi="Calibri" w:cs="Calibri"/>
          <w:b/>
          <w:color w:val="AE1C1F"/>
          <w:sz w:val="22"/>
          <w:szCs w:val="22"/>
        </w:rPr>
        <w:tab/>
        <w:t xml:space="preserve">              </w:t>
      </w:r>
      <w:r w:rsidRPr="003F3B0A">
        <w:rPr>
          <w:rFonts w:ascii="Calibri" w:hAnsi="Calibri" w:cs="Calibri"/>
          <w:b/>
          <w:color w:val="AE1C1F"/>
          <w:sz w:val="22"/>
          <w:szCs w:val="22"/>
        </w:rPr>
        <w:tab/>
      </w:r>
      <w:r w:rsidRPr="003F3B0A">
        <w:rPr>
          <w:rFonts w:ascii="Calibri" w:hAnsi="Calibri" w:cs="Calibri"/>
          <w:b/>
          <w:color w:val="AE1C1F"/>
          <w:sz w:val="22"/>
          <w:szCs w:val="22"/>
        </w:rPr>
        <w:tab/>
        <w:t>78</w:t>
      </w:r>
    </w:p>
    <w:p w14:paraId="5FDEAF28" w14:textId="77777777" w:rsidR="00FD5A66" w:rsidRPr="003F3B0A" w:rsidRDefault="00FD5A66" w:rsidP="00FD5A66">
      <w:pPr>
        <w:spacing w:before="100" w:after="60" w:line="276" w:lineRule="auto"/>
        <w:jc w:val="both"/>
        <w:rPr>
          <w:rFonts w:ascii="Calibri" w:hAnsi="Calibri" w:cs="Calibri"/>
          <w:sz w:val="22"/>
          <w:szCs w:val="22"/>
        </w:rPr>
      </w:pPr>
      <w:r w:rsidRPr="003F3B0A">
        <w:rPr>
          <w:rFonts w:ascii="Calibri" w:hAnsi="Calibri" w:cs="Calibri"/>
          <w:b/>
          <w:color w:val="AE1C1F"/>
          <w:sz w:val="22"/>
          <w:szCs w:val="22"/>
        </w:rPr>
        <w:t>Declaración de transparencia (conflictos de interés)</w:t>
      </w:r>
      <w:r w:rsidRPr="003F3B0A">
        <w:rPr>
          <w:rFonts w:ascii="Calibri" w:hAnsi="Calibri" w:cs="Calibri"/>
          <w:sz w:val="22"/>
          <w:szCs w:val="22"/>
        </w:rPr>
        <w:t xml:space="preserve">  </w:t>
      </w:r>
      <w:r w:rsidRPr="003F3B0A">
        <w:rPr>
          <w:rFonts w:ascii="Calibri" w:hAnsi="Calibri" w:cs="Calibri"/>
          <w:sz w:val="22"/>
          <w:szCs w:val="22"/>
        </w:rPr>
        <w:tab/>
      </w:r>
      <w:r w:rsidRPr="003F3B0A">
        <w:rPr>
          <w:rFonts w:ascii="Calibri" w:hAnsi="Calibri" w:cs="Calibri"/>
          <w:sz w:val="22"/>
          <w:szCs w:val="22"/>
        </w:rPr>
        <w:tab/>
      </w:r>
      <w:r w:rsidRPr="003F3B0A">
        <w:rPr>
          <w:rFonts w:ascii="Calibri" w:hAnsi="Calibri" w:cs="Calibri"/>
          <w:sz w:val="22"/>
          <w:szCs w:val="22"/>
        </w:rPr>
        <w:tab/>
        <w:t xml:space="preserve">            </w:t>
      </w:r>
      <w:r w:rsidRPr="003F3B0A">
        <w:rPr>
          <w:rFonts w:ascii="Calibri" w:hAnsi="Calibri" w:cs="Calibri"/>
          <w:sz w:val="22"/>
          <w:szCs w:val="22"/>
        </w:rPr>
        <w:tab/>
        <w:t xml:space="preserve">            </w:t>
      </w:r>
      <w:r w:rsidRPr="003F3B0A">
        <w:rPr>
          <w:rFonts w:ascii="Calibri" w:hAnsi="Calibri" w:cs="Calibri"/>
          <w:b/>
          <w:color w:val="AE1C1F"/>
          <w:sz w:val="22"/>
          <w:szCs w:val="22"/>
        </w:rPr>
        <w:t>122</w:t>
      </w:r>
      <w:r w:rsidRPr="003F3B0A">
        <w:rPr>
          <w:rFonts w:ascii="Calibri" w:hAnsi="Calibri" w:cs="Calibri"/>
          <w:sz w:val="22"/>
          <w:szCs w:val="22"/>
        </w:rPr>
        <w:tab/>
      </w:r>
    </w:p>
    <w:p w14:paraId="7F2A00ED" w14:textId="5DEF9295" w:rsidR="00616450" w:rsidRDefault="00616450">
      <w:pPr>
        <w:rPr>
          <w:rFonts w:ascii="Arial" w:eastAsiaTheme="minorHAnsi" w:hAnsi="Arial" w:cs="Arial"/>
          <w:b/>
          <w:bCs/>
          <w:color w:val="9F0034"/>
          <w:sz w:val="28"/>
          <w:szCs w:val="28"/>
          <w:lang w:val="es-ES_tradnl" w:eastAsia="en-US"/>
        </w:rPr>
      </w:pPr>
    </w:p>
    <w:p w14:paraId="4AD753EA" w14:textId="77777777" w:rsidR="00616450" w:rsidRDefault="00616450">
      <w:pPr>
        <w:rPr>
          <w:rFonts w:ascii="Arial" w:eastAsiaTheme="minorHAnsi" w:hAnsi="Arial" w:cs="Arial"/>
          <w:b/>
          <w:bCs/>
          <w:color w:val="9F0034"/>
          <w:sz w:val="28"/>
          <w:szCs w:val="28"/>
          <w:lang w:val="es-ES_tradnl" w:eastAsia="en-US"/>
        </w:rPr>
      </w:pPr>
    </w:p>
    <w:p w14:paraId="75C92CCE" w14:textId="5415C8DF" w:rsidR="00FD5A66" w:rsidRDefault="00FD5A66">
      <w:pPr>
        <w:rPr>
          <w:rFonts w:ascii="Arial" w:eastAsiaTheme="minorHAnsi" w:hAnsi="Arial" w:cs="Arial"/>
          <w:b/>
          <w:bCs/>
          <w:color w:val="9F0034"/>
          <w:sz w:val="28"/>
          <w:szCs w:val="28"/>
          <w:lang w:val="es-ES_tradnl" w:eastAsia="en-US"/>
        </w:rPr>
      </w:pPr>
      <w:r>
        <w:rPr>
          <w:rFonts w:ascii="Arial" w:eastAsiaTheme="minorHAnsi" w:hAnsi="Arial" w:cs="Arial"/>
          <w:b/>
          <w:bCs/>
          <w:color w:val="9F0034"/>
          <w:sz w:val="28"/>
          <w:szCs w:val="28"/>
          <w:lang w:val="es-ES_tradnl" w:eastAsia="en-US"/>
        </w:rPr>
        <w:br w:type="page"/>
      </w:r>
    </w:p>
    <w:p w14:paraId="17B6B382" w14:textId="77777777" w:rsidR="00FD5A66" w:rsidRPr="003F3B0A" w:rsidRDefault="00FD5A66" w:rsidP="00FD5A66">
      <w:pPr>
        <w:spacing w:before="100" w:after="60" w:line="276" w:lineRule="auto"/>
        <w:jc w:val="both"/>
        <w:rPr>
          <w:rFonts w:ascii="Arial" w:hAnsi="Arial" w:cs="Arial"/>
          <w:b/>
          <w:color w:val="AE1C1F"/>
        </w:rPr>
      </w:pPr>
      <w:r w:rsidRPr="003F3B0A">
        <w:rPr>
          <w:rFonts w:ascii="Arial" w:hAnsi="Arial" w:cs="Arial"/>
          <w:b/>
          <w:color w:val="AE1C1F"/>
          <w:sz w:val="28"/>
          <w:szCs w:val="28"/>
        </w:rPr>
        <w:lastRenderedPageBreak/>
        <w:t>ABREVIATURAS UTILIZADAS</w:t>
      </w:r>
    </w:p>
    <w:tbl>
      <w:tblPr>
        <w:tblW w:w="0" w:type="auto"/>
        <w:tblInd w:w="-106" w:type="dxa"/>
        <w:tblLook w:val="01E0" w:firstRow="1" w:lastRow="1" w:firstColumn="1" w:lastColumn="1" w:noHBand="0" w:noVBand="0"/>
      </w:tblPr>
      <w:tblGrid>
        <w:gridCol w:w="1276"/>
        <w:gridCol w:w="6662"/>
      </w:tblGrid>
      <w:tr w:rsidR="00FD5A66" w:rsidRPr="003F3B0A" w14:paraId="6626AB6E" w14:textId="77777777" w:rsidTr="007B4109">
        <w:tc>
          <w:tcPr>
            <w:tcW w:w="1276" w:type="dxa"/>
          </w:tcPr>
          <w:p w14:paraId="571148B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3TC</w:t>
            </w:r>
          </w:p>
        </w:tc>
        <w:tc>
          <w:tcPr>
            <w:tcW w:w="6662" w:type="dxa"/>
          </w:tcPr>
          <w:p w14:paraId="4D202B3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Lamivudina</w:t>
            </w:r>
          </w:p>
        </w:tc>
      </w:tr>
      <w:tr w:rsidR="00FD5A66" w:rsidRPr="003F3B0A" w14:paraId="25893EF5" w14:textId="77777777" w:rsidTr="007B4109">
        <w:tc>
          <w:tcPr>
            <w:tcW w:w="1276" w:type="dxa"/>
          </w:tcPr>
          <w:p w14:paraId="748B7B9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ABC</w:t>
            </w:r>
          </w:p>
        </w:tc>
        <w:tc>
          <w:tcPr>
            <w:tcW w:w="6662" w:type="dxa"/>
          </w:tcPr>
          <w:p w14:paraId="2612426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Abacavir</w:t>
            </w:r>
          </w:p>
        </w:tc>
      </w:tr>
      <w:tr w:rsidR="00FD5A66" w:rsidRPr="003F3B0A" w14:paraId="5C39BB7A" w14:textId="77777777" w:rsidTr="007B4109">
        <w:tc>
          <w:tcPr>
            <w:tcW w:w="1276" w:type="dxa"/>
          </w:tcPr>
          <w:p w14:paraId="1D410DE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ATV</w:t>
            </w:r>
          </w:p>
        </w:tc>
        <w:tc>
          <w:tcPr>
            <w:tcW w:w="6662" w:type="dxa"/>
          </w:tcPr>
          <w:p w14:paraId="63C01D8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Atazanavir</w:t>
            </w:r>
          </w:p>
        </w:tc>
      </w:tr>
      <w:tr w:rsidR="00FD5A66" w:rsidRPr="003F3B0A" w14:paraId="760A536C" w14:textId="77777777" w:rsidTr="007B4109">
        <w:tc>
          <w:tcPr>
            <w:tcW w:w="1276" w:type="dxa"/>
          </w:tcPr>
          <w:p w14:paraId="2DDA25B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BID</w:t>
            </w:r>
          </w:p>
          <w:p w14:paraId="24E4C02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BIC</w:t>
            </w:r>
          </w:p>
        </w:tc>
        <w:tc>
          <w:tcPr>
            <w:tcW w:w="6662" w:type="dxa"/>
          </w:tcPr>
          <w:p w14:paraId="76ABA11B"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Fármaco o pauta terapéutica administrados dos veces al día</w:t>
            </w:r>
          </w:p>
          <w:p w14:paraId="315070F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Bictegravir</w:t>
            </w:r>
          </w:p>
        </w:tc>
      </w:tr>
      <w:tr w:rsidR="00FD5A66" w:rsidRPr="003F3B0A" w14:paraId="6B04B1D8" w14:textId="77777777" w:rsidTr="007B4109">
        <w:tc>
          <w:tcPr>
            <w:tcW w:w="1276" w:type="dxa"/>
          </w:tcPr>
          <w:p w14:paraId="052F501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COBI</w:t>
            </w:r>
          </w:p>
        </w:tc>
        <w:tc>
          <w:tcPr>
            <w:tcW w:w="6662" w:type="dxa"/>
          </w:tcPr>
          <w:p w14:paraId="031F838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Cobicistat</w:t>
            </w:r>
          </w:p>
        </w:tc>
      </w:tr>
      <w:tr w:rsidR="00FD5A66" w:rsidRPr="003F3B0A" w14:paraId="24892AAE" w14:textId="77777777" w:rsidTr="007B4109">
        <w:tc>
          <w:tcPr>
            <w:tcW w:w="1276" w:type="dxa"/>
          </w:tcPr>
          <w:p w14:paraId="2E279E5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CVP</w:t>
            </w:r>
          </w:p>
        </w:tc>
        <w:tc>
          <w:tcPr>
            <w:tcW w:w="6662" w:type="dxa"/>
          </w:tcPr>
          <w:p w14:paraId="40F2252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Carga viral plasmática</w:t>
            </w:r>
          </w:p>
        </w:tc>
      </w:tr>
      <w:tr w:rsidR="00FD5A66" w:rsidRPr="003F3B0A" w14:paraId="30D7F42D" w14:textId="77777777" w:rsidTr="007B4109">
        <w:tc>
          <w:tcPr>
            <w:tcW w:w="1276" w:type="dxa"/>
          </w:tcPr>
          <w:p w14:paraId="3D372E4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d4T</w:t>
            </w:r>
          </w:p>
        </w:tc>
        <w:tc>
          <w:tcPr>
            <w:tcW w:w="6662" w:type="dxa"/>
          </w:tcPr>
          <w:p w14:paraId="08F818B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Estavudina</w:t>
            </w:r>
          </w:p>
        </w:tc>
      </w:tr>
      <w:tr w:rsidR="00FD5A66" w:rsidRPr="003F3B0A" w14:paraId="03D772FB" w14:textId="77777777" w:rsidTr="007B4109">
        <w:tc>
          <w:tcPr>
            <w:tcW w:w="1276" w:type="dxa"/>
          </w:tcPr>
          <w:p w14:paraId="67BF2CD3"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ddI</w:t>
            </w:r>
          </w:p>
        </w:tc>
        <w:tc>
          <w:tcPr>
            <w:tcW w:w="6662" w:type="dxa"/>
          </w:tcPr>
          <w:p w14:paraId="2C27899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Didanosina</w:t>
            </w:r>
          </w:p>
        </w:tc>
      </w:tr>
      <w:tr w:rsidR="00FD5A66" w:rsidRPr="003F3B0A" w14:paraId="785659C5" w14:textId="77777777" w:rsidTr="007B4109">
        <w:tc>
          <w:tcPr>
            <w:tcW w:w="1276" w:type="dxa"/>
          </w:tcPr>
          <w:p w14:paraId="7B62AEF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DRV</w:t>
            </w:r>
          </w:p>
        </w:tc>
        <w:tc>
          <w:tcPr>
            <w:tcW w:w="6662" w:type="dxa"/>
          </w:tcPr>
          <w:p w14:paraId="13DF4B3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Darunavir</w:t>
            </w:r>
          </w:p>
        </w:tc>
      </w:tr>
      <w:tr w:rsidR="00FD5A66" w:rsidRPr="003F3B0A" w14:paraId="2FFB6A7C" w14:textId="77777777" w:rsidTr="007B4109">
        <w:tc>
          <w:tcPr>
            <w:tcW w:w="1276" w:type="dxa"/>
          </w:tcPr>
          <w:p w14:paraId="23BEC903"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DTG</w:t>
            </w:r>
          </w:p>
          <w:p w14:paraId="6932480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DOR</w:t>
            </w:r>
          </w:p>
        </w:tc>
        <w:tc>
          <w:tcPr>
            <w:tcW w:w="6662" w:type="dxa"/>
          </w:tcPr>
          <w:p w14:paraId="49027A3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Dolutegravir</w:t>
            </w:r>
          </w:p>
          <w:p w14:paraId="7F16FD2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Doravirina</w:t>
            </w:r>
          </w:p>
        </w:tc>
      </w:tr>
      <w:tr w:rsidR="00FD5A66" w:rsidRPr="003F3B0A" w14:paraId="1641541A" w14:textId="77777777" w:rsidTr="007B4109">
        <w:tc>
          <w:tcPr>
            <w:tcW w:w="1276" w:type="dxa"/>
          </w:tcPr>
          <w:p w14:paraId="5B30E74B"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FGe</w:t>
            </w:r>
          </w:p>
        </w:tc>
        <w:tc>
          <w:tcPr>
            <w:tcW w:w="6662" w:type="dxa"/>
          </w:tcPr>
          <w:p w14:paraId="7E2616B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Filtrado glomerular estimado</w:t>
            </w:r>
          </w:p>
        </w:tc>
      </w:tr>
      <w:tr w:rsidR="00FD5A66" w:rsidRPr="003F3B0A" w14:paraId="5300A106" w14:textId="77777777" w:rsidTr="007B4109">
        <w:tc>
          <w:tcPr>
            <w:tcW w:w="1276" w:type="dxa"/>
          </w:tcPr>
          <w:p w14:paraId="63442E2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EFV</w:t>
            </w:r>
          </w:p>
        </w:tc>
        <w:tc>
          <w:tcPr>
            <w:tcW w:w="6662" w:type="dxa"/>
          </w:tcPr>
          <w:p w14:paraId="49AB7DA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Efavirenz</w:t>
            </w:r>
          </w:p>
        </w:tc>
      </w:tr>
      <w:tr w:rsidR="00FD5A66" w:rsidRPr="003F3B0A" w14:paraId="68F027F8" w14:textId="77777777" w:rsidTr="007B4109">
        <w:tc>
          <w:tcPr>
            <w:tcW w:w="1276" w:type="dxa"/>
          </w:tcPr>
          <w:p w14:paraId="5A2E3AD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EMA</w:t>
            </w:r>
          </w:p>
        </w:tc>
        <w:tc>
          <w:tcPr>
            <w:tcW w:w="6662" w:type="dxa"/>
          </w:tcPr>
          <w:p w14:paraId="3A945E3D" w14:textId="77777777" w:rsidR="00FD5A66" w:rsidRPr="003F3B0A" w:rsidRDefault="00FD5A66" w:rsidP="007B4109">
            <w:pPr>
              <w:spacing w:before="100" w:after="60" w:line="276" w:lineRule="auto"/>
              <w:jc w:val="both"/>
              <w:rPr>
                <w:rFonts w:ascii="Arial" w:hAnsi="Arial" w:cs="Arial"/>
                <w:i/>
              </w:rPr>
            </w:pPr>
            <w:r w:rsidRPr="003F3B0A">
              <w:rPr>
                <w:rFonts w:ascii="Arial" w:hAnsi="Arial" w:cs="Arial"/>
                <w:i/>
              </w:rPr>
              <w:t>European Medicines Agency</w:t>
            </w:r>
          </w:p>
        </w:tc>
      </w:tr>
      <w:tr w:rsidR="00FD5A66" w:rsidRPr="003F3B0A" w14:paraId="59CA8A58" w14:textId="77777777" w:rsidTr="007B4109">
        <w:tc>
          <w:tcPr>
            <w:tcW w:w="1276" w:type="dxa"/>
          </w:tcPr>
          <w:p w14:paraId="603A3ED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ENF</w:t>
            </w:r>
          </w:p>
        </w:tc>
        <w:tc>
          <w:tcPr>
            <w:tcW w:w="6662" w:type="dxa"/>
          </w:tcPr>
          <w:p w14:paraId="3588BD1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Enfuvirtida</w:t>
            </w:r>
          </w:p>
        </w:tc>
      </w:tr>
      <w:tr w:rsidR="00FD5A66" w:rsidRPr="003F3B0A" w14:paraId="37D2546F" w14:textId="77777777" w:rsidTr="007B4109">
        <w:tc>
          <w:tcPr>
            <w:tcW w:w="1276" w:type="dxa"/>
          </w:tcPr>
          <w:p w14:paraId="4A2A494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ETR</w:t>
            </w:r>
          </w:p>
        </w:tc>
        <w:tc>
          <w:tcPr>
            <w:tcW w:w="6662" w:type="dxa"/>
          </w:tcPr>
          <w:p w14:paraId="5349230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Etravirina</w:t>
            </w:r>
          </w:p>
        </w:tc>
      </w:tr>
      <w:tr w:rsidR="00FD5A66" w:rsidRPr="003F3B0A" w14:paraId="79413DDF" w14:textId="77777777" w:rsidTr="007B4109">
        <w:tc>
          <w:tcPr>
            <w:tcW w:w="1276" w:type="dxa"/>
          </w:tcPr>
          <w:p w14:paraId="1AFDEE55"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EVG</w:t>
            </w:r>
          </w:p>
        </w:tc>
        <w:tc>
          <w:tcPr>
            <w:tcW w:w="6662" w:type="dxa"/>
          </w:tcPr>
          <w:p w14:paraId="1AACFBB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Elvitegravir</w:t>
            </w:r>
          </w:p>
        </w:tc>
      </w:tr>
      <w:tr w:rsidR="00FD5A66" w:rsidRPr="003F3B0A" w14:paraId="5A207FE5" w14:textId="77777777" w:rsidTr="007B4109">
        <w:tc>
          <w:tcPr>
            <w:tcW w:w="1276" w:type="dxa"/>
          </w:tcPr>
          <w:p w14:paraId="56EF7C2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EVG/c</w:t>
            </w:r>
          </w:p>
        </w:tc>
        <w:tc>
          <w:tcPr>
            <w:tcW w:w="6662" w:type="dxa"/>
          </w:tcPr>
          <w:p w14:paraId="3C7B1D5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Elvitegravir potenciado con cobicistat</w:t>
            </w:r>
          </w:p>
        </w:tc>
      </w:tr>
      <w:tr w:rsidR="00FD5A66" w:rsidRPr="003F3B0A" w14:paraId="436A59B1" w14:textId="77777777" w:rsidTr="007B4109">
        <w:tc>
          <w:tcPr>
            <w:tcW w:w="1276" w:type="dxa"/>
          </w:tcPr>
          <w:p w14:paraId="2BD75B5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FAR</w:t>
            </w:r>
          </w:p>
        </w:tc>
        <w:tc>
          <w:tcPr>
            <w:tcW w:w="6662" w:type="dxa"/>
          </w:tcPr>
          <w:p w14:paraId="7FD9038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Fármacos antirretrovirales</w:t>
            </w:r>
          </w:p>
        </w:tc>
      </w:tr>
      <w:tr w:rsidR="00FD5A66" w:rsidRPr="003F3B0A" w14:paraId="67CE01A5" w14:textId="77777777" w:rsidTr="007B4109">
        <w:tc>
          <w:tcPr>
            <w:tcW w:w="1276" w:type="dxa"/>
          </w:tcPr>
          <w:p w14:paraId="61FFC5E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FPV</w:t>
            </w:r>
          </w:p>
        </w:tc>
        <w:tc>
          <w:tcPr>
            <w:tcW w:w="6662" w:type="dxa"/>
          </w:tcPr>
          <w:p w14:paraId="2C58DAC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Fosamprenavir</w:t>
            </w:r>
          </w:p>
        </w:tc>
      </w:tr>
      <w:tr w:rsidR="00FD5A66" w:rsidRPr="003F3B0A" w14:paraId="7C0FA25F" w14:textId="77777777" w:rsidTr="007B4109">
        <w:tc>
          <w:tcPr>
            <w:tcW w:w="1276" w:type="dxa"/>
          </w:tcPr>
          <w:p w14:paraId="652212B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FTC</w:t>
            </w:r>
          </w:p>
        </w:tc>
        <w:tc>
          <w:tcPr>
            <w:tcW w:w="6662" w:type="dxa"/>
          </w:tcPr>
          <w:p w14:paraId="67351FB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Emtricitabina</w:t>
            </w:r>
          </w:p>
        </w:tc>
      </w:tr>
      <w:tr w:rsidR="00FD5A66" w:rsidRPr="003F3B0A" w14:paraId="778202B9" w14:textId="77777777" w:rsidTr="007B4109">
        <w:tc>
          <w:tcPr>
            <w:tcW w:w="1276" w:type="dxa"/>
          </w:tcPr>
          <w:p w14:paraId="7ED51B5B"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FV</w:t>
            </w:r>
          </w:p>
        </w:tc>
        <w:tc>
          <w:tcPr>
            <w:tcW w:w="6662" w:type="dxa"/>
          </w:tcPr>
          <w:p w14:paraId="50877435"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Fracaso virológico</w:t>
            </w:r>
          </w:p>
        </w:tc>
      </w:tr>
      <w:tr w:rsidR="00FD5A66" w:rsidRPr="003F3B0A" w14:paraId="3F63BC32" w14:textId="77777777" w:rsidTr="007B4109">
        <w:tc>
          <w:tcPr>
            <w:tcW w:w="1276" w:type="dxa"/>
          </w:tcPr>
          <w:p w14:paraId="51AF5B8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INI</w:t>
            </w:r>
          </w:p>
        </w:tc>
        <w:tc>
          <w:tcPr>
            <w:tcW w:w="6662" w:type="dxa"/>
          </w:tcPr>
          <w:p w14:paraId="4F565E1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de la integrasa</w:t>
            </w:r>
          </w:p>
        </w:tc>
      </w:tr>
      <w:tr w:rsidR="00FD5A66" w:rsidRPr="003F3B0A" w14:paraId="387B8A0F" w14:textId="77777777" w:rsidTr="007B4109">
        <w:tc>
          <w:tcPr>
            <w:tcW w:w="1276" w:type="dxa"/>
          </w:tcPr>
          <w:p w14:paraId="703793F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IP</w:t>
            </w:r>
          </w:p>
        </w:tc>
        <w:tc>
          <w:tcPr>
            <w:tcW w:w="6662" w:type="dxa"/>
          </w:tcPr>
          <w:p w14:paraId="1F3467B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de la proteasa</w:t>
            </w:r>
          </w:p>
        </w:tc>
      </w:tr>
      <w:tr w:rsidR="00FD5A66" w:rsidRPr="003F3B0A" w14:paraId="51819807" w14:textId="77777777" w:rsidTr="007B4109">
        <w:tc>
          <w:tcPr>
            <w:tcW w:w="1276" w:type="dxa"/>
          </w:tcPr>
          <w:p w14:paraId="766C2C3A"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IP/p</w:t>
            </w:r>
          </w:p>
        </w:tc>
        <w:tc>
          <w:tcPr>
            <w:tcW w:w="6662" w:type="dxa"/>
          </w:tcPr>
          <w:p w14:paraId="2EE9918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de la proteasa potenciado</w:t>
            </w:r>
          </w:p>
        </w:tc>
      </w:tr>
      <w:tr w:rsidR="00FD5A66" w:rsidRPr="003F3B0A" w14:paraId="3C66F899" w14:textId="77777777" w:rsidTr="007B4109">
        <w:tc>
          <w:tcPr>
            <w:tcW w:w="1276" w:type="dxa"/>
          </w:tcPr>
          <w:p w14:paraId="73B21B2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IP/r/c</w:t>
            </w:r>
          </w:p>
        </w:tc>
        <w:tc>
          <w:tcPr>
            <w:tcW w:w="6662" w:type="dxa"/>
          </w:tcPr>
          <w:p w14:paraId="12C8CCD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de la proteasa potenciado con ritonavir o cobicistat</w:t>
            </w:r>
          </w:p>
        </w:tc>
      </w:tr>
      <w:tr w:rsidR="00FD5A66" w:rsidRPr="003F3B0A" w14:paraId="2A4D20F5" w14:textId="77777777" w:rsidTr="007B4109">
        <w:tc>
          <w:tcPr>
            <w:tcW w:w="1276" w:type="dxa"/>
          </w:tcPr>
          <w:p w14:paraId="555BCAAA"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ITIAN</w:t>
            </w:r>
          </w:p>
        </w:tc>
        <w:tc>
          <w:tcPr>
            <w:tcW w:w="6662" w:type="dxa"/>
          </w:tcPr>
          <w:p w14:paraId="3D7AC7BB"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transcriptasa inversa análogo de nucleósido/tido.</w:t>
            </w:r>
          </w:p>
        </w:tc>
      </w:tr>
      <w:tr w:rsidR="00FD5A66" w:rsidRPr="003F3B0A" w14:paraId="4C3EB70E" w14:textId="77777777" w:rsidTr="007B4109">
        <w:tc>
          <w:tcPr>
            <w:tcW w:w="1276" w:type="dxa"/>
          </w:tcPr>
          <w:p w14:paraId="6BF6308A"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lastRenderedPageBreak/>
              <w:t>ITINN</w:t>
            </w:r>
          </w:p>
        </w:tc>
        <w:tc>
          <w:tcPr>
            <w:tcW w:w="6662" w:type="dxa"/>
          </w:tcPr>
          <w:p w14:paraId="5EB120A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Inhibidor transcriptasa inversa no nucleósido</w:t>
            </w:r>
          </w:p>
        </w:tc>
      </w:tr>
      <w:tr w:rsidR="00FD5A66" w:rsidRPr="003F3B0A" w14:paraId="0BF561C2" w14:textId="77777777" w:rsidTr="007B4109">
        <w:tc>
          <w:tcPr>
            <w:tcW w:w="1276" w:type="dxa"/>
          </w:tcPr>
          <w:p w14:paraId="1D016EC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ITS</w:t>
            </w:r>
          </w:p>
        </w:tc>
        <w:tc>
          <w:tcPr>
            <w:tcW w:w="6662" w:type="dxa"/>
          </w:tcPr>
          <w:p w14:paraId="5B028D5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Infecciones de transmisión sexual</w:t>
            </w:r>
          </w:p>
        </w:tc>
      </w:tr>
      <w:tr w:rsidR="00FD5A66" w:rsidRPr="003F3B0A" w14:paraId="44E3A563" w14:textId="77777777" w:rsidTr="007B4109">
        <w:tc>
          <w:tcPr>
            <w:tcW w:w="1276" w:type="dxa"/>
          </w:tcPr>
          <w:p w14:paraId="5FB3FB75"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LPV</w:t>
            </w:r>
          </w:p>
        </w:tc>
        <w:tc>
          <w:tcPr>
            <w:tcW w:w="6662" w:type="dxa"/>
          </w:tcPr>
          <w:p w14:paraId="16C2A93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Lopinavir</w:t>
            </w:r>
          </w:p>
        </w:tc>
      </w:tr>
      <w:tr w:rsidR="00FD5A66" w:rsidRPr="003F3B0A" w14:paraId="5713BE53" w14:textId="77777777" w:rsidTr="007B4109">
        <w:tc>
          <w:tcPr>
            <w:tcW w:w="1276" w:type="dxa"/>
          </w:tcPr>
          <w:p w14:paraId="6C4C961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MR</w:t>
            </w:r>
          </w:p>
        </w:tc>
        <w:tc>
          <w:tcPr>
            <w:tcW w:w="6662" w:type="dxa"/>
          </w:tcPr>
          <w:p w14:paraId="5126C30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Mutaciones de resistencia</w:t>
            </w:r>
          </w:p>
        </w:tc>
      </w:tr>
      <w:tr w:rsidR="00FD5A66" w:rsidRPr="003F3B0A" w14:paraId="217D9B36" w14:textId="77777777" w:rsidTr="007B4109">
        <w:tc>
          <w:tcPr>
            <w:tcW w:w="1276" w:type="dxa"/>
          </w:tcPr>
          <w:p w14:paraId="2B79628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MVC</w:t>
            </w:r>
          </w:p>
          <w:p w14:paraId="6AC4950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NPJ</w:t>
            </w:r>
          </w:p>
        </w:tc>
        <w:tc>
          <w:tcPr>
            <w:tcW w:w="6662" w:type="dxa"/>
          </w:tcPr>
          <w:p w14:paraId="12950C4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Maraviroc</w:t>
            </w:r>
          </w:p>
          <w:p w14:paraId="7B059DA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lang w:val="es-ES_tradnl"/>
              </w:rPr>
              <w:t xml:space="preserve">neumonía por </w:t>
            </w:r>
            <w:r w:rsidRPr="003F3B0A">
              <w:rPr>
                <w:rFonts w:ascii="Arial" w:hAnsi="Arial" w:cs="Arial"/>
                <w:i/>
                <w:iCs/>
                <w:lang w:val="es-ES_tradnl"/>
              </w:rPr>
              <w:t>Pneumocystis jirovecii</w:t>
            </w:r>
          </w:p>
        </w:tc>
      </w:tr>
      <w:tr w:rsidR="00FD5A66" w:rsidRPr="003F3B0A" w14:paraId="503FCB07" w14:textId="77777777" w:rsidTr="007B4109">
        <w:tc>
          <w:tcPr>
            <w:tcW w:w="1276" w:type="dxa"/>
          </w:tcPr>
          <w:p w14:paraId="6AB8193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NVP</w:t>
            </w:r>
          </w:p>
        </w:tc>
        <w:tc>
          <w:tcPr>
            <w:tcW w:w="6662" w:type="dxa"/>
          </w:tcPr>
          <w:p w14:paraId="33AB5DF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Nevirapina</w:t>
            </w:r>
          </w:p>
        </w:tc>
      </w:tr>
      <w:tr w:rsidR="00FD5A66" w:rsidRPr="003F3B0A" w14:paraId="4C7A9A58" w14:textId="77777777" w:rsidTr="007B4109">
        <w:tc>
          <w:tcPr>
            <w:tcW w:w="1276" w:type="dxa"/>
          </w:tcPr>
          <w:p w14:paraId="3A5CBBA3"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QD</w:t>
            </w:r>
          </w:p>
        </w:tc>
        <w:tc>
          <w:tcPr>
            <w:tcW w:w="6662" w:type="dxa"/>
          </w:tcPr>
          <w:p w14:paraId="12972BD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Fármaco o pauta de tratamiento administrada una vez al día</w:t>
            </w:r>
          </w:p>
        </w:tc>
      </w:tr>
      <w:tr w:rsidR="00FD5A66" w:rsidRPr="003F3B0A" w14:paraId="37D4A7F2" w14:textId="77777777" w:rsidTr="007B4109">
        <w:tc>
          <w:tcPr>
            <w:tcW w:w="1276" w:type="dxa"/>
          </w:tcPr>
          <w:p w14:paraId="168012B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RHS</w:t>
            </w:r>
          </w:p>
        </w:tc>
        <w:tc>
          <w:tcPr>
            <w:tcW w:w="6662" w:type="dxa"/>
          </w:tcPr>
          <w:p w14:paraId="4A5B9E4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Reacción de hipersensibilidad</w:t>
            </w:r>
          </w:p>
        </w:tc>
      </w:tr>
      <w:tr w:rsidR="00FD5A66" w:rsidRPr="003F3B0A" w14:paraId="6EB21116" w14:textId="77777777" w:rsidTr="007B4109">
        <w:tc>
          <w:tcPr>
            <w:tcW w:w="1276" w:type="dxa"/>
          </w:tcPr>
          <w:p w14:paraId="743BBCB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RAL</w:t>
            </w:r>
          </w:p>
        </w:tc>
        <w:tc>
          <w:tcPr>
            <w:tcW w:w="6662" w:type="dxa"/>
          </w:tcPr>
          <w:p w14:paraId="32C29A9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Raltegravir</w:t>
            </w:r>
          </w:p>
        </w:tc>
      </w:tr>
      <w:tr w:rsidR="00FD5A66" w:rsidRPr="003F3B0A" w14:paraId="4F4CC7F2" w14:textId="77777777" w:rsidTr="007B4109">
        <w:tc>
          <w:tcPr>
            <w:tcW w:w="1276" w:type="dxa"/>
          </w:tcPr>
          <w:p w14:paraId="40465E9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RPV</w:t>
            </w:r>
          </w:p>
        </w:tc>
        <w:tc>
          <w:tcPr>
            <w:tcW w:w="6662" w:type="dxa"/>
          </w:tcPr>
          <w:p w14:paraId="66A7D2B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Rilpivirina</w:t>
            </w:r>
          </w:p>
        </w:tc>
      </w:tr>
      <w:tr w:rsidR="00FD5A66" w:rsidRPr="003F3B0A" w14:paraId="4BC81882" w14:textId="77777777" w:rsidTr="007B4109">
        <w:tc>
          <w:tcPr>
            <w:tcW w:w="1276" w:type="dxa"/>
          </w:tcPr>
          <w:p w14:paraId="4F9F719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RTV</w:t>
            </w:r>
          </w:p>
        </w:tc>
        <w:tc>
          <w:tcPr>
            <w:tcW w:w="6662" w:type="dxa"/>
          </w:tcPr>
          <w:p w14:paraId="32D5B68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Ritonavir</w:t>
            </w:r>
          </w:p>
        </w:tc>
      </w:tr>
      <w:tr w:rsidR="00FD5A66" w:rsidRPr="003F3B0A" w14:paraId="382E82A4" w14:textId="77777777" w:rsidTr="007B4109">
        <w:tc>
          <w:tcPr>
            <w:tcW w:w="1276" w:type="dxa"/>
          </w:tcPr>
          <w:p w14:paraId="5661074C"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SIRI</w:t>
            </w:r>
          </w:p>
        </w:tc>
        <w:tc>
          <w:tcPr>
            <w:tcW w:w="6662" w:type="dxa"/>
          </w:tcPr>
          <w:p w14:paraId="6361C0C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Síndrome inflamatorio de reconstitución inmune</w:t>
            </w:r>
          </w:p>
        </w:tc>
      </w:tr>
      <w:tr w:rsidR="00FD5A66" w:rsidRPr="003F3B0A" w14:paraId="06996A1A" w14:textId="77777777" w:rsidTr="007B4109">
        <w:tc>
          <w:tcPr>
            <w:tcW w:w="1276" w:type="dxa"/>
          </w:tcPr>
          <w:p w14:paraId="6B56A55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SQV</w:t>
            </w:r>
          </w:p>
        </w:tc>
        <w:tc>
          <w:tcPr>
            <w:tcW w:w="6662" w:type="dxa"/>
          </w:tcPr>
          <w:p w14:paraId="7611092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Saquinavir</w:t>
            </w:r>
          </w:p>
        </w:tc>
      </w:tr>
      <w:tr w:rsidR="00FD5A66" w:rsidRPr="003F3B0A" w14:paraId="5EF13FFA" w14:textId="77777777" w:rsidTr="007B4109">
        <w:tc>
          <w:tcPr>
            <w:tcW w:w="1276" w:type="dxa"/>
          </w:tcPr>
          <w:p w14:paraId="468812D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SNC</w:t>
            </w:r>
          </w:p>
        </w:tc>
        <w:tc>
          <w:tcPr>
            <w:tcW w:w="6662" w:type="dxa"/>
          </w:tcPr>
          <w:p w14:paraId="6D472F5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Sistema nervioso central</w:t>
            </w:r>
          </w:p>
        </w:tc>
      </w:tr>
      <w:tr w:rsidR="00FD5A66" w:rsidRPr="003F3B0A" w14:paraId="38AC617C" w14:textId="77777777" w:rsidTr="007B4109">
        <w:tc>
          <w:tcPr>
            <w:tcW w:w="1276" w:type="dxa"/>
          </w:tcPr>
          <w:p w14:paraId="68304C62"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TAF</w:t>
            </w:r>
          </w:p>
        </w:tc>
        <w:tc>
          <w:tcPr>
            <w:tcW w:w="6662" w:type="dxa"/>
          </w:tcPr>
          <w:p w14:paraId="1FEF416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Tenofovir alafenamida</w:t>
            </w:r>
          </w:p>
        </w:tc>
      </w:tr>
      <w:tr w:rsidR="00FD5A66" w:rsidRPr="003F3B0A" w14:paraId="119C2397" w14:textId="77777777" w:rsidTr="007B4109">
        <w:tc>
          <w:tcPr>
            <w:tcW w:w="1276" w:type="dxa"/>
          </w:tcPr>
          <w:p w14:paraId="4824A8D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TAMs</w:t>
            </w:r>
          </w:p>
        </w:tc>
        <w:tc>
          <w:tcPr>
            <w:tcW w:w="6662" w:type="dxa"/>
          </w:tcPr>
          <w:p w14:paraId="416D1A7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Mutaciones asociadas con resistencia a los análogos de la timidina</w:t>
            </w:r>
          </w:p>
        </w:tc>
      </w:tr>
      <w:tr w:rsidR="00FD5A66" w:rsidRPr="003F3B0A" w14:paraId="747312FD" w14:textId="77777777" w:rsidTr="007B4109">
        <w:tc>
          <w:tcPr>
            <w:tcW w:w="1276" w:type="dxa"/>
          </w:tcPr>
          <w:p w14:paraId="2E0E16B9"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TAR</w:t>
            </w:r>
          </w:p>
        </w:tc>
        <w:tc>
          <w:tcPr>
            <w:tcW w:w="6662" w:type="dxa"/>
          </w:tcPr>
          <w:p w14:paraId="6D8A79E4"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Tratamiento antirretroviral; ídem. de alta eficacia</w:t>
            </w:r>
          </w:p>
        </w:tc>
      </w:tr>
      <w:tr w:rsidR="00FD5A66" w:rsidRPr="003F3B0A" w14:paraId="0475E251" w14:textId="77777777" w:rsidTr="007B4109">
        <w:tc>
          <w:tcPr>
            <w:tcW w:w="1276" w:type="dxa"/>
          </w:tcPr>
          <w:p w14:paraId="7DAC7B2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TB</w:t>
            </w:r>
          </w:p>
        </w:tc>
        <w:tc>
          <w:tcPr>
            <w:tcW w:w="6662" w:type="dxa"/>
          </w:tcPr>
          <w:p w14:paraId="5CFD822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Tuberculosis</w:t>
            </w:r>
          </w:p>
        </w:tc>
      </w:tr>
      <w:tr w:rsidR="00FD5A66" w:rsidRPr="003F3B0A" w14:paraId="67A7289E" w14:textId="77777777" w:rsidTr="007B4109">
        <w:tc>
          <w:tcPr>
            <w:tcW w:w="1276" w:type="dxa"/>
          </w:tcPr>
          <w:p w14:paraId="3977E4F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TDF</w:t>
            </w:r>
          </w:p>
          <w:p w14:paraId="47989427"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TDx</w:t>
            </w:r>
          </w:p>
        </w:tc>
        <w:tc>
          <w:tcPr>
            <w:tcW w:w="6662" w:type="dxa"/>
          </w:tcPr>
          <w:p w14:paraId="437878A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Tenofovir disoproxil fumarato</w:t>
            </w:r>
          </w:p>
          <w:p w14:paraId="7FB897D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Tenofovir disoproxil</w:t>
            </w:r>
          </w:p>
        </w:tc>
      </w:tr>
      <w:tr w:rsidR="00FD5A66" w:rsidRPr="003F3B0A" w14:paraId="67E1D294" w14:textId="77777777" w:rsidTr="007B4109">
        <w:tc>
          <w:tcPr>
            <w:tcW w:w="1276" w:type="dxa"/>
          </w:tcPr>
          <w:p w14:paraId="12CE10BD"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TFV</w:t>
            </w:r>
          </w:p>
        </w:tc>
        <w:tc>
          <w:tcPr>
            <w:tcW w:w="6662" w:type="dxa"/>
          </w:tcPr>
          <w:p w14:paraId="0664E640"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Tenofovir (en cualquiera de sus presentaciones)</w:t>
            </w:r>
          </w:p>
        </w:tc>
      </w:tr>
      <w:tr w:rsidR="00FD5A66" w:rsidRPr="003F3B0A" w14:paraId="19C4169C" w14:textId="77777777" w:rsidTr="007B4109">
        <w:tc>
          <w:tcPr>
            <w:tcW w:w="1276" w:type="dxa"/>
          </w:tcPr>
          <w:p w14:paraId="5D5873D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TO</w:t>
            </w:r>
          </w:p>
        </w:tc>
        <w:tc>
          <w:tcPr>
            <w:tcW w:w="6662" w:type="dxa"/>
          </w:tcPr>
          <w:p w14:paraId="25611DE1"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Tratamiento optimizado</w:t>
            </w:r>
          </w:p>
        </w:tc>
      </w:tr>
      <w:tr w:rsidR="00FD5A66" w:rsidRPr="003F3B0A" w14:paraId="34F4C5BF" w14:textId="77777777" w:rsidTr="007B4109">
        <w:tc>
          <w:tcPr>
            <w:tcW w:w="1276" w:type="dxa"/>
          </w:tcPr>
          <w:p w14:paraId="12A4184B"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TPV</w:t>
            </w:r>
          </w:p>
        </w:tc>
        <w:tc>
          <w:tcPr>
            <w:tcW w:w="6662" w:type="dxa"/>
          </w:tcPr>
          <w:p w14:paraId="3C44C2D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Tipranavir</w:t>
            </w:r>
          </w:p>
        </w:tc>
      </w:tr>
      <w:tr w:rsidR="00FD5A66" w:rsidRPr="003F3B0A" w14:paraId="492A1883" w14:textId="77777777" w:rsidTr="007B4109">
        <w:tc>
          <w:tcPr>
            <w:tcW w:w="1276" w:type="dxa"/>
          </w:tcPr>
          <w:p w14:paraId="2D52F6F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VIH-1</w:t>
            </w:r>
          </w:p>
        </w:tc>
        <w:tc>
          <w:tcPr>
            <w:tcW w:w="6662" w:type="dxa"/>
          </w:tcPr>
          <w:p w14:paraId="62D965FA"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Virus de la inmunodeficiencia humana tipo 1</w:t>
            </w:r>
          </w:p>
        </w:tc>
      </w:tr>
      <w:tr w:rsidR="00FD5A66" w:rsidRPr="003F3B0A" w14:paraId="4D81D9E5" w14:textId="77777777" w:rsidTr="007B4109">
        <w:tc>
          <w:tcPr>
            <w:tcW w:w="1276" w:type="dxa"/>
          </w:tcPr>
          <w:p w14:paraId="6EFB3A9F"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VIH-2</w:t>
            </w:r>
          </w:p>
        </w:tc>
        <w:tc>
          <w:tcPr>
            <w:tcW w:w="6662" w:type="dxa"/>
          </w:tcPr>
          <w:p w14:paraId="3704C838"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Virus de la inmunodeficiencia humana tipo 2</w:t>
            </w:r>
          </w:p>
        </w:tc>
      </w:tr>
      <w:tr w:rsidR="00FD5A66" w:rsidRPr="003F3B0A" w14:paraId="25651144" w14:textId="77777777" w:rsidTr="007B4109">
        <w:tc>
          <w:tcPr>
            <w:tcW w:w="1276" w:type="dxa"/>
          </w:tcPr>
          <w:p w14:paraId="0990FFF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 xml:space="preserve">VH </w:t>
            </w:r>
            <w:r w:rsidRPr="003F3B0A">
              <w:rPr>
                <w:rFonts w:ascii="Arial" w:hAnsi="Arial" w:cs="Arial"/>
                <w:sz w:val="20"/>
              </w:rPr>
              <w:t>(A,B,C)</w:t>
            </w:r>
          </w:p>
        </w:tc>
        <w:tc>
          <w:tcPr>
            <w:tcW w:w="6662" w:type="dxa"/>
          </w:tcPr>
          <w:p w14:paraId="1AB824B6"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Virus de la hepatitis (A, B, C)</w:t>
            </w:r>
          </w:p>
        </w:tc>
      </w:tr>
      <w:tr w:rsidR="00FD5A66" w:rsidRPr="00931B65" w14:paraId="79A89980" w14:textId="77777777" w:rsidTr="007B4109">
        <w:tc>
          <w:tcPr>
            <w:tcW w:w="1276" w:type="dxa"/>
          </w:tcPr>
          <w:p w14:paraId="31542B8E" w14:textId="77777777" w:rsidR="00FD5A66" w:rsidRPr="003F3B0A" w:rsidRDefault="00FD5A66" w:rsidP="007B4109">
            <w:pPr>
              <w:spacing w:before="100" w:after="60" w:line="276" w:lineRule="auto"/>
              <w:jc w:val="both"/>
              <w:rPr>
                <w:rFonts w:ascii="Arial" w:hAnsi="Arial" w:cs="Arial"/>
              </w:rPr>
            </w:pPr>
            <w:r w:rsidRPr="003F3B0A">
              <w:rPr>
                <w:rFonts w:ascii="Arial" w:hAnsi="Arial" w:cs="Arial"/>
              </w:rPr>
              <w:t>ZDV</w:t>
            </w:r>
          </w:p>
        </w:tc>
        <w:tc>
          <w:tcPr>
            <w:tcW w:w="6662" w:type="dxa"/>
          </w:tcPr>
          <w:p w14:paraId="0517B5DD" w14:textId="77777777" w:rsidR="00FD5A66" w:rsidRPr="00931B65" w:rsidRDefault="00FD5A66" w:rsidP="007B4109">
            <w:pPr>
              <w:spacing w:before="100" w:after="60" w:line="276" w:lineRule="auto"/>
              <w:jc w:val="both"/>
              <w:rPr>
                <w:rFonts w:ascii="Arial" w:hAnsi="Arial" w:cs="Arial"/>
              </w:rPr>
            </w:pPr>
            <w:r w:rsidRPr="003F3B0A">
              <w:rPr>
                <w:rFonts w:ascii="Arial" w:hAnsi="Arial" w:cs="Arial"/>
              </w:rPr>
              <w:t>Zidovudina</w:t>
            </w:r>
          </w:p>
        </w:tc>
      </w:tr>
    </w:tbl>
    <w:p w14:paraId="3857B48F" w14:textId="77777777" w:rsidR="00FD5A66" w:rsidRDefault="00FD5A66">
      <w:pPr>
        <w:rPr>
          <w:rFonts w:ascii="Arial" w:eastAsiaTheme="minorHAnsi" w:hAnsi="Arial" w:cs="Arial"/>
          <w:b/>
          <w:bCs/>
          <w:color w:val="9F0034"/>
          <w:sz w:val="28"/>
          <w:szCs w:val="28"/>
          <w:lang w:val="es-ES_tradnl" w:eastAsia="en-US"/>
        </w:rPr>
      </w:pPr>
    </w:p>
    <w:p w14:paraId="6927B638" w14:textId="77777777" w:rsidR="00616450" w:rsidRDefault="00616450">
      <w:pPr>
        <w:rPr>
          <w:rFonts w:ascii="Arial" w:eastAsiaTheme="minorHAnsi" w:hAnsi="Arial" w:cs="Arial"/>
          <w:b/>
          <w:bCs/>
          <w:color w:val="9F0034"/>
          <w:sz w:val="28"/>
          <w:szCs w:val="28"/>
          <w:lang w:val="es-ES_tradnl" w:eastAsia="en-US"/>
        </w:rPr>
      </w:pPr>
    </w:p>
    <w:p w14:paraId="6CC2AEAB" w14:textId="77777777" w:rsidR="00616450" w:rsidRDefault="00616450">
      <w:pPr>
        <w:rPr>
          <w:rFonts w:ascii="Arial" w:eastAsiaTheme="minorHAnsi" w:hAnsi="Arial" w:cs="Arial"/>
          <w:b/>
          <w:bCs/>
          <w:color w:val="9F0034"/>
          <w:sz w:val="28"/>
          <w:szCs w:val="28"/>
          <w:lang w:val="es-ES_tradnl" w:eastAsia="en-US"/>
        </w:rPr>
      </w:pPr>
    </w:p>
    <w:p w14:paraId="6E1F9B35" w14:textId="77777777" w:rsidR="00616450" w:rsidRDefault="00616450" w:rsidP="00616450">
      <w:pPr>
        <w:autoSpaceDE w:val="0"/>
        <w:autoSpaceDN w:val="0"/>
        <w:adjustRightInd w:val="0"/>
        <w:rPr>
          <w:rFonts w:ascii="Arial" w:hAnsi="Arial" w:cs="Arial"/>
          <w:b/>
          <w:color w:val="AE1C1F"/>
        </w:rPr>
      </w:pPr>
    </w:p>
    <w:p w14:paraId="3B38A590" w14:textId="77777777" w:rsidR="00851F60" w:rsidRPr="004C5C0C" w:rsidRDefault="00851F60" w:rsidP="00851F60">
      <w:pPr>
        <w:spacing w:before="120" w:after="120" w:line="276" w:lineRule="auto"/>
        <w:jc w:val="both"/>
        <w:rPr>
          <w:rFonts w:ascii="Arial" w:hAnsi="Arial" w:cs="Arial"/>
          <w:b/>
          <w:color w:val="AE1C1F"/>
        </w:rPr>
      </w:pPr>
      <w:r w:rsidRPr="004C5C0C">
        <w:rPr>
          <w:rFonts w:ascii="Arial" w:hAnsi="Arial" w:cs="Arial"/>
          <w:b/>
          <w:color w:val="AE1C1F"/>
        </w:rPr>
        <w:t>1. INTRODUCCION</w:t>
      </w:r>
    </w:p>
    <w:p w14:paraId="073462AD" w14:textId="77777777" w:rsidR="00851F60" w:rsidRDefault="00851F60" w:rsidP="00851F60">
      <w:pPr>
        <w:keepNext/>
        <w:spacing w:before="120" w:after="120" w:line="276" w:lineRule="auto"/>
        <w:jc w:val="both"/>
        <w:outlineLvl w:val="5"/>
        <w:rPr>
          <w:rFonts w:ascii="Arial" w:hAnsi="Arial" w:cs="Arial"/>
          <w:b/>
          <w:snapToGrid w:val="0"/>
          <w:color w:val="AE1C1F"/>
        </w:rPr>
      </w:pPr>
    </w:p>
    <w:p w14:paraId="7FBA46C2" w14:textId="77777777" w:rsidR="00851F60" w:rsidRPr="004C5C0C" w:rsidRDefault="00851F60" w:rsidP="00851F60">
      <w:pPr>
        <w:keepNext/>
        <w:spacing w:before="120" w:after="120" w:line="276" w:lineRule="auto"/>
        <w:jc w:val="both"/>
        <w:outlineLvl w:val="5"/>
        <w:rPr>
          <w:rFonts w:ascii="Arial" w:hAnsi="Arial" w:cs="Arial"/>
          <w:b/>
          <w:caps/>
          <w:snapToGrid w:val="0"/>
          <w:color w:val="AE1C1F"/>
        </w:rPr>
      </w:pPr>
      <w:r w:rsidRPr="004C5C0C">
        <w:rPr>
          <w:rFonts w:ascii="Arial" w:hAnsi="Arial" w:cs="Arial"/>
          <w:b/>
          <w:snapToGrid w:val="0"/>
          <w:color w:val="AE1C1F"/>
        </w:rPr>
        <w:t>1.1. Justificación, objetivo y alcance</w:t>
      </w:r>
    </w:p>
    <w:p w14:paraId="28397E5C" w14:textId="77777777" w:rsidR="00851F60" w:rsidRPr="00F209C2" w:rsidRDefault="00851F60" w:rsidP="00851F60">
      <w:pPr>
        <w:widowControl w:val="0"/>
        <w:tabs>
          <w:tab w:val="left" w:pos="1985"/>
        </w:tabs>
        <w:spacing w:before="120" w:after="120" w:line="276" w:lineRule="auto"/>
        <w:jc w:val="both"/>
        <w:rPr>
          <w:rFonts w:ascii="Arial" w:hAnsi="Arial" w:cs="Arial"/>
          <w:color w:val="FF0000"/>
        </w:rPr>
      </w:pPr>
      <w:r w:rsidRPr="00F209C2">
        <w:rPr>
          <w:rFonts w:ascii="Arial" w:hAnsi="Arial" w:cs="Arial"/>
        </w:rPr>
        <w:t xml:space="preserve">Desde que se dispone de FAR con los que formar combinaciones potentes, el TAR ha logrado beneficios enormes en reducción de la morbimortalidad y de la transmisión de la infección por el VIH-1. Paralelamente, el uso de los FAR ha adquirido gran complejidad por la aparición de distintas familias y fármacos, así como sus múltiples facetas en cuanto a eficacia, toxicidad, resistencias, tropismo, interacciones, etc., y su uso en situaciones clínicas especiales, como la prevención de la transmisión, etc. Por esta complejidad y por la rapidez con que se incrementan los conocimientos se exige no solo la elaboración de guías y recomendaciones sobre TAR sino también su actualización frecuente. A este respecto, el Grupo de Estudio de Sida (GeSIDA) de la Sociedad Española de Enfermedades Infecciosas y Microbiología Clínica (SEIMC) y el Plan Nacional sobre el Sida (PNS) editan conjuntamente desde hace </w:t>
      </w:r>
      <w:r w:rsidRPr="005929F9">
        <w:rPr>
          <w:rFonts w:ascii="Arial" w:hAnsi="Arial" w:cs="Arial"/>
          <w:highlight w:val="yellow"/>
        </w:rPr>
        <w:t>20</w:t>
      </w:r>
      <w:r w:rsidRPr="00F209C2">
        <w:rPr>
          <w:rFonts w:ascii="Arial" w:hAnsi="Arial" w:cs="Arial"/>
        </w:rPr>
        <w:t xml:space="preserve"> años un documento de consenso sobre TAR en adultos que, al igual que los de otras instituciones y sociedades científicas</w:t>
      </w:r>
      <w:r w:rsidRPr="00F209C2">
        <w:rPr>
          <w:rFonts w:ascii="Arial" w:hAnsi="Arial" w:cs="Arial"/>
          <w:noProof/>
          <w:vertAlign w:val="superscript"/>
        </w:rPr>
        <w:t>1-3</w:t>
      </w:r>
      <w:r w:rsidRPr="00F209C2">
        <w:rPr>
          <w:rFonts w:ascii="Arial" w:hAnsi="Arial" w:cs="Arial"/>
        </w:rPr>
        <w:t xml:space="preserve">, se ha actualizado anualmente. Dichas actualizaciones se han publicado tanto en la revista Enfermedades Infecciosas y Microbiología Clínica como en las páginas web de GeSIDA y del PNS. </w:t>
      </w:r>
    </w:p>
    <w:p w14:paraId="40B148E4" w14:textId="77777777" w:rsidR="00851F60" w:rsidRPr="00F209C2" w:rsidRDefault="00851F60" w:rsidP="00851F60">
      <w:pPr>
        <w:widowControl w:val="0"/>
        <w:tabs>
          <w:tab w:val="left" w:pos="1985"/>
        </w:tabs>
        <w:spacing w:before="120" w:after="120" w:line="276" w:lineRule="auto"/>
        <w:jc w:val="both"/>
        <w:rPr>
          <w:rFonts w:ascii="Arial" w:hAnsi="Arial" w:cs="Arial"/>
        </w:rPr>
      </w:pPr>
      <w:r w:rsidRPr="00F209C2">
        <w:rPr>
          <w:rFonts w:ascii="Arial" w:hAnsi="Arial" w:cs="Arial"/>
        </w:rPr>
        <w:t xml:space="preserve">El objetivo de este documento de consenso es dar a conocer el estado actual del conocimiento sobre el TAR a los profesionales que tratan a adultos con infección por el VIH-1 y proporcionarles recomendaciones que puedan guiar sus decisiones terapéuticas.  </w:t>
      </w:r>
    </w:p>
    <w:p w14:paraId="6C4638E1" w14:textId="77777777" w:rsidR="00851F60" w:rsidRPr="00F209C2" w:rsidRDefault="00851F60" w:rsidP="00851F60">
      <w:pPr>
        <w:widowControl w:val="0"/>
        <w:tabs>
          <w:tab w:val="left" w:pos="1985"/>
        </w:tabs>
        <w:spacing w:before="120" w:after="120" w:line="276" w:lineRule="auto"/>
        <w:jc w:val="both"/>
        <w:rPr>
          <w:rFonts w:ascii="Arial" w:hAnsi="Arial" w:cs="Arial"/>
        </w:rPr>
      </w:pPr>
      <w:r w:rsidRPr="00F209C2">
        <w:rPr>
          <w:rFonts w:ascii="Arial" w:hAnsi="Arial" w:cs="Arial"/>
        </w:rPr>
        <w:t xml:space="preserve">Algunos aspectos del TAR como su control y monitorización, la adherencia, la utilidad clínica de la resistencia a los FAR, su uso en pacientes </w:t>
      </w:r>
      <w:r w:rsidRPr="000A7247">
        <w:rPr>
          <w:rFonts w:ascii="Arial" w:hAnsi="Arial" w:cs="Arial"/>
          <w:highlight w:val="yellow"/>
        </w:rPr>
        <w:t>con tumores no definitorios de Sida</w:t>
      </w:r>
      <w:r>
        <w:rPr>
          <w:rFonts w:ascii="Arial" w:hAnsi="Arial" w:cs="Arial"/>
        </w:rPr>
        <w:t>,</w:t>
      </w:r>
      <w:r w:rsidRPr="00F209C2">
        <w:rPr>
          <w:rFonts w:ascii="Arial" w:hAnsi="Arial" w:cs="Arial"/>
        </w:rPr>
        <w:t xml:space="preserve"> coinfectados por los virus de las hepatitis B o C, con insuficiencia renal, con tratamiento antituberculoso simultáneo, los aspectos relativos a la mujer (reproducción, embarazo, parto y profilaxis de la transmisión vertical), la profilaxis post-exposición, etc., no se detallan en este documento ya que se han elaborado otras recomendaciones específicas en colaboración con otras sociedades científicas y a cuyas publicaciones se remite al lector interesado. </w:t>
      </w:r>
    </w:p>
    <w:p w14:paraId="5D00F8B6" w14:textId="77777777" w:rsidR="00851F60" w:rsidRPr="00F209C2" w:rsidRDefault="00851F60" w:rsidP="00851F60">
      <w:pPr>
        <w:keepNext/>
        <w:spacing w:before="120" w:after="120" w:line="276" w:lineRule="auto"/>
        <w:jc w:val="both"/>
        <w:outlineLvl w:val="5"/>
        <w:rPr>
          <w:rFonts w:ascii="Arial" w:hAnsi="Arial" w:cs="Arial"/>
          <w:b/>
          <w:snapToGrid w:val="0"/>
          <w:color w:val="A20000"/>
        </w:rPr>
      </w:pPr>
    </w:p>
    <w:p w14:paraId="09524A64" w14:textId="77777777" w:rsidR="00851F60" w:rsidRPr="00F209C2" w:rsidRDefault="00851F60" w:rsidP="00851F60">
      <w:pPr>
        <w:keepNext/>
        <w:spacing w:before="120" w:after="120" w:line="276" w:lineRule="auto"/>
        <w:jc w:val="both"/>
        <w:outlineLvl w:val="5"/>
        <w:rPr>
          <w:rFonts w:ascii="Arial" w:hAnsi="Arial" w:cs="Arial"/>
          <w:b/>
          <w:caps/>
          <w:snapToGrid w:val="0"/>
          <w:color w:val="AE1C1F"/>
        </w:rPr>
      </w:pPr>
      <w:r w:rsidRPr="00F209C2">
        <w:rPr>
          <w:rFonts w:ascii="Arial" w:hAnsi="Arial" w:cs="Arial"/>
          <w:b/>
          <w:snapToGrid w:val="0"/>
          <w:color w:val="AE1C1F"/>
        </w:rPr>
        <w:t>1.2. Metodología</w:t>
      </w:r>
    </w:p>
    <w:p w14:paraId="34FCA3DD" w14:textId="77777777" w:rsidR="00851F60" w:rsidRPr="00F209C2" w:rsidRDefault="00851F60" w:rsidP="00851F60">
      <w:pPr>
        <w:spacing w:before="120" w:after="120" w:line="276" w:lineRule="auto"/>
        <w:jc w:val="both"/>
        <w:rPr>
          <w:rFonts w:ascii="Arial" w:hAnsi="Arial" w:cs="Arial"/>
          <w:snapToGrid w:val="0"/>
        </w:rPr>
      </w:pPr>
      <w:r w:rsidRPr="00F209C2">
        <w:rPr>
          <w:rFonts w:ascii="Arial" w:hAnsi="Arial" w:cs="Arial"/>
          <w:snapToGrid w:val="0"/>
        </w:rPr>
        <w:t xml:space="preserve">El Panel redactor del documento está integrado por clínicos expertos en la infección por el VIH-1 y el TAR designados por la Junta Directiva de GeSIDA y el PNS, que han aceptado participar voluntariamente y emitir una declaración de </w:t>
      </w:r>
      <w:r w:rsidRPr="00F209C2">
        <w:rPr>
          <w:rFonts w:ascii="Arial" w:hAnsi="Arial" w:cs="Arial"/>
          <w:snapToGrid w:val="0"/>
        </w:rPr>
        <w:lastRenderedPageBreak/>
        <w:t xml:space="preserve">conflicto de intereses. Estos expertos se distribuyen en grupos formados por un redactor y varios consultores que se encargan de actualizar una sección del documento. Tres miembros del Panel (presidente y secretario de GeSIDA y la responsable del Área Asistencial del PNS) actúan como coordinadores y otros dos como redactores generales, cuyo cometido </w:t>
      </w:r>
      <w:r w:rsidRPr="00916F93">
        <w:rPr>
          <w:rFonts w:ascii="Arial" w:hAnsi="Arial" w:cs="Arial"/>
          <w:snapToGrid w:val="0"/>
          <w:highlight w:val="yellow"/>
        </w:rPr>
        <w:t>es</w:t>
      </w:r>
      <w:r>
        <w:rPr>
          <w:rFonts w:ascii="Arial" w:hAnsi="Arial" w:cs="Arial"/>
          <w:snapToGrid w:val="0"/>
        </w:rPr>
        <w:t xml:space="preserve"> </w:t>
      </w:r>
      <w:r w:rsidRPr="00F209C2">
        <w:rPr>
          <w:rFonts w:ascii="Arial" w:hAnsi="Arial" w:cs="Arial"/>
          <w:snapToGrid w:val="0"/>
        </w:rPr>
        <w:t xml:space="preserve">ensamblar todas las secciones del documento y encargarse de la redacción y edición final del mismo. El redactor de cada grupo </w:t>
      </w:r>
      <w:r>
        <w:rPr>
          <w:rFonts w:ascii="Arial" w:hAnsi="Arial" w:cs="Arial"/>
          <w:snapToGrid w:val="0"/>
        </w:rPr>
        <w:t>revis</w:t>
      </w:r>
      <w:r w:rsidRPr="00916F93">
        <w:rPr>
          <w:rFonts w:ascii="Arial" w:hAnsi="Arial" w:cs="Arial"/>
          <w:snapToGrid w:val="0"/>
          <w:highlight w:val="yellow"/>
        </w:rPr>
        <w:t>a</w:t>
      </w:r>
      <w:r w:rsidRPr="00F209C2">
        <w:rPr>
          <w:rFonts w:ascii="Arial" w:hAnsi="Arial" w:cs="Arial"/>
          <w:snapToGrid w:val="0"/>
        </w:rPr>
        <w:t xml:space="preserve"> los datos más relevantes de las publicaciones científicas (</w:t>
      </w:r>
      <w:r w:rsidRPr="00F209C2">
        <w:rPr>
          <w:rFonts w:ascii="Arial" w:hAnsi="Arial" w:cs="Arial"/>
          <w:i/>
          <w:snapToGrid w:val="0"/>
        </w:rPr>
        <w:t>PubMed</w:t>
      </w:r>
      <w:r w:rsidRPr="00F209C2">
        <w:rPr>
          <w:rFonts w:ascii="Arial" w:hAnsi="Arial" w:cs="Arial"/>
          <w:snapToGrid w:val="0"/>
        </w:rPr>
        <w:t xml:space="preserve"> y </w:t>
      </w:r>
      <w:r w:rsidRPr="00F209C2">
        <w:rPr>
          <w:rFonts w:ascii="Arial" w:hAnsi="Arial" w:cs="Arial"/>
          <w:i/>
          <w:snapToGrid w:val="0"/>
          <w:lang w:val="es-ES_tradnl"/>
        </w:rPr>
        <w:t>Embase</w:t>
      </w:r>
      <w:r w:rsidRPr="00F209C2">
        <w:rPr>
          <w:rFonts w:ascii="Arial" w:hAnsi="Arial" w:cs="Arial"/>
          <w:snapToGrid w:val="0"/>
          <w:lang w:val="es-ES_tradnl"/>
        </w:rPr>
        <w:t>; idiomas: español, inglés y francés</w:t>
      </w:r>
      <w:r w:rsidRPr="00F209C2">
        <w:rPr>
          <w:rFonts w:ascii="Arial" w:hAnsi="Arial" w:cs="Arial"/>
          <w:snapToGrid w:val="0"/>
        </w:rPr>
        <w:t xml:space="preserve">) y de las comunicaciones a los congresos más recientes hasta el </w:t>
      </w:r>
      <w:r w:rsidRPr="00ED7B32">
        <w:rPr>
          <w:rFonts w:ascii="Arial" w:hAnsi="Arial" w:cs="Arial"/>
          <w:snapToGrid w:val="0"/>
          <w:highlight w:val="yellow"/>
        </w:rPr>
        <w:t xml:space="preserve">30 de </w:t>
      </w:r>
      <w:r>
        <w:rPr>
          <w:rFonts w:ascii="Arial" w:hAnsi="Arial" w:cs="Arial"/>
          <w:snapToGrid w:val="0"/>
          <w:highlight w:val="yellow"/>
        </w:rPr>
        <w:t>noviembre</w:t>
      </w:r>
      <w:r w:rsidRPr="00ED7B32">
        <w:rPr>
          <w:rFonts w:ascii="Arial" w:hAnsi="Arial" w:cs="Arial"/>
          <w:snapToGrid w:val="0"/>
          <w:highlight w:val="yellow"/>
        </w:rPr>
        <w:t xml:space="preserve"> de 201</w:t>
      </w:r>
      <w:r>
        <w:rPr>
          <w:rFonts w:ascii="Arial" w:hAnsi="Arial" w:cs="Arial"/>
          <w:snapToGrid w:val="0"/>
          <w:highlight w:val="yellow"/>
        </w:rPr>
        <w:t>9</w:t>
      </w:r>
      <w:r w:rsidRPr="00ED7B32">
        <w:rPr>
          <w:rFonts w:ascii="Arial" w:hAnsi="Arial" w:cs="Arial"/>
          <w:snapToGrid w:val="0"/>
          <w:highlight w:val="yellow"/>
        </w:rPr>
        <w:t>.</w:t>
      </w:r>
      <w:r w:rsidRPr="00931B65">
        <w:rPr>
          <w:rFonts w:ascii="Arial" w:hAnsi="Arial" w:cs="Arial"/>
          <w:snapToGrid w:val="0"/>
        </w:rPr>
        <w:t xml:space="preserve"> </w:t>
      </w:r>
      <w:r w:rsidRPr="00F209C2">
        <w:rPr>
          <w:rFonts w:ascii="Arial" w:hAnsi="Arial" w:cs="Arial"/>
          <w:snapToGrid w:val="0"/>
        </w:rPr>
        <w:t xml:space="preserve"> </w:t>
      </w:r>
    </w:p>
    <w:p w14:paraId="5B271E57" w14:textId="77777777" w:rsidR="00851F60" w:rsidRPr="00F209C2" w:rsidRDefault="00851F60" w:rsidP="00851F60">
      <w:pPr>
        <w:spacing w:before="120" w:after="120" w:line="276" w:lineRule="auto"/>
        <w:jc w:val="both"/>
        <w:rPr>
          <w:rFonts w:ascii="Arial" w:hAnsi="Arial" w:cs="Arial"/>
          <w:snapToGrid w:val="0"/>
          <w:color w:val="FF0000"/>
        </w:rPr>
      </w:pPr>
      <w:r w:rsidRPr="00F209C2">
        <w:rPr>
          <w:rFonts w:ascii="Arial" w:hAnsi="Arial" w:cs="Arial"/>
          <w:snapToGrid w:val="0"/>
        </w:rPr>
        <w:t xml:space="preserve">El texto </w:t>
      </w:r>
      <w:r w:rsidRPr="005929F9">
        <w:rPr>
          <w:rFonts w:ascii="Arial" w:hAnsi="Arial" w:cs="Arial"/>
          <w:snapToGrid w:val="0"/>
          <w:highlight w:val="yellow"/>
        </w:rPr>
        <w:t>de cada sección</w:t>
      </w:r>
      <w:r>
        <w:rPr>
          <w:rFonts w:ascii="Arial" w:hAnsi="Arial" w:cs="Arial"/>
          <w:snapToGrid w:val="0"/>
        </w:rPr>
        <w:t xml:space="preserve"> </w:t>
      </w:r>
      <w:r w:rsidRPr="00F209C2">
        <w:rPr>
          <w:rFonts w:ascii="Arial" w:hAnsi="Arial" w:cs="Arial"/>
          <w:snapToGrid w:val="0"/>
        </w:rPr>
        <w:t>elaborado por el redactor se somete a la consideración de sus consultores</w:t>
      </w:r>
      <w:r w:rsidRPr="005929F9">
        <w:rPr>
          <w:rFonts w:ascii="Arial" w:hAnsi="Arial" w:cs="Arial"/>
          <w:snapToGrid w:val="0"/>
          <w:highlight w:val="yellow"/>
        </w:rPr>
        <w:t>,</w:t>
      </w:r>
      <w:r>
        <w:rPr>
          <w:rFonts w:ascii="Arial" w:hAnsi="Arial" w:cs="Arial"/>
          <w:snapToGrid w:val="0"/>
        </w:rPr>
        <w:t xml:space="preserve"> </w:t>
      </w:r>
      <w:r w:rsidRPr="00F209C2">
        <w:rPr>
          <w:rFonts w:ascii="Arial" w:hAnsi="Arial" w:cs="Arial"/>
          <w:snapToGrid w:val="0"/>
        </w:rPr>
        <w:t>se incorporan las aportaciones aceptadas por consenso</w:t>
      </w:r>
      <w:r>
        <w:rPr>
          <w:rFonts w:ascii="Arial" w:hAnsi="Arial" w:cs="Arial"/>
          <w:snapToGrid w:val="0"/>
        </w:rPr>
        <w:t xml:space="preserve"> </w:t>
      </w:r>
      <w:r w:rsidRPr="005929F9">
        <w:rPr>
          <w:rFonts w:ascii="Arial" w:hAnsi="Arial" w:cs="Arial"/>
          <w:snapToGrid w:val="0"/>
          <w:highlight w:val="yellow"/>
        </w:rPr>
        <w:t>y se generan preguntas con aspectos no suficientemente consensuad</w:t>
      </w:r>
      <w:r>
        <w:rPr>
          <w:rFonts w:ascii="Arial" w:hAnsi="Arial" w:cs="Arial"/>
          <w:snapToGrid w:val="0"/>
          <w:highlight w:val="yellow"/>
        </w:rPr>
        <w:t>o</w:t>
      </w:r>
      <w:r w:rsidRPr="005929F9">
        <w:rPr>
          <w:rFonts w:ascii="Arial" w:hAnsi="Arial" w:cs="Arial"/>
          <w:snapToGrid w:val="0"/>
          <w:highlight w:val="yellow"/>
        </w:rPr>
        <w:t>s. Estas preguntas se someten a votación on line de todo el panel. El resultado de las votaciones se remite a los redactores de cada sección y lo incorporan a la redacción previa.</w:t>
      </w:r>
      <w:r w:rsidRPr="00F209C2">
        <w:rPr>
          <w:rFonts w:ascii="Arial" w:hAnsi="Arial" w:cs="Arial"/>
          <w:snapToGrid w:val="0"/>
        </w:rPr>
        <w:t xml:space="preserve"> Una vez ensambladas todas las secciones, el documento se discute y consensua en una reunión presencial del Panel. Tras la incorporación de las modificaciones aprobadas en dicha reunión, el documento se expone durante 15 días en las páginas web de GeSIDA y del PNS para que profesionales, pacientes o quien esté interesado pueda hacer sugerencias que, tras su estudio y deliberación, pueden ser integradas en el documento final. El Panel considera que en el caso de aparecer nuevas evidencias relevantes que impliquen cambios en el TAR serán incorporadas al documento.</w:t>
      </w:r>
    </w:p>
    <w:p w14:paraId="06C3CD45" w14:textId="77777777" w:rsidR="00851F60" w:rsidRPr="00F209C2" w:rsidRDefault="00851F60" w:rsidP="00851F60">
      <w:pPr>
        <w:spacing w:before="120" w:after="120" w:line="276" w:lineRule="auto"/>
        <w:jc w:val="both"/>
        <w:rPr>
          <w:rFonts w:ascii="Arial" w:hAnsi="Arial" w:cs="Arial"/>
        </w:rPr>
      </w:pPr>
      <w:r w:rsidRPr="00F209C2">
        <w:rPr>
          <w:rFonts w:ascii="Arial" w:hAnsi="Arial" w:cs="Arial"/>
        </w:rPr>
        <w:t>Las recomendaciones de estas guías se basan en la evidencia científica y en la opinión de expertos. Cada recomendación se califica con una letra que indica su fuerza [A (debe ofrecerse siempre), B (en general debe ofrecerse) o C (debe ofrecerse opcionalmente)] y un número que expresa las pruebas que sustentan dicha recomendación [I (resultados obtenidos a partir de uno o más ensayos clínicos aleatorizados de aspectos clínicos o de laboratorio o un metaanálisis); II (de uno o más ensayos no aleatorizados o datos observacionales de cohortes); y III (en la opinión de expertos)].</w:t>
      </w:r>
    </w:p>
    <w:p w14:paraId="20A6857E" w14:textId="77777777" w:rsidR="00851F60" w:rsidRPr="00F209C2" w:rsidRDefault="00851F60" w:rsidP="00851F60">
      <w:pPr>
        <w:widowControl w:val="0"/>
        <w:autoSpaceDE w:val="0"/>
        <w:autoSpaceDN w:val="0"/>
        <w:adjustRightInd w:val="0"/>
        <w:spacing w:before="120" w:after="120" w:line="276" w:lineRule="auto"/>
        <w:jc w:val="both"/>
        <w:rPr>
          <w:rFonts w:ascii="Arial" w:eastAsia="MS Mincho" w:hAnsi="Arial" w:cs="Arial"/>
          <w:color w:val="000000"/>
        </w:rPr>
      </w:pPr>
      <w:r w:rsidRPr="00F209C2">
        <w:rPr>
          <w:rFonts w:ascii="Arial" w:eastAsia="MS Mincho" w:hAnsi="Arial" w:cs="Arial"/>
          <w:color w:val="000000"/>
        </w:rPr>
        <w:t xml:space="preserve">GeSIDA y el PNS seguirán actualizando este documento periódicamente en función de la evolución de los conocimientos sobre el TAR. No obstante, se recuerda que, dado que éstos cambian muy rápidamente, es conveniente que los lectores consulten también otras fuentes de información. </w:t>
      </w:r>
    </w:p>
    <w:p w14:paraId="2F5BF9CF" w14:textId="77777777" w:rsidR="00851F60" w:rsidRPr="00F209C2" w:rsidRDefault="00851F60" w:rsidP="00851F60">
      <w:pPr>
        <w:spacing w:before="120" w:after="120" w:line="276" w:lineRule="auto"/>
        <w:jc w:val="both"/>
        <w:rPr>
          <w:rFonts w:ascii="Arial" w:hAnsi="Arial" w:cs="Arial"/>
        </w:rPr>
      </w:pPr>
      <w:r w:rsidRPr="00F209C2">
        <w:rPr>
          <w:rFonts w:ascii="Arial" w:hAnsi="Arial" w:cs="Arial"/>
        </w:rPr>
        <w:t>Para el control del seguimiento y la evaluación del impacto de estas recomendaciones sobre la respuesta al TAR de los pacientes seguidos en cada centro o por un profesional, pueden utilizarse algunos de los parámetros usados como indicadores de calidad asistencial en la atención a personas infectadas por el VIH-1, elaborado por GeSIDA</w:t>
      </w:r>
      <w:r w:rsidRPr="00F209C2">
        <w:rPr>
          <w:rFonts w:ascii="Arial" w:hAnsi="Arial" w:cs="Arial"/>
          <w:noProof/>
          <w:vertAlign w:val="superscript"/>
        </w:rPr>
        <w:t>4</w:t>
      </w:r>
      <w:r w:rsidRPr="00F209C2">
        <w:rPr>
          <w:rFonts w:ascii="Arial" w:hAnsi="Arial" w:cs="Arial"/>
        </w:rPr>
        <w:t xml:space="preserve">. </w:t>
      </w:r>
    </w:p>
    <w:p w14:paraId="6E005BFF" w14:textId="77777777" w:rsidR="00851F60" w:rsidRPr="00F209C2" w:rsidRDefault="00851F60" w:rsidP="00851F60">
      <w:pPr>
        <w:spacing w:line="276" w:lineRule="auto"/>
      </w:pPr>
    </w:p>
    <w:p w14:paraId="18E10D4B" w14:textId="5FAED8BE" w:rsidR="00851F60" w:rsidRPr="00851F60" w:rsidRDefault="00851F60" w:rsidP="00851F60">
      <w:pPr>
        <w:spacing w:line="276" w:lineRule="auto"/>
        <w:jc w:val="center"/>
        <w:rPr>
          <w:rFonts w:ascii="Arial" w:hAnsi="Arial" w:cs="Arial"/>
          <w:b/>
          <w:noProof/>
          <w:color w:val="AE1C1F"/>
        </w:rPr>
        <w:sectPr w:rsidR="00851F60" w:rsidRPr="00851F60">
          <w:footerReference w:type="default" r:id="rId9"/>
          <w:pgSz w:w="11906" w:h="16838"/>
          <w:pgMar w:top="1417" w:right="1701" w:bottom="1417" w:left="1701" w:header="708" w:footer="708" w:gutter="0"/>
          <w:pgNumType w:start="1"/>
          <w:cols w:space="708"/>
          <w:docGrid w:linePitch="360"/>
        </w:sectPr>
      </w:pPr>
      <w:r w:rsidRPr="00F209C2">
        <w:rPr>
          <w:rFonts w:ascii="Arial" w:hAnsi="Arial" w:cs="Arial"/>
          <w:b/>
          <w:noProof/>
          <w:color w:val="AE1C1F"/>
        </w:rPr>
        <w:t>Referencias bibliográfic</w:t>
      </w:r>
      <w:r>
        <w:rPr>
          <w:rFonts w:ascii="Arial" w:hAnsi="Arial" w:cs="Arial"/>
          <w:b/>
          <w:noProof/>
          <w:color w:val="AE1C1F"/>
        </w:rPr>
        <w:t>a</w:t>
      </w:r>
    </w:p>
    <w:p w14:paraId="0CC7AC33" w14:textId="77777777" w:rsidR="00851F60" w:rsidRPr="00F209C2" w:rsidRDefault="00851F60" w:rsidP="00851F60">
      <w:pPr>
        <w:widowControl w:val="0"/>
        <w:autoSpaceDE w:val="0"/>
        <w:autoSpaceDN w:val="0"/>
        <w:adjustRightInd w:val="0"/>
        <w:spacing w:line="276" w:lineRule="auto"/>
        <w:jc w:val="both"/>
        <w:rPr>
          <w:rFonts w:ascii="Arial" w:hAnsi="Arial" w:cs="Arial"/>
          <w:sz w:val="18"/>
          <w:szCs w:val="18"/>
          <w:lang w:val="en-US"/>
        </w:rPr>
      </w:pPr>
      <w:r w:rsidRPr="00F209C2">
        <w:rPr>
          <w:rFonts w:ascii="Arial" w:hAnsi="Arial" w:cs="Arial"/>
          <w:color w:val="000000"/>
          <w:sz w:val="18"/>
        </w:rPr>
        <w:lastRenderedPageBreak/>
        <w:t>1.</w:t>
      </w:r>
      <w:r w:rsidRPr="00F209C2">
        <w:rPr>
          <w:color w:val="000000"/>
          <w:sz w:val="18"/>
        </w:rPr>
        <w:t xml:space="preserve"> </w:t>
      </w:r>
      <w:r w:rsidRPr="00F209C2">
        <w:rPr>
          <w:rFonts w:ascii="Arial" w:hAnsi="Arial" w:cs="Arial"/>
          <w:sz w:val="18"/>
          <w:szCs w:val="18"/>
        </w:rPr>
        <w:t xml:space="preserve">Saag MS, Benson CA, Gandhi RT, Hoy JF, Landovitz RJ, Mugavero MJ, et al. </w:t>
      </w:r>
      <w:r w:rsidRPr="00F209C2">
        <w:rPr>
          <w:rFonts w:ascii="Arial" w:hAnsi="Arial" w:cs="Arial"/>
          <w:sz w:val="18"/>
          <w:szCs w:val="18"/>
          <w:lang w:val="en-US"/>
        </w:rPr>
        <w:t xml:space="preserve">Antiretroviral </w:t>
      </w:r>
      <w:r>
        <w:rPr>
          <w:rFonts w:ascii="Arial" w:hAnsi="Arial" w:cs="Arial"/>
          <w:sz w:val="18"/>
          <w:szCs w:val="18"/>
          <w:lang w:val="en-US"/>
        </w:rPr>
        <w:t>d</w:t>
      </w:r>
      <w:r w:rsidRPr="00F209C2">
        <w:rPr>
          <w:rFonts w:ascii="Arial" w:hAnsi="Arial" w:cs="Arial"/>
          <w:sz w:val="18"/>
          <w:szCs w:val="18"/>
          <w:lang w:val="en-US"/>
        </w:rPr>
        <w:t xml:space="preserve">rugs for </w:t>
      </w:r>
      <w:r>
        <w:rPr>
          <w:rFonts w:ascii="Arial" w:hAnsi="Arial" w:cs="Arial"/>
          <w:sz w:val="18"/>
          <w:szCs w:val="18"/>
          <w:lang w:val="en-US"/>
        </w:rPr>
        <w:t>t</w:t>
      </w:r>
      <w:r w:rsidRPr="00F209C2">
        <w:rPr>
          <w:rFonts w:ascii="Arial" w:hAnsi="Arial" w:cs="Arial"/>
          <w:sz w:val="18"/>
          <w:szCs w:val="18"/>
          <w:lang w:val="en-US"/>
        </w:rPr>
        <w:t xml:space="preserve">reatment and </w:t>
      </w:r>
      <w:r>
        <w:rPr>
          <w:rFonts w:ascii="Arial" w:hAnsi="Arial" w:cs="Arial"/>
          <w:sz w:val="18"/>
          <w:szCs w:val="18"/>
          <w:lang w:val="en-US"/>
        </w:rPr>
        <w:t>prevention of HIV i</w:t>
      </w:r>
      <w:r w:rsidRPr="00F209C2">
        <w:rPr>
          <w:rFonts w:ascii="Arial" w:hAnsi="Arial" w:cs="Arial"/>
          <w:sz w:val="18"/>
          <w:szCs w:val="18"/>
          <w:lang w:val="en-US"/>
        </w:rPr>
        <w:t xml:space="preserve">nfection in </w:t>
      </w:r>
      <w:r>
        <w:rPr>
          <w:rFonts w:ascii="Arial" w:hAnsi="Arial" w:cs="Arial"/>
          <w:sz w:val="18"/>
          <w:szCs w:val="18"/>
          <w:lang w:val="en-US"/>
        </w:rPr>
        <w:t>adults.</w:t>
      </w:r>
      <w:r w:rsidRPr="00F209C2">
        <w:rPr>
          <w:rFonts w:ascii="Arial" w:hAnsi="Arial" w:cs="Arial"/>
          <w:sz w:val="18"/>
          <w:szCs w:val="18"/>
          <w:lang w:val="en-US"/>
        </w:rPr>
        <w:t xml:space="preserve"> 2018 Recommendations of the International Antivira</w:t>
      </w:r>
      <w:r>
        <w:rPr>
          <w:rFonts w:ascii="Arial" w:hAnsi="Arial" w:cs="Arial"/>
          <w:sz w:val="18"/>
          <w:szCs w:val="18"/>
          <w:lang w:val="en-US"/>
        </w:rPr>
        <w:t>l Society–USA Panel. JAMA 2018;320:379-</w:t>
      </w:r>
      <w:r w:rsidRPr="00F209C2">
        <w:rPr>
          <w:rFonts w:ascii="Arial" w:hAnsi="Arial" w:cs="Arial"/>
          <w:sz w:val="18"/>
          <w:szCs w:val="18"/>
          <w:lang w:val="en-US"/>
        </w:rPr>
        <w:t>96.</w:t>
      </w:r>
    </w:p>
    <w:p w14:paraId="6325CB9C" w14:textId="77777777" w:rsidR="00851F60" w:rsidRPr="00F209C2" w:rsidRDefault="00851F60" w:rsidP="00851F60">
      <w:pPr>
        <w:widowControl w:val="0"/>
        <w:autoSpaceDE w:val="0"/>
        <w:autoSpaceDN w:val="0"/>
        <w:adjustRightInd w:val="0"/>
        <w:spacing w:line="276" w:lineRule="auto"/>
        <w:jc w:val="both"/>
        <w:rPr>
          <w:rFonts w:ascii="Arial" w:hAnsi="Arial" w:cs="Arial"/>
          <w:color w:val="000000"/>
          <w:sz w:val="18"/>
          <w:szCs w:val="18"/>
          <w:lang w:val="en-US"/>
        </w:rPr>
      </w:pPr>
    </w:p>
    <w:p w14:paraId="3C010A85" w14:textId="77777777" w:rsidR="00851F60" w:rsidRPr="00851F60" w:rsidRDefault="00851F60" w:rsidP="00851F60">
      <w:pPr>
        <w:jc w:val="both"/>
        <w:rPr>
          <w:rFonts w:ascii="Arial" w:hAnsi="Arial" w:cs="Arial"/>
          <w:color w:val="000000"/>
          <w:sz w:val="18"/>
          <w:szCs w:val="18"/>
          <w:lang w:val="en-US"/>
        </w:rPr>
      </w:pPr>
      <w:r w:rsidRPr="00F209C2">
        <w:rPr>
          <w:rFonts w:ascii="Arial" w:hAnsi="Arial" w:cs="Arial"/>
          <w:color w:val="000000"/>
          <w:sz w:val="18"/>
          <w:szCs w:val="18"/>
          <w:lang w:val="en-US"/>
        </w:rPr>
        <w:t xml:space="preserve">2. Panel on Antiretroviral Guidelines for Adults and Adolescents. Guidelines for the </w:t>
      </w:r>
      <w:r>
        <w:rPr>
          <w:rFonts w:ascii="Arial" w:hAnsi="Arial" w:cs="Arial"/>
          <w:color w:val="000000"/>
          <w:sz w:val="18"/>
          <w:szCs w:val="18"/>
          <w:lang w:val="en-US"/>
        </w:rPr>
        <w:t>u</w:t>
      </w:r>
      <w:r w:rsidRPr="00F209C2">
        <w:rPr>
          <w:rFonts w:ascii="Arial" w:hAnsi="Arial" w:cs="Arial"/>
          <w:color w:val="000000"/>
          <w:sz w:val="18"/>
          <w:szCs w:val="18"/>
          <w:lang w:val="en-US"/>
        </w:rPr>
        <w:t xml:space="preserve">se of </w:t>
      </w:r>
      <w:r>
        <w:rPr>
          <w:rFonts w:ascii="Arial" w:hAnsi="Arial" w:cs="Arial"/>
          <w:color w:val="000000"/>
          <w:sz w:val="18"/>
          <w:szCs w:val="18"/>
          <w:lang w:val="en-US"/>
        </w:rPr>
        <w:t>a</w:t>
      </w:r>
      <w:r w:rsidRPr="00F209C2">
        <w:rPr>
          <w:rFonts w:ascii="Arial" w:hAnsi="Arial" w:cs="Arial"/>
          <w:color w:val="000000"/>
          <w:sz w:val="18"/>
          <w:szCs w:val="18"/>
          <w:lang w:val="en-US"/>
        </w:rPr>
        <w:t xml:space="preserve">ntiretroviral </w:t>
      </w:r>
      <w:r>
        <w:rPr>
          <w:rFonts w:ascii="Arial" w:hAnsi="Arial" w:cs="Arial"/>
          <w:color w:val="000000"/>
          <w:sz w:val="18"/>
          <w:szCs w:val="18"/>
          <w:lang w:val="en-US"/>
        </w:rPr>
        <w:t>a</w:t>
      </w:r>
      <w:r w:rsidRPr="00F209C2">
        <w:rPr>
          <w:rFonts w:ascii="Arial" w:hAnsi="Arial" w:cs="Arial"/>
          <w:color w:val="000000"/>
          <w:sz w:val="18"/>
          <w:szCs w:val="18"/>
          <w:lang w:val="en-US"/>
        </w:rPr>
        <w:t xml:space="preserve">gents in </w:t>
      </w:r>
      <w:r>
        <w:rPr>
          <w:rFonts w:ascii="Arial" w:hAnsi="Arial" w:cs="Arial"/>
          <w:color w:val="000000"/>
          <w:sz w:val="18"/>
          <w:szCs w:val="18"/>
          <w:lang w:val="en-US"/>
        </w:rPr>
        <w:t>a</w:t>
      </w:r>
      <w:r w:rsidRPr="00F209C2">
        <w:rPr>
          <w:rFonts w:ascii="Arial" w:hAnsi="Arial" w:cs="Arial"/>
          <w:color w:val="000000"/>
          <w:sz w:val="18"/>
          <w:szCs w:val="18"/>
          <w:lang w:val="en-US"/>
        </w:rPr>
        <w:t xml:space="preserve">dults and </w:t>
      </w:r>
      <w:r>
        <w:rPr>
          <w:rFonts w:ascii="Arial" w:hAnsi="Arial" w:cs="Arial"/>
          <w:color w:val="000000"/>
          <w:sz w:val="18"/>
          <w:szCs w:val="18"/>
          <w:lang w:val="en-US"/>
        </w:rPr>
        <w:t>adolescents l</w:t>
      </w:r>
      <w:r w:rsidRPr="00F209C2">
        <w:rPr>
          <w:rFonts w:ascii="Arial" w:hAnsi="Arial" w:cs="Arial"/>
          <w:color w:val="000000"/>
          <w:sz w:val="18"/>
          <w:szCs w:val="18"/>
          <w:lang w:val="en-US"/>
        </w:rPr>
        <w:t xml:space="preserve">iving with HIV. Department of Health and Human Services </w:t>
      </w:r>
      <w:r w:rsidRPr="005929F9">
        <w:rPr>
          <w:rFonts w:ascii="Arial" w:hAnsi="Arial" w:cs="Arial"/>
          <w:color w:val="000000"/>
          <w:sz w:val="18"/>
          <w:szCs w:val="18"/>
          <w:highlight w:val="yellow"/>
          <w:lang w:val="en-US"/>
        </w:rPr>
        <w:t xml:space="preserve">(Last updated 10 July, 2019). </w:t>
      </w:r>
      <w:r w:rsidRPr="00851F60">
        <w:rPr>
          <w:rFonts w:ascii="Arial" w:hAnsi="Arial" w:cs="Arial"/>
          <w:color w:val="000000"/>
          <w:sz w:val="18"/>
          <w:szCs w:val="18"/>
          <w:highlight w:val="yellow"/>
          <w:lang w:val="en-US"/>
        </w:rPr>
        <w:t xml:space="preserve">Accesible: </w:t>
      </w:r>
      <w:hyperlink r:id="rId10" w:history="1">
        <w:r w:rsidRPr="00851F60">
          <w:rPr>
            <w:rStyle w:val="Hipervnculo"/>
            <w:rFonts w:ascii="Arial" w:hAnsi="Arial" w:cs="Arial"/>
            <w:sz w:val="18"/>
            <w:szCs w:val="18"/>
            <w:highlight w:val="yellow"/>
            <w:lang w:val="en-US"/>
          </w:rPr>
          <w:t>https://aidsinfo.nih.gov/guidelines/html/1/adult-and-adolescent-arv/0</w:t>
        </w:r>
      </w:hyperlink>
      <w:r w:rsidRPr="00851F60">
        <w:rPr>
          <w:rFonts w:ascii="Arial" w:hAnsi="Arial" w:cs="Arial"/>
          <w:color w:val="000000"/>
          <w:sz w:val="18"/>
          <w:szCs w:val="18"/>
          <w:highlight w:val="yellow"/>
          <w:lang w:val="en-US"/>
        </w:rPr>
        <w:t xml:space="preserve"> (Consultado el 30.11.2019).</w:t>
      </w:r>
    </w:p>
    <w:p w14:paraId="0EFD6AE8" w14:textId="77777777" w:rsidR="00851F60" w:rsidRPr="00851F60" w:rsidRDefault="00851F60" w:rsidP="00851F60">
      <w:pPr>
        <w:jc w:val="both"/>
        <w:rPr>
          <w:rFonts w:ascii="Arial" w:hAnsi="Arial" w:cs="Arial"/>
          <w:color w:val="000000"/>
          <w:sz w:val="18"/>
          <w:szCs w:val="18"/>
          <w:lang w:val="en-US"/>
        </w:rPr>
      </w:pPr>
    </w:p>
    <w:p w14:paraId="2AFB10E9" w14:textId="77777777" w:rsidR="00851F60" w:rsidRPr="005929F9" w:rsidRDefault="00851F60" w:rsidP="00851F60">
      <w:pPr>
        <w:pStyle w:val="EndNoteBibliography"/>
        <w:spacing w:before="120" w:after="120" w:line="276" w:lineRule="auto"/>
        <w:jc w:val="both"/>
        <w:rPr>
          <w:rFonts w:eastAsia="Times New Roman" w:cs="Arial"/>
          <w:noProof w:val="0"/>
          <w:color w:val="000000"/>
          <w:sz w:val="18"/>
          <w:szCs w:val="18"/>
        </w:rPr>
      </w:pPr>
      <w:r w:rsidRPr="00320FE2">
        <w:rPr>
          <w:rFonts w:eastAsia="Times New Roman" w:cs="Arial"/>
          <w:noProof w:val="0"/>
          <w:color w:val="000000"/>
          <w:sz w:val="18"/>
          <w:szCs w:val="18"/>
          <w:lang w:val="en-US"/>
        </w:rPr>
        <w:t xml:space="preserve">3. European AIDS Clinical Society. </w:t>
      </w:r>
      <w:r w:rsidRPr="005929F9">
        <w:rPr>
          <w:rFonts w:eastAsia="Times New Roman" w:cs="Arial"/>
          <w:noProof w:val="0"/>
          <w:color w:val="000000"/>
          <w:sz w:val="18"/>
          <w:szCs w:val="18"/>
          <w:lang w:val="en-US"/>
        </w:rPr>
        <w:t xml:space="preserve">Guidelines for the clinical management and treatment of HIV-infected adults in Europe. </w:t>
      </w:r>
      <w:r w:rsidRPr="005929F9">
        <w:rPr>
          <w:rFonts w:eastAsia="Times New Roman" w:cs="Arial"/>
          <w:noProof w:val="0"/>
          <w:color w:val="000000"/>
          <w:sz w:val="18"/>
          <w:szCs w:val="18"/>
          <w:highlight w:val="yellow"/>
        </w:rPr>
        <w:t xml:space="preserve">(Version 9.1, Octubre 2018). </w:t>
      </w:r>
      <w:hyperlink r:id="rId11" w:history="1">
        <w:r w:rsidRPr="005929F9">
          <w:rPr>
            <w:rStyle w:val="Hipervnculo"/>
            <w:rFonts w:eastAsia="Times New Roman" w:cs="Arial"/>
            <w:noProof w:val="0"/>
            <w:sz w:val="18"/>
            <w:szCs w:val="18"/>
            <w:highlight w:val="yellow"/>
          </w:rPr>
          <w:t>http://www.eacsociety.org/files/2018_guidelines-9.1-english.pdf</w:t>
        </w:r>
      </w:hyperlink>
      <w:r w:rsidRPr="005929F9">
        <w:rPr>
          <w:rFonts w:eastAsia="Times New Roman" w:cs="Arial"/>
          <w:noProof w:val="0"/>
          <w:color w:val="000000"/>
          <w:sz w:val="18"/>
          <w:szCs w:val="18"/>
          <w:highlight w:val="yellow"/>
        </w:rPr>
        <w:t xml:space="preserve"> (consultada el: </w:t>
      </w:r>
      <w:r>
        <w:rPr>
          <w:rFonts w:eastAsia="Times New Roman" w:cs="Arial"/>
          <w:noProof w:val="0"/>
          <w:color w:val="000000"/>
          <w:sz w:val="18"/>
          <w:szCs w:val="18"/>
          <w:highlight w:val="yellow"/>
        </w:rPr>
        <w:t>30.11</w:t>
      </w:r>
      <w:r w:rsidRPr="005929F9">
        <w:rPr>
          <w:rFonts w:eastAsia="Times New Roman" w:cs="Arial"/>
          <w:noProof w:val="0"/>
          <w:color w:val="000000"/>
          <w:sz w:val="18"/>
          <w:szCs w:val="18"/>
          <w:highlight w:val="yellow"/>
        </w:rPr>
        <w:t>.2019).</w:t>
      </w:r>
      <w:r w:rsidRPr="005929F9">
        <w:rPr>
          <w:rFonts w:eastAsia="Times New Roman" w:cs="Arial"/>
          <w:noProof w:val="0"/>
          <w:color w:val="000000"/>
          <w:sz w:val="18"/>
          <w:szCs w:val="18"/>
        </w:rPr>
        <w:t xml:space="preserve"> </w:t>
      </w:r>
    </w:p>
    <w:p w14:paraId="7CC4912F" w14:textId="77777777" w:rsidR="00851F60" w:rsidRPr="00931B65" w:rsidRDefault="00851F60" w:rsidP="00851F60">
      <w:pPr>
        <w:pStyle w:val="EndNoteBibliography"/>
        <w:spacing w:before="120" w:after="120" w:line="276" w:lineRule="auto"/>
        <w:jc w:val="both"/>
        <w:rPr>
          <w:sz w:val="18"/>
        </w:rPr>
      </w:pPr>
      <w:r w:rsidRPr="00F209C2">
        <w:rPr>
          <w:sz w:val="18"/>
        </w:rPr>
        <w:t>4. von Wichmann MA, Locutura J, Blanco JR, et al. Indicadores de calidad asistencial de GESIDA para la atencion de personas infectadas por el VIH/sida. Enfer</w:t>
      </w:r>
      <w:r>
        <w:rPr>
          <w:sz w:val="18"/>
        </w:rPr>
        <w:t>m Infecc Microbiol Clin 2010;28(</w:t>
      </w:r>
      <w:r w:rsidRPr="00F209C2">
        <w:rPr>
          <w:sz w:val="18"/>
        </w:rPr>
        <w:t>Suppl 5</w:t>
      </w:r>
      <w:r>
        <w:rPr>
          <w:sz w:val="18"/>
        </w:rPr>
        <w:t>)</w:t>
      </w:r>
      <w:r w:rsidRPr="00F209C2">
        <w:rPr>
          <w:sz w:val="18"/>
        </w:rPr>
        <w:t>:6-88.</w:t>
      </w:r>
    </w:p>
    <w:p w14:paraId="1C02B069" w14:textId="77777777" w:rsidR="00851F60" w:rsidRDefault="00851F60" w:rsidP="00851F60"/>
    <w:p w14:paraId="0C597A20" w14:textId="77777777" w:rsidR="00802EB8" w:rsidRDefault="001B5265" w:rsidP="00851F60">
      <w:pPr>
        <w:widowControl w:val="0"/>
        <w:autoSpaceDE w:val="0"/>
        <w:autoSpaceDN w:val="0"/>
        <w:adjustRightInd w:val="0"/>
        <w:spacing w:before="120" w:after="120" w:line="276" w:lineRule="auto"/>
        <w:jc w:val="both"/>
        <w:rPr>
          <w:rFonts w:ascii="Arial" w:hAnsi="Arial" w:cs="Arial"/>
        </w:rPr>
        <w:sectPr w:rsidR="00802EB8" w:rsidSect="00802EB8">
          <w:footerReference w:type="default" r:id="rId12"/>
          <w:pgSz w:w="11906" w:h="16838"/>
          <w:pgMar w:top="1417" w:right="1701" w:bottom="1417" w:left="1701" w:header="708" w:footer="708" w:gutter="0"/>
          <w:cols w:num="2" w:space="708"/>
          <w:docGrid w:linePitch="360"/>
        </w:sectPr>
      </w:pPr>
      <w:r w:rsidRPr="00000FF8">
        <w:rPr>
          <w:rFonts w:ascii="Arial" w:hAnsi="Arial" w:cs="Arial"/>
        </w:rPr>
        <w:br w:type="page"/>
      </w:r>
    </w:p>
    <w:p w14:paraId="36C81618" w14:textId="478D21E0"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b/>
          <w:bCs/>
          <w:color w:val="AE1C1F"/>
          <w:vertAlign w:val="superscript"/>
        </w:rPr>
      </w:pPr>
      <w:r w:rsidRPr="003F3B0A">
        <w:rPr>
          <w:rFonts w:ascii="Arial" w:hAnsi="Arial" w:cs="Arial"/>
          <w:b/>
          <w:bCs/>
          <w:color w:val="AE1C1F"/>
          <w:kern w:val="1"/>
          <w:lang w:eastAsia="ar-SA"/>
        </w:rPr>
        <w:lastRenderedPageBreak/>
        <w:t>2. EVALUACIÓN CLÍNICA Y DE LABORATORIO PARA GUIAR EL TAR</w:t>
      </w:r>
      <w:r w:rsidRPr="003F3B0A">
        <w:rPr>
          <w:rFonts w:ascii="Arial" w:hAnsi="Arial" w:cs="Arial"/>
          <w:b/>
          <w:bCs/>
          <w:color w:val="AE1C1F"/>
          <w:kern w:val="1"/>
          <w:vertAlign w:val="superscript"/>
          <w:lang w:eastAsia="ar-SA"/>
        </w:rPr>
        <w:t>a</w:t>
      </w:r>
    </w:p>
    <w:p w14:paraId="35045E93"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b/>
          <w:bCs/>
          <w:color w:val="006600"/>
        </w:rPr>
      </w:pPr>
    </w:p>
    <w:p w14:paraId="03AD0EAA"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2.1. Evaluación clínica</w:t>
      </w:r>
    </w:p>
    <w:p w14:paraId="21183A65" w14:textId="77777777" w:rsidR="00851F60" w:rsidRPr="003F3B0A" w:rsidRDefault="00851F60" w:rsidP="00851F60">
      <w:pPr>
        <w:spacing w:before="120" w:after="120" w:line="276" w:lineRule="auto"/>
        <w:jc w:val="both"/>
        <w:rPr>
          <w:rFonts w:ascii="Arial" w:hAnsi="Arial" w:cs="Arial"/>
        </w:rPr>
      </w:pPr>
      <w:r w:rsidRPr="003F3B0A">
        <w:rPr>
          <w:rFonts w:ascii="Arial" w:hAnsi="Arial" w:cs="Arial"/>
        </w:rPr>
        <w:t xml:space="preserve">Se realizará una historia clínica completa incluyendo en la anamnesis alergias medicamentosas, hábitos sexuales y consumo de tóxicos (incluidas las drogas asociadas a </w:t>
      </w:r>
      <w:r w:rsidRPr="003F3B0A">
        <w:rPr>
          <w:rFonts w:ascii="Arial" w:hAnsi="Arial" w:cs="Arial"/>
          <w:i/>
        </w:rPr>
        <w:t>Chemsex</w:t>
      </w:r>
      <w:r w:rsidRPr="003F3B0A">
        <w:rPr>
          <w:rFonts w:ascii="Arial" w:hAnsi="Arial" w:cs="Arial"/>
        </w:rPr>
        <w:t xml:space="preserve">), antecedentes de ITS, evaluación de la infección tuberculosa latente y vacunaciones; comorbilidades y evaluación </w:t>
      </w:r>
      <w:r w:rsidRPr="003F3B0A">
        <w:rPr>
          <w:rFonts w:ascii="Arial" w:hAnsi="Arial" w:cs="Arial"/>
          <w:shd w:val="clear" w:color="auto" w:fill="FFFFFF"/>
        </w:rPr>
        <w:t xml:space="preserve">del </w:t>
      </w:r>
      <w:r w:rsidRPr="003F3B0A">
        <w:rPr>
          <w:rFonts w:ascii="Arial" w:hAnsi="Arial" w:cs="Arial"/>
        </w:rPr>
        <w:t xml:space="preserve">riesgo cardiovascular, medicación concomitante, consumo de productos de herboristería o terapias complementarias </w:t>
      </w:r>
      <w:r w:rsidRPr="002C1C84">
        <w:rPr>
          <w:rFonts w:ascii="Arial" w:hAnsi="Arial" w:cs="Arial"/>
          <w:highlight w:val="yellow"/>
        </w:rPr>
        <w:t>y uso previo de fármacos antirretrovirales;</w:t>
      </w:r>
      <w:r w:rsidRPr="003F3B0A">
        <w:rPr>
          <w:rFonts w:ascii="Arial" w:hAnsi="Arial" w:cs="Arial"/>
        </w:rPr>
        <w:t xml:space="preserve"> país de origen, viajes recientes, animales domésticos, soporte socio-familiar, nivel de estudios y evaluación de la necesidad de apoyo psicológico o psiquiátrico</w:t>
      </w:r>
      <w:r w:rsidRPr="003F3B0A">
        <w:rPr>
          <w:rFonts w:ascii="Arial" w:hAnsi="Arial" w:cs="Arial"/>
          <w:noProof/>
          <w:vertAlign w:val="superscript"/>
        </w:rPr>
        <w:t>1,2</w:t>
      </w:r>
      <w:r w:rsidRPr="003F3B0A">
        <w:rPr>
          <w:rFonts w:ascii="Arial" w:hAnsi="Arial" w:cs="Arial"/>
        </w:rPr>
        <w:t xml:space="preserve">. En las mujeres, además, </w:t>
      </w:r>
      <w:r w:rsidRPr="003F3B0A">
        <w:rPr>
          <w:rFonts w:ascii="Arial" w:hAnsi="Arial" w:cs="Arial"/>
          <w:shd w:val="clear" w:color="auto" w:fill="FFFFFF"/>
        </w:rPr>
        <w:t>se deben</w:t>
      </w:r>
      <w:r w:rsidRPr="003F3B0A">
        <w:rPr>
          <w:rFonts w:ascii="Arial" w:hAnsi="Arial" w:cs="Arial"/>
        </w:rPr>
        <w:t xml:space="preserve"> investigar aspectos relacionados con el deseo reproductivo, ciclo menstrual y la menopausia, </w:t>
      </w:r>
      <w:r w:rsidRPr="003F3B0A">
        <w:rPr>
          <w:rFonts w:ascii="Arial" w:hAnsi="Arial" w:cs="Arial"/>
          <w:shd w:val="clear" w:color="auto" w:fill="FFFFFF"/>
        </w:rPr>
        <w:t>uso de métodos anticonceptivos y resultados de controles ginecológicos previos.</w:t>
      </w:r>
      <w:r w:rsidRPr="003F3B0A">
        <w:rPr>
          <w:rFonts w:ascii="Arial" w:hAnsi="Arial" w:cs="Arial"/>
        </w:rPr>
        <w:t xml:space="preserve"> También se debe realizar un examen físico general completo y sistematizado. Esta evaluación </w:t>
      </w:r>
      <w:r w:rsidRPr="003F3B0A">
        <w:rPr>
          <w:rFonts w:ascii="Arial" w:hAnsi="Arial" w:cs="Arial"/>
          <w:color w:val="00000A"/>
        </w:rPr>
        <w:t>se repetirá con periodicidad anual o siempre que la situación clínica del paciente lo requiera</w:t>
      </w:r>
      <w:r w:rsidRPr="003F3B0A">
        <w:rPr>
          <w:rFonts w:ascii="Arial" w:hAnsi="Arial" w:cs="Arial"/>
          <w:noProof/>
          <w:vertAlign w:val="superscript"/>
        </w:rPr>
        <w:t>1,2</w:t>
      </w:r>
      <w:r w:rsidRPr="003F3B0A">
        <w:rPr>
          <w:rFonts w:ascii="Arial" w:hAnsi="Arial" w:cs="Arial"/>
        </w:rPr>
        <w:t>. La evaluación clínica inicial es una ocasión muy importante para realizar estudio de contactos</w:t>
      </w:r>
      <w:r w:rsidRPr="003F3B0A">
        <w:rPr>
          <w:rFonts w:ascii="Arial" w:hAnsi="Arial" w:cs="Arial"/>
          <w:noProof/>
          <w:vertAlign w:val="superscript"/>
        </w:rPr>
        <w:t>3</w:t>
      </w:r>
      <w:r w:rsidRPr="003F3B0A">
        <w:rPr>
          <w:rFonts w:ascii="Arial" w:hAnsi="Arial" w:cs="Arial"/>
        </w:rPr>
        <w:t xml:space="preserve"> y establecer una relación médico-paciente efectiva y duradera y aconsejar hábitos saludables para evitar la transmisión del VIH. En la Tabla 1 se muestran las exploraciones complementarias que deben realizarse en la evaluación inicial y durante el seguimiento.</w:t>
      </w:r>
    </w:p>
    <w:p w14:paraId="3984F5BB"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b/>
          <w:bCs/>
          <w:color w:val="AE1C1F"/>
        </w:rPr>
      </w:pPr>
      <w:r w:rsidRPr="003F3B0A">
        <w:rPr>
          <w:rFonts w:ascii="Arial" w:eastAsia="MS Mincho" w:hAnsi="Arial" w:cs="Arial"/>
          <w:b/>
          <w:bCs/>
          <w:color w:val="AE1C1F"/>
        </w:rPr>
        <w:t>Recomendaciones</w:t>
      </w:r>
    </w:p>
    <w:p w14:paraId="3CD3D3E3" w14:textId="738042FD" w:rsidR="00851F60" w:rsidRPr="003F3B0A" w:rsidRDefault="00851F60" w:rsidP="00851F60">
      <w:pPr>
        <w:widowControl w:val="0"/>
        <w:numPr>
          <w:ilvl w:val="0"/>
          <w:numId w:val="26"/>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 xml:space="preserve">Se debe realizar una anamnesis </w:t>
      </w:r>
      <w:r>
        <w:rPr>
          <w:rFonts w:ascii="Arial" w:eastAsia="MS Mincho" w:hAnsi="Arial" w:cs="Arial"/>
          <w:color w:val="00000A"/>
        </w:rPr>
        <w:t>detallada</w:t>
      </w:r>
      <w:r w:rsidRPr="003F3B0A">
        <w:rPr>
          <w:rFonts w:ascii="Arial" w:eastAsia="MS Mincho" w:hAnsi="Arial" w:cs="Arial"/>
          <w:color w:val="00000A"/>
        </w:rPr>
        <w:t xml:space="preserve"> y un examen físico completo que se repetirán siempre que el paciente lo requiera y, como mínimo anualmente </w:t>
      </w:r>
      <w:r w:rsidRPr="003F3B0A">
        <w:rPr>
          <w:rFonts w:ascii="Arial" w:eastAsia="MS Mincho" w:hAnsi="Arial" w:cs="Arial"/>
          <w:b/>
          <w:i/>
          <w:color w:val="00000A"/>
        </w:rPr>
        <w:t>(A-I</w:t>
      </w:r>
      <w:r>
        <w:rPr>
          <w:rFonts w:ascii="Arial" w:eastAsia="MS Mincho" w:hAnsi="Arial" w:cs="Arial"/>
          <w:b/>
          <w:i/>
          <w:color w:val="00000A"/>
        </w:rPr>
        <w:t>I</w:t>
      </w:r>
      <w:r w:rsidRPr="003F3B0A">
        <w:rPr>
          <w:rFonts w:ascii="Arial" w:eastAsia="MS Mincho" w:hAnsi="Arial" w:cs="Arial"/>
          <w:b/>
          <w:i/>
          <w:color w:val="00000A"/>
        </w:rPr>
        <w:t>I)</w:t>
      </w:r>
      <w:r w:rsidR="00A5297B">
        <w:rPr>
          <w:rFonts w:ascii="Arial" w:eastAsia="MS Mincho" w:hAnsi="Arial" w:cs="Arial"/>
          <w:b/>
          <w:i/>
          <w:color w:val="00000A"/>
        </w:rPr>
        <w:t>.</w:t>
      </w:r>
    </w:p>
    <w:p w14:paraId="257473D9" w14:textId="1A96DB46" w:rsidR="00851F60" w:rsidRPr="003F3B0A" w:rsidRDefault="00851F60" w:rsidP="00851F60">
      <w:pPr>
        <w:widowControl w:val="0"/>
        <w:numPr>
          <w:ilvl w:val="0"/>
          <w:numId w:val="26"/>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Se debe realizar un estudio de contactos en todos los nuevos diagnósticos de forma voluntaria por parte del caso índice, garantizando la confidencialidad (</w:t>
      </w:r>
      <w:r w:rsidRPr="003F3B0A">
        <w:rPr>
          <w:rFonts w:ascii="Arial" w:eastAsia="MS Mincho" w:hAnsi="Arial" w:cs="Arial"/>
          <w:b/>
          <w:i/>
          <w:color w:val="00000A"/>
        </w:rPr>
        <w:t>A-III</w:t>
      </w:r>
      <w:r w:rsidRPr="003F3B0A">
        <w:rPr>
          <w:rFonts w:ascii="Arial" w:eastAsia="MS Mincho" w:hAnsi="Arial" w:cs="Arial"/>
          <w:color w:val="00000A"/>
        </w:rPr>
        <w:t>)</w:t>
      </w:r>
      <w:r w:rsidR="00A5297B">
        <w:rPr>
          <w:rFonts w:ascii="Arial" w:eastAsia="MS Mincho" w:hAnsi="Arial" w:cs="Arial"/>
          <w:color w:val="00000A"/>
        </w:rPr>
        <w:t>.</w:t>
      </w:r>
    </w:p>
    <w:p w14:paraId="7F8D1123" w14:textId="77777777" w:rsidR="00851F60" w:rsidRPr="003F3B0A" w:rsidRDefault="00851F60" w:rsidP="00851F60">
      <w:pPr>
        <w:widowControl w:val="0"/>
        <w:suppressAutoHyphens/>
        <w:spacing w:before="120" w:after="120" w:line="276" w:lineRule="auto"/>
        <w:ind w:left="720"/>
        <w:jc w:val="both"/>
        <w:textAlignment w:val="baseline"/>
        <w:rPr>
          <w:rFonts w:ascii="Arial" w:eastAsia="MS Mincho" w:hAnsi="Arial" w:cs="Arial"/>
          <w:color w:val="00000A"/>
        </w:rPr>
      </w:pPr>
    </w:p>
    <w:p w14:paraId="61D76C97"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2.2. Evaluación de laboratorio y otros estudios complementarios</w:t>
      </w:r>
    </w:p>
    <w:p w14:paraId="206DC6E2"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00000A"/>
        </w:rPr>
      </w:pPr>
      <w:r w:rsidRPr="003F3B0A">
        <w:rPr>
          <w:rFonts w:ascii="Arial" w:eastAsia="MS Mincho" w:hAnsi="Arial" w:cs="Arial"/>
          <w:color w:val="00000A"/>
        </w:rPr>
        <w:t xml:space="preserve">En la visita inicial, se confirmará la infección por el VIH-1 mediante dos pruebas diferentes (EIA, WB </w:t>
      </w:r>
      <w:r>
        <w:rPr>
          <w:rFonts w:ascii="Arial" w:eastAsia="MS Mincho" w:hAnsi="Arial" w:cs="Arial"/>
          <w:color w:val="00000A"/>
        </w:rPr>
        <w:t>o</w:t>
      </w:r>
      <w:r w:rsidRPr="003F3B0A">
        <w:rPr>
          <w:rFonts w:ascii="Arial" w:eastAsia="MS Mincho" w:hAnsi="Arial" w:cs="Arial"/>
          <w:color w:val="00000A"/>
        </w:rPr>
        <w:t xml:space="preserve"> CVP), si no se había confirmado previamente o si la CVP está por debajo del límite de detección. Se efectuarán determinaciones analíticas generales y, además, otras determinaciones específicas relativas al VIH. </w:t>
      </w:r>
    </w:p>
    <w:p w14:paraId="2E738067"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Recomendaciones</w:t>
      </w:r>
    </w:p>
    <w:p w14:paraId="2011C104" w14:textId="2866CD8B" w:rsidR="00851F60" w:rsidRPr="003F3B0A" w:rsidRDefault="00851F60" w:rsidP="00851F60">
      <w:pPr>
        <w:numPr>
          <w:ilvl w:val="0"/>
          <w:numId w:val="26"/>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En la visita inicial, se recomienda realizar una serología del VIH-1/2 en todos los casos en los que no se haya confirmado la infección por el VIH y/o la CVP sea indetectable (</w:t>
      </w:r>
      <w:r w:rsidRPr="003F3B0A">
        <w:rPr>
          <w:rFonts w:ascii="Arial" w:eastAsia="MS Mincho" w:hAnsi="Arial" w:cs="Arial"/>
          <w:b/>
          <w:i/>
          <w:color w:val="00000A"/>
        </w:rPr>
        <w:t>A-I</w:t>
      </w:r>
      <w:r w:rsidRPr="003F3B0A">
        <w:rPr>
          <w:rFonts w:ascii="Arial" w:eastAsia="MS Mincho" w:hAnsi="Arial" w:cs="Arial"/>
          <w:color w:val="00000A"/>
        </w:rPr>
        <w:t>)</w:t>
      </w:r>
      <w:r w:rsidR="00A5297B">
        <w:rPr>
          <w:rFonts w:ascii="Arial" w:eastAsia="MS Mincho" w:hAnsi="Arial" w:cs="Arial"/>
          <w:color w:val="00000A"/>
        </w:rPr>
        <w:t>.</w:t>
      </w:r>
    </w:p>
    <w:p w14:paraId="642688DF" w14:textId="0AE8216B" w:rsidR="00851F60" w:rsidRPr="003F3B0A" w:rsidRDefault="00851F60" w:rsidP="00851F60">
      <w:pPr>
        <w:numPr>
          <w:ilvl w:val="0"/>
          <w:numId w:val="26"/>
        </w:numPr>
        <w:suppressAutoHyphens/>
        <w:spacing w:before="120" w:after="120" w:line="276" w:lineRule="auto"/>
        <w:jc w:val="both"/>
        <w:textAlignment w:val="baseline"/>
        <w:rPr>
          <w:rFonts w:ascii="Arial" w:eastAsia="MS Mincho" w:hAnsi="Arial" w:cs="Arial"/>
          <w:b/>
          <w:color w:val="00000A"/>
        </w:rPr>
      </w:pPr>
      <w:r w:rsidRPr="003F3B0A">
        <w:rPr>
          <w:rFonts w:ascii="Arial" w:eastAsia="MS Mincho" w:hAnsi="Arial" w:cs="Arial"/>
          <w:color w:val="00000A"/>
        </w:rPr>
        <w:lastRenderedPageBreak/>
        <w:t xml:space="preserve">La evaluación inicial de laboratorio debe incluir: hemograma, bioquímica general, serologías y pruebas específicas (véase texto subsiguiente y tabla 1) </w:t>
      </w:r>
      <w:r w:rsidRPr="003F3B0A">
        <w:rPr>
          <w:rFonts w:ascii="Arial" w:eastAsia="MS Mincho" w:hAnsi="Arial" w:cs="Arial"/>
          <w:b/>
          <w:color w:val="00000A"/>
        </w:rPr>
        <w:t>(</w:t>
      </w:r>
      <w:r w:rsidRPr="003F3B0A">
        <w:rPr>
          <w:rFonts w:ascii="Arial" w:eastAsia="MS Mincho" w:hAnsi="Arial" w:cs="Arial"/>
          <w:b/>
          <w:i/>
          <w:color w:val="00000A"/>
        </w:rPr>
        <w:t>A-II</w:t>
      </w:r>
      <w:r w:rsidRPr="003F3B0A">
        <w:rPr>
          <w:rFonts w:ascii="Arial" w:eastAsia="MS Mincho" w:hAnsi="Arial" w:cs="Arial"/>
          <w:b/>
          <w:color w:val="00000A"/>
        </w:rPr>
        <w:t>)</w:t>
      </w:r>
      <w:r w:rsidR="00A5297B">
        <w:rPr>
          <w:rFonts w:ascii="Arial" w:eastAsia="MS Mincho" w:hAnsi="Arial" w:cs="Arial"/>
          <w:b/>
          <w:color w:val="00000A"/>
        </w:rPr>
        <w:t>.</w:t>
      </w:r>
    </w:p>
    <w:p w14:paraId="355DCBB9" w14:textId="77777777" w:rsidR="00851F60" w:rsidRPr="003F3B0A" w:rsidRDefault="00851F60" w:rsidP="00851F60">
      <w:pPr>
        <w:ind w:left="360"/>
      </w:pPr>
    </w:p>
    <w:p w14:paraId="6A5D4395" w14:textId="77777777" w:rsidR="00851F60" w:rsidRPr="007C5220" w:rsidRDefault="00851F60" w:rsidP="00851F60">
      <w:pPr>
        <w:pStyle w:val="Prrafodelista"/>
        <w:ind w:left="0"/>
        <w:jc w:val="both"/>
        <w:rPr>
          <w:rFonts w:ascii="Arial" w:hAnsi="Arial"/>
        </w:rPr>
      </w:pPr>
      <w:r w:rsidRPr="007C5220">
        <w:rPr>
          <w:rFonts w:ascii="Arial" w:hAnsi="Arial"/>
        </w:rPr>
        <w:t>Se aconseja la lectura del Documento de consenso de Gesida sobre control y monitorización de la infección por el VIH</w:t>
      </w:r>
      <w:r w:rsidRPr="007C5220">
        <w:rPr>
          <w:rFonts w:ascii="Arial" w:hAnsi="Arial" w:cs="Arial"/>
          <w:noProof/>
          <w:vertAlign w:val="superscript"/>
        </w:rPr>
        <w:t>1</w:t>
      </w:r>
      <w:r w:rsidRPr="007C5220">
        <w:rPr>
          <w:rFonts w:ascii="Arial" w:hAnsi="Arial"/>
        </w:rPr>
        <w:t>.</w:t>
      </w:r>
    </w:p>
    <w:p w14:paraId="16F6A0FE"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i/>
          <w:iCs/>
          <w:color w:val="C00000"/>
        </w:rPr>
      </w:pPr>
    </w:p>
    <w:p w14:paraId="0E8AFF67"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i/>
          <w:iCs/>
          <w:color w:val="AE1C1F"/>
        </w:rPr>
        <w:t>2.2.1. Linfocitos CD4+</w:t>
      </w:r>
    </w:p>
    <w:p w14:paraId="0574BEB4" w14:textId="77777777" w:rsidR="00851F60" w:rsidRPr="006037A8" w:rsidRDefault="00851F60" w:rsidP="00851F60">
      <w:pPr>
        <w:jc w:val="both"/>
        <w:rPr>
          <w:rFonts w:ascii="Arial" w:hAnsi="Arial" w:cs="Arial"/>
          <w:sz w:val="22"/>
        </w:rPr>
      </w:pPr>
      <w:r w:rsidRPr="00B95A19">
        <w:rPr>
          <w:rFonts w:ascii="Arial" w:hAnsi="Arial" w:cs="Arial"/>
        </w:rPr>
        <w:t>La cifra de linfocitos CD4+ en sangre es el indicador fundamental del estado inmunológico. Sirve para clasificar la infección por el VIH en estadios pronósticos, evaluar el riesgo de comorbilidad, la vulnerabilidad a determinadas infecciones oportunistas, la necesidad de su profilaxis y su eventual discontinuación</w:t>
      </w:r>
      <w:r w:rsidRPr="006C5154">
        <w:rPr>
          <w:rFonts w:ascii="Arial" w:hAnsi="Arial" w:cs="Arial"/>
          <w:vertAlign w:val="superscript"/>
        </w:rPr>
        <w:t>1,2</w:t>
      </w:r>
      <w:r w:rsidRPr="00B95A19">
        <w:rPr>
          <w:rFonts w:ascii="Arial" w:hAnsi="Arial" w:cs="Arial"/>
        </w:rPr>
        <w:t xml:space="preserve">. Normalmente se utiliza </w:t>
      </w:r>
      <w:r w:rsidRPr="00FD687F">
        <w:rPr>
          <w:rFonts w:ascii="Arial" w:hAnsi="Arial" w:cs="Arial"/>
          <w:highlight w:val="yellow"/>
        </w:rPr>
        <w:t>la cifra absoluta</w:t>
      </w:r>
      <w:r w:rsidRPr="00B95A19">
        <w:rPr>
          <w:rFonts w:ascii="Arial" w:hAnsi="Arial" w:cs="Arial"/>
        </w:rPr>
        <w:t>, pero también puede usarse su porcentaje, que es más estable, particularmente en pacientes con leucopenia (sólo se deben considerar como significativas las variaciones superiores al 30% de las cifras absolutas y del 3% en los valores porcentuales). Una vez iniciado el TAR, se determinarán cada 3-6 meses (a las 4 semanas en los pacientes que parten de &lt;200 células/μl) o ante cambios clínicos significativos</w:t>
      </w:r>
      <w:r w:rsidRPr="003F3B0A">
        <w:rPr>
          <w:rFonts w:ascii="Arial" w:eastAsia="MS Mincho" w:hAnsi="Arial" w:cs="Arial"/>
          <w:color w:val="00000A"/>
        </w:rPr>
        <w:t xml:space="preserve">. </w:t>
      </w:r>
    </w:p>
    <w:p w14:paraId="6AC4C047" w14:textId="2E10E204" w:rsidR="00851F60" w:rsidRPr="00F86036" w:rsidRDefault="00851F60" w:rsidP="00851F60">
      <w:pPr>
        <w:jc w:val="both"/>
        <w:rPr>
          <w:rFonts w:ascii="Arial" w:eastAsia="MS Mincho" w:hAnsi="Arial" w:cs="Arial"/>
          <w:color w:val="00000A"/>
        </w:rPr>
      </w:pPr>
      <w:r w:rsidRPr="002C1C84">
        <w:rPr>
          <w:rFonts w:ascii="Arial" w:hAnsi="Arial" w:cs="Arial"/>
          <w:highlight w:val="yellow"/>
        </w:rPr>
        <w:t xml:space="preserve">En aquellos pacientes con supresión virológica y que alcanzan una buena reconstitución inmunológica (300-500 linfocitos CD4+/uL durante al menos dos años), </w:t>
      </w:r>
      <w:r>
        <w:rPr>
          <w:rFonts w:ascii="Arial" w:hAnsi="Arial" w:cs="Arial"/>
          <w:highlight w:val="yellow"/>
        </w:rPr>
        <w:t>la cifra</w:t>
      </w:r>
      <w:r w:rsidRPr="002C1C84">
        <w:rPr>
          <w:rFonts w:ascii="Arial" w:hAnsi="Arial" w:cs="Arial"/>
          <w:highlight w:val="yellow"/>
        </w:rPr>
        <w:t xml:space="preserve"> de </w:t>
      </w:r>
      <w:r>
        <w:rPr>
          <w:rFonts w:ascii="Arial" w:hAnsi="Arial" w:cs="Arial"/>
          <w:highlight w:val="yellow"/>
        </w:rPr>
        <w:t xml:space="preserve">linfocitos </w:t>
      </w:r>
      <w:r w:rsidRPr="002C1C84">
        <w:rPr>
          <w:rFonts w:ascii="Arial" w:hAnsi="Arial" w:cs="Arial"/>
          <w:highlight w:val="yellow"/>
        </w:rPr>
        <w:t>CD4+ proporciona poca información, por lo que se recomienda su monitorización de forma anual. En pacientes con más de 500 CD4+/uL</w:t>
      </w:r>
      <w:r>
        <w:rPr>
          <w:rFonts w:ascii="Arial" w:hAnsi="Arial" w:cs="Arial"/>
          <w:highlight w:val="yellow"/>
        </w:rPr>
        <w:t xml:space="preserve"> y c</w:t>
      </w:r>
      <w:r w:rsidR="00A5297B">
        <w:rPr>
          <w:rFonts w:ascii="Arial" w:hAnsi="Arial" w:cs="Arial"/>
          <w:highlight w:val="yellow"/>
        </w:rPr>
        <w:t>ociente CD4/CD8 por encima de 0,</w:t>
      </w:r>
      <w:r>
        <w:rPr>
          <w:rFonts w:ascii="Arial" w:hAnsi="Arial" w:cs="Arial"/>
          <w:highlight w:val="yellow"/>
        </w:rPr>
        <w:t>5</w:t>
      </w:r>
      <w:r w:rsidRPr="002C1C84">
        <w:rPr>
          <w:rFonts w:ascii="Arial" w:hAnsi="Arial" w:cs="Arial"/>
          <w:highlight w:val="yellow"/>
        </w:rPr>
        <w:t xml:space="preserve"> durante al menos dos años se podría considerar opcional el recuento de los mismos</w:t>
      </w:r>
      <w:r w:rsidRPr="00AA6238">
        <w:rPr>
          <w:rFonts w:ascii="Arial" w:eastAsia="MS Mincho" w:hAnsi="Arial" w:cs="Arial"/>
          <w:noProof/>
          <w:color w:val="00000A"/>
          <w:highlight w:val="yellow"/>
          <w:vertAlign w:val="superscript"/>
        </w:rPr>
        <w:t>1,4</w:t>
      </w:r>
    </w:p>
    <w:p w14:paraId="1911492C" w14:textId="77777777" w:rsidR="00851F60" w:rsidRDefault="00851F60" w:rsidP="00851F60">
      <w:pPr>
        <w:jc w:val="both"/>
        <w:rPr>
          <w:rFonts w:ascii="Arial" w:eastAsia="MS Mincho" w:hAnsi="Arial" w:cs="Arial"/>
          <w:color w:val="00000A"/>
        </w:rPr>
      </w:pPr>
    </w:p>
    <w:p w14:paraId="4730EDAF"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Recomendaciones</w:t>
      </w:r>
    </w:p>
    <w:p w14:paraId="3B1B1E1A" w14:textId="0656CA22" w:rsidR="00851F60" w:rsidRPr="003F3B0A" w:rsidRDefault="00851F60" w:rsidP="00851F60">
      <w:pPr>
        <w:numPr>
          <w:ilvl w:val="0"/>
          <w:numId w:val="27"/>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 xml:space="preserve">Se debe determinar </w:t>
      </w:r>
      <w:r w:rsidRPr="00B95A19">
        <w:rPr>
          <w:rFonts w:ascii="Arial" w:eastAsia="MS Mincho" w:hAnsi="Arial" w:cs="Arial"/>
          <w:color w:val="00000A"/>
          <w:highlight w:val="yellow"/>
        </w:rPr>
        <w:t>la cifra absoluta</w:t>
      </w:r>
      <w:r w:rsidRPr="003F3B0A">
        <w:rPr>
          <w:rFonts w:ascii="Arial" w:eastAsia="MS Mincho" w:hAnsi="Arial" w:cs="Arial"/>
          <w:color w:val="00000A"/>
        </w:rPr>
        <w:t xml:space="preserve"> y el porcentaje de linfocitos CD4+ antes de iniciar el TAR y, una vez iniciado, como parámetro de monitorización periódica de la respuesta inmunológica al mismo (</w:t>
      </w:r>
      <w:r w:rsidRPr="003F3B0A">
        <w:rPr>
          <w:rFonts w:ascii="Arial" w:eastAsia="MS Mincho" w:hAnsi="Arial" w:cs="Arial"/>
          <w:b/>
          <w:bCs/>
          <w:i/>
          <w:iCs/>
          <w:color w:val="00000A"/>
        </w:rPr>
        <w:t>A-I</w:t>
      </w:r>
      <w:r w:rsidRPr="003F3B0A">
        <w:rPr>
          <w:rFonts w:ascii="Arial" w:eastAsia="MS Mincho" w:hAnsi="Arial" w:cs="Arial"/>
          <w:color w:val="00000A"/>
        </w:rPr>
        <w:t>)</w:t>
      </w:r>
      <w:r w:rsidR="00A5297B">
        <w:rPr>
          <w:rFonts w:ascii="Arial" w:eastAsia="MS Mincho" w:hAnsi="Arial" w:cs="Arial"/>
          <w:color w:val="00000A"/>
        </w:rPr>
        <w:t>.</w:t>
      </w:r>
    </w:p>
    <w:p w14:paraId="1A5EA8E2"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i/>
          <w:iCs/>
          <w:color w:val="C00000"/>
        </w:rPr>
      </w:pPr>
    </w:p>
    <w:p w14:paraId="3C81ACFC" w14:textId="77777777" w:rsidR="00851F60" w:rsidRPr="00BE6911" w:rsidRDefault="00851F60" w:rsidP="00851F60">
      <w:pPr>
        <w:widowControl w:val="0"/>
        <w:autoSpaceDE w:val="0"/>
        <w:autoSpaceDN w:val="0"/>
        <w:adjustRightInd w:val="0"/>
        <w:spacing w:before="120" w:after="120" w:line="276" w:lineRule="auto"/>
        <w:jc w:val="both"/>
        <w:rPr>
          <w:rFonts w:ascii="Arial" w:eastAsia="MS Mincho" w:hAnsi="Arial" w:cs="Arial"/>
          <w:i/>
          <w:iCs/>
          <w:color w:val="AE1C1F"/>
          <w:highlight w:val="yellow"/>
        </w:rPr>
      </w:pPr>
      <w:r w:rsidRPr="00BE6911">
        <w:rPr>
          <w:rFonts w:ascii="Arial" w:eastAsia="MS Mincho" w:hAnsi="Arial" w:cs="Arial"/>
          <w:i/>
          <w:iCs/>
          <w:color w:val="AE1C1F"/>
          <w:highlight w:val="yellow"/>
        </w:rPr>
        <w:t xml:space="preserve">2.2.2. Linfocitos CD8+ y cociente CD4/CD8 </w:t>
      </w:r>
    </w:p>
    <w:p w14:paraId="55D612F1" w14:textId="77777777" w:rsidR="00851F60" w:rsidRPr="00BE6911" w:rsidRDefault="00851F60" w:rsidP="00851F60">
      <w:pPr>
        <w:widowControl w:val="0"/>
        <w:autoSpaceDE w:val="0"/>
        <w:autoSpaceDN w:val="0"/>
        <w:adjustRightInd w:val="0"/>
        <w:spacing w:before="120" w:after="120" w:line="276" w:lineRule="auto"/>
        <w:jc w:val="both"/>
        <w:rPr>
          <w:rFonts w:ascii="Arial" w:eastAsia="MS Mincho" w:hAnsi="Arial" w:cs="Arial"/>
          <w:color w:val="00000A"/>
          <w:highlight w:val="yellow"/>
        </w:rPr>
      </w:pPr>
      <w:r w:rsidRPr="00BE6911">
        <w:rPr>
          <w:rFonts w:ascii="Arial" w:eastAsia="MS Mincho" w:hAnsi="Arial" w:cs="Arial"/>
          <w:color w:val="00000A"/>
          <w:highlight w:val="yellow"/>
        </w:rPr>
        <w:t>Las elevaciones persistentes de las cifras de linfocitos CD8+ (&gt;1500/uL) o los valores bajos del cociente CD4/CD8 traducen inmunosenescencia</w:t>
      </w:r>
      <w:r>
        <w:rPr>
          <w:rFonts w:ascii="Arial" w:eastAsia="MS Mincho" w:hAnsi="Arial" w:cs="Arial"/>
          <w:color w:val="00000A"/>
          <w:highlight w:val="yellow"/>
          <w:vertAlign w:val="superscript"/>
        </w:rPr>
        <w:t>5</w:t>
      </w:r>
      <w:r w:rsidRPr="00BE6911">
        <w:rPr>
          <w:rFonts w:ascii="Arial" w:eastAsia="MS Mincho" w:hAnsi="Arial" w:cs="Arial"/>
          <w:color w:val="00000A"/>
          <w:highlight w:val="yellow"/>
        </w:rPr>
        <w:t xml:space="preserve"> y se han asociado a morbimortalidad por complicaciones definitorias </w:t>
      </w:r>
      <w:r>
        <w:rPr>
          <w:rFonts w:ascii="Arial" w:eastAsia="MS Mincho" w:hAnsi="Arial" w:cs="Arial"/>
          <w:color w:val="00000A"/>
          <w:highlight w:val="yellow"/>
        </w:rPr>
        <w:t xml:space="preserve">de </w:t>
      </w:r>
      <w:r w:rsidRPr="00BE6911">
        <w:rPr>
          <w:rFonts w:ascii="Arial" w:eastAsia="MS Mincho" w:hAnsi="Arial" w:cs="Arial"/>
          <w:color w:val="00000A"/>
          <w:highlight w:val="yellow"/>
        </w:rPr>
        <w:t xml:space="preserve">SIDA y no </w:t>
      </w:r>
      <w:r>
        <w:rPr>
          <w:rFonts w:ascii="Arial" w:eastAsia="MS Mincho" w:hAnsi="Arial" w:cs="Arial"/>
          <w:color w:val="00000A"/>
          <w:highlight w:val="yellow"/>
        </w:rPr>
        <w:t xml:space="preserve">definitorias de </w:t>
      </w:r>
      <w:r w:rsidRPr="00BE6911">
        <w:rPr>
          <w:rFonts w:ascii="Arial" w:eastAsia="MS Mincho" w:hAnsi="Arial" w:cs="Arial"/>
          <w:color w:val="00000A"/>
          <w:highlight w:val="yellow"/>
        </w:rPr>
        <w:t>SIDA</w:t>
      </w:r>
      <w:r>
        <w:rPr>
          <w:rFonts w:ascii="Arial" w:eastAsia="MS Mincho" w:hAnsi="Arial" w:cs="Arial"/>
          <w:color w:val="00000A"/>
          <w:highlight w:val="yellow"/>
          <w:vertAlign w:val="superscript"/>
        </w:rPr>
        <w:t>6,7</w:t>
      </w:r>
      <w:r>
        <w:rPr>
          <w:rFonts w:ascii="Arial" w:eastAsia="MS Mincho" w:hAnsi="Arial" w:cs="Arial"/>
          <w:color w:val="00000A"/>
          <w:highlight w:val="yellow"/>
        </w:rPr>
        <w:t xml:space="preserve"> </w:t>
      </w:r>
      <w:r w:rsidRPr="00BE6911">
        <w:rPr>
          <w:rFonts w:ascii="Arial" w:eastAsia="MS Mincho" w:hAnsi="Arial" w:cs="Arial"/>
          <w:color w:val="00000A"/>
          <w:highlight w:val="yellow"/>
        </w:rPr>
        <w:t>independientemente de la cifra de linfocitos CD4</w:t>
      </w:r>
      <w:r>
        <w:rPr>
          <w:rFonts w:ascii="Arial" w:eastAsia="MS Mincho" w:hAnsi="Arial" w:cs="Arial"/>
          <w:color w:val="00000A"/>
          <w:highlight w:val="yellow"/>
        </w:rPr>
        <w:t>+</w:t>
      </w:r>
      <w:r w:rsidRPr="00BE6911">
        <w:rPr>
          <w:rFonts w:ascii="Arial" w:eastAsia="MS Mincho" w:hAnsi="Arial" w:cs="Arial"/>
          <w:color w:val="00000A"/>
          <w:highlight w:val="yellow"/>
        </w:rPr>
        <w:t xml:space="preserve">. Por tanto, su monitorización puede ser de utilidad para identificar a los sujetos que se beneficiarían de un seguimiento más estrecho. </w:t>
      </w:r>
    </w:p>
    <w:p w14:paraId="10A187C3" w14:textId="77777777" w:rsidR="00851F60" w:rsidRPr="00BE6911" w:rsidRDefault="00851F60" w:rsidP="00851F60">
      <w:pPr>
        <w:widowControl w:val="0"/>
        <w:autoSpaceDE w:val="0"/>
        <w:autoSpaceDN w:val="0"/>
        <w:adjustRightInd w:val="0"/>
        <w:spacing w:before="120" w:after="120" w:line="276" w:lineRule="auto"/>
        <w:jc w:val="both"/>
        <w:rPr>
          <w:rFonts w:ascii="Arial" w:eastAsia="MS Mincho" w:hAnsi="Arial" w:cs="Arial"/>
          <w:color w:val="AE1C1F"/>
          <w:highlight w:val="yellow"/>
        </w:rPr>
      </w:pPr>
    </w:p>
    <w:p w14:paraId="1FE20002" w14:textId="77777777" w:rsidR="00851F60" w:rsidRPr="00BE6911" w:rsidRDefault="00851F60" w:rsidP="00851F60">
      <w:pPr>
        <w:widowControl w:val="0"/>
        <w:autoSpaceDE w:val="0"/>
        <w:autoSpaceDN w:val="0"/>
        <w:adjustRightInd w:val="0"/>
        <w:spacing w:before="120" w:after="120" w:line="276" w:lineRule="auto"/>
        <w:jc w:val="both"/>
        <w:rPr>
          <w:rFonts w:ascii="Arial" w:eastAsia="MS Mincho" w:hAnsi="Arial" w:cs="Arial"/>
          <w:b/>
          <w:bCs/>
          <w:color w:val="AE1C1F"/>
          <w:highlight w:val="yellow"/>
        </w:rPr>
      </w:pPr>
      <w:r w:rsidRPr="00BE6911">
        <w:rPr>
          <w:rFonts w:ascii="Arial" w:eastAsia="MS Mincho" w:hAnsi="Arial" w:cs="Arial"/>
          <w:b/>
          <w:bCs/>
          <w:color w:val="AE1C1F"/>
          <w:highlight w:val="yellow"/>
        </w:rPr>
        <w:t>Recomendación</w:t>
      </w:r>
    </w:p>
    <w:p w14:paraId="3C272119" w14:textId="4A954009" w:rsidR="00851F60" w:rsidRPr="00BE6911" w:rsidRDefault="00851F60" w:rsidP="00851F60">
      <w:pPr>
        <w:numPr>
          <w:ilvl w:val="0"/>
          <w:numId w:val="27"/>
        </w:numPr>
        <w:suppressAutoHyphens/>
        <w:spacing w:before="120" w:after="120" w:line="276" w:lineRule="auto"/>
        <w:jc w:val="both"/>
        <w:textAlignment w:val="baseline"/>
        <w:rPr>
          <w:rFonts w:ascii="Arial" w:eastAsia="MS Mincho" w:hAnsi="Arial" w:cs="Arial"/>
          <w:color w:val="00000A"/>
          <w:highlight w:val="yellow"/>
        </w:rPr>
      </w:pPr>
      <w:r w:rsidRPr="00BE6911">
        <w:rPr>
          <w:rFonts w:ascii="Arial" w:eastAsia="MS Mincho" w:hAnsi="Arial" w:cs="Arial"/>
          <w:color w:val="00000A"/>
          <w:highlight w:val="yellow"/>
        </w:rPr>
        <w:lastRenderedPageBreak/>
        <w:t xml:space="preserve">Se recomienda </w:t>
      </w:r>
      <w:r>
        <w:rPr>
          <w:rFonts w:ascii="Arial" w:eastAsia="MS Mincho" w:hAnsi="Arial" w:cs="Arial"/>
          <w:color w:val="00000A"/>
          <w:highlight w:val="yellow"/>
        </w:rPr>
        <w:t>determinar</w:t>
      </w:r>
      <w:r w:rsidRPr="00BE6911">
        <w:rPr>
          <w:rFonts w:ascii="Arial" w:eastAsia="MS Mincho" w:hAnsi="Arial" w:cs="Arial"/>
          <w:color w:val="00000A"/>
          <w:highlight w:val="yellow"/>
        </w:rPr>
        <w:t xml:space="preserve"> </w:t>
      </w:r>
      <w:r>
        <w:rPr>
          <w:rFonts w:ascii="Arial" w:eastAsia="MS Mincho" w:hAnsi="Arial" w:cs="Arial"/>
          <w:color w:val="00000A"/>
          <w:highlight w:val="yellow"/>
        </w:rPr>
        <w:t>la cifra de linfocitos</w:t>
      </w:r>
      <w:r w:rsidRPr="00BE6911">
        <w:rPr>
          <w:rFonts w:ascii="Arial" w:eastAsia="MS Mincho" w:hAnsi="Arial" w:cs="Arial"/>
          <w:color w:val="00000A"/>
          <w:highlight w:val="yellow"/>
        </w:rPr>
        <w:t xml:space="preserve"> CD8</w:t>
      </w:r>
      <w:r>
        <w:rPr>
          <w:rFonts w:ascii="Arial" w:eastAsia="MS Mincho" w:hAnsi="Arial" w:cs="Arial"/>
          <w:color w:val="00000A"/>
          <w:highlight w:val="yellow"/>
        </w:rPr>
        <w:t>+</w:t>
      </w:r>
      <w:r w:rsidRPr="00BE6911">
        <w:rPr>
          <w:rFonts w:ascii="Arial" w:eastAsia="MS Mincho" w:hAnsi="Arial" w:cs="Arial"/>
          <w:color w:val="00000A"/>
          <w:highlight w:val="yellow"/>
        </w:rPr>
        <w:t xml:space="preserve"> o </w:t>
      </w:r>
      <w:r>
        <w:rPr>
          <w:rFonts w:ascii="Arial" w:eastAsia="MS Mincho" w:hAnsi="Arial" w:cs="Arial"/>
          <w:color w:val="00000A"/>
          <w:highlight w:val="yellow"/>
        </w:rPr>
        <w:t xml:space="preserve">el </w:t>
      </w:r>
      <w:r w:rsidRPr="00BE6911">
        <w:rPr>
          <w:rFonts w:ascii="Arial" w:eastAsia="MS Mincho" w:hAnsi="Arial" w:cs="Arial"/>
          <w:color w:val="00000A"/>
          <w:highlight w:val="yellow"/>
        </w:rPr>
        <w:t>cociente CD4/CD8</w:t>
      </w:r>
      <w:r>
        <w:rPr>
          <w:rFonts w:ascii="Arial" w:eastAsia="MS Mincho" w:hAnsi="Arial" w:cs="Arial"/>
          <w:color w:val="00000A"/>
          <w:highlight w:val="yellow"/>
        </w:rPr>
        <w:t xml:space="preserve"> cuando se determine la cifra de linfocitos CD4+ en sangre</w:t>
      </w:r>
      <w:r w:rsidRPr="00BE6911">
        <w:rPr>
          <w:rFonts w:ascii="Arial" w:eastAsia="MS Mincho" w:hAnsi="Arial" w:cs="Arial"/>
          <w:color w:val="00000A"/>
          <w:highlight w:val="yellow"/>
        </w:rPr>
        <w:t xml:space="preserve"> (</w:t>
      </w:r>
      <w:r w:rsidRPr="00BE6911">
        <w:rPr>
          <w:rFonts w:ascii="Arial" w:eastAsia="MS Mincho" w:hAnsi="Arial" w:cs="Arial"/>
          <w:b/>
          <w:bCs/>
          <w:i/>
          <w:iCs/>
          <w:color w:val="00000A"/>
          <w:highlight w:val="yellow"/>
        </w:rPr>
        <w:t>B-II</w:t>
      </w:r>
      <w:r w:rsidRPr="00BE6911">
        <w:rPr>
          <w:rFonts w:ascii="Arial" w:eastAsia="MS Mincho" w:hAnsi="Arial" w:cs="Arial"/>
          <w:color w:val="00000A"/>
          <w:highlight w:val="yellow"/>
        </w:rPr>
        <w:t>)</w:t>
      </w:r>
      <w:r w:rsidR="00A5297B">
        <w:rPr>
          <w:rFonts w:ascii="Arial" w:eastAsia="MS Mincho" w:hAnsi="Arial" w:cs="Arial"/>
          <w:color w:val="00000A"/>
          <w:highlight w:val="yellow"/>
        </w:rPr>
        <w:t>.</w:t>
      </w:r>
    </w:p>
    <w:p w14:paraId="442D83CA" w14:textId="77777777" w:rsidR="00851F60" w:rsidRDefault="00851F60" w:rsidP="00851F60">
      <w:pPr>
        <w:widowControl w:val="0"/>
        <w:autoSpaceDE w:val="0"/>
        <w:autoSpaceDN w:val="0"/>
        <w:adjustRightInd w:val="0"/>
        <w:spacing w:before="120" w:after="120" w:line="276" w:lineRule="auto"/>
        <w:jc w:val="both"/>
        <w:rPr>
          <w:rFonts w:ascii="Arial" w:eastAsia="MS Mincho" w:hAnsi="Arial" w:cs="Arial"/>
          <w:i/>
          <w:iCs/>
          <w:color w:val="AE1C1F"/>
        </w:rPr>
      </w:pPr>
    </w:p>
    <w:p w14:paraId="2125AFB5" w14:textId="77777777" w:rsidR="00851F60" w:rsidRDefault="00851F60" w:rsidP="00851F60">
      <w:pPr>
        <w:widowControl w:val="0"/>
        <w:autoSpaceDE w:val="0"/>
        <w:autoSpaceDN w:val="0"/>
        <w:adjustRightInd w:val="0"/>
        <w:spacing w:before="120" w:after="120" w:line="276" w:lineRule="auto"/>
        <w:jc w:val="both"/>
        <w:rPr>
          <w:rFonts w:ascii="Arial" w:eastAsia="MS Mincho" w:hAnsi="Arial" w:cs="Arial"/>
          <w:i/>
          <w:iCs/>
          <w:color w:val="AE1C1F"/>
        </w:rPr>
      </w:pPr>
    </w:p>
    <w:p w14:paraId="3DD265A1"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i/>
          <w:iCs/>
          <w:color w:val="AE1C1F"/>
        </w:rPr>
        <w:t>2.2.</w:t>
      </w:r>
      <w:r w:rsidRPr="00BE6911">
        <w:rPr>
          <w:rFonts w:ascii="Arial" w:eastAsia="MS Mincho" w:hAnsi="Arial" w:cs="Arial"/>
          <w:i/>
          <w:iCs/>
          <w:color w:val="AE1C1F"/>
          <w:highlight w:val="yellow"/>
        </w:rPr>
        <w:t>3</w:t>
      </w:r>
      <w:r w:rsidRPr="003F3B0A">
        <w:rPr>
          <w:rFonts w:ascii="Arial" w:eastAsia="MS Mincho" w:hAnsi="Arial" w:cs="Arial"/>
          <w:i/>
          <w:iCs/>
          <w:color w:val="AE1C1F"/>
        </w:rPr>
        <w:t>. Carga viral plasmática del VIH-1</w:t>
      </w:r>
    </w:p>
    <w:p w14:paraId="4B91B824"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00000A"/>
        </w:rPr>
      </w:pPr>
      <w:r w:rsidRPr="003F3B0A">
        <w:rPr>
          <w:rFonts w:ascii="Arial" w:eastAsia="MS Mincho" w:hAnsi="Arial" w:cs="Arial"/>
        </w:rPr>
        <w:t xml:space="preserve">La CVP se debe determinar </w:t>
      </w:r>
      <w:r w:rsidRPr="003F3B0A">
        <w:rPr>
          <w:rFonts w:ascii="Arial" w:eastAsia="MS Mincho" w:hAnsi="Arial" w:cs="Arial"/>
          <w:color w:val="00000A"/>
          <w:shd w:val="clear" w:color="auto" w:fill="FFFFFF"/>
        </w:rPr>
        <w:t>en la valoración inicial del paciente y antes de iniciarse el TAR</w:t>
      </w:r>
      <w:r w:rsidRPr="003F3B0A">
        <w:rPr>
          <w:rFonts w:ascii="Arial" w:eastAsia="MS Mincho" w:hAnsi="Arial" w:cs="Arial"/>
          <w:color w:val="00000A"/>
        </w:rPr>
        <w:t xml:space="preserve"> y e</w:t>
      </w:r>
      <w:r w:rsidRPr="003F3B0A">
        <w:rPr>
          <w:rFonts w:ascii="Arial" w:eastAsia="MS Mincho" w:hAnsi="Arial" w:cs="Arial"/>
        </w:rPr>
        <w:t xml:space="preserve">s el parámetro fundamental para monitorizar su respuesta. </w:t>
      </w:r>
      <w:r w:rsidRPr="003F3B0A">
        <w:rPr>
          <w:rFonts w:ascii="Arial" w:eastAsia="MS Mincho" w:hAnsi="Arial" w:cs="Arial"/>
          <w:color w:val="00000A"/>
        </w:rPr>
        <w:t xml:space="preserve">El objetivo del TAR es conseguir </w:t>
      </w:r>
      <w:r w:rsidRPr="003F3B0A">
        <w:rPr>
          <w:rFonts w:ascii="Arial" w:eastAsia="MS Mincho" w:hAnsi="Arial" w:cs="Arial"/>
          <w:color w:val="00000A"/>
          <w:shd w:val="clear" w:color="auto" w:fill="FFFFFF"/>
        </w:rPr>
        <w:t>de forma permanente</w:t>
      </w:r>
      <w:r w:rsidRPr="003F3B0A">
        <w:rPr>
          <w:rFonts w:ascii="Arial" w:eastAsia="MS Mincho" w:hAnsi="Arial" w:cs="Arial"/>
          <w:color w:val="00000A"/>
        </w:rPr>
        <w:t xml:space="preserve"> la supresión viral por debajo de 50 copias/mL, </w:t>
      </w:r>
      <w:r w:rsidRPr="003F3B0A">
        <w:rPr>
          <w:rFonts w:ascii="Arial" w:eastAsia="MS Mincho" w:hAnsi="Arial" w:cs="Arial"/>
          <w:color w:val="00000A"/>
          <w:shd w:val="clear" w:color="auto" w:fill="FFFFFF"/>
        </w:rPr>
        <w:t xml:space="preserve">lo que evita la transmisión del VIH (indetectable = intransmisible), se asocia a la máxima recuperación inmunológica y previene la aparición de </w:t>
      </w:r>
      <w:r w:rsidRPr="003F3B0A">
        <w:rPr>
          <w:rFonts w:ascii="Arial" w:eastAsia="MS Mincho" w:hAnsi="Arial" w:cs="Arial"/>
          <w:color w:val="00000A"/>
        </w:rPr>
        <w:t>mutaciones de resistencia</w:t>
      </w:r>
      <w:r>
        <w:rPr>
          <w:rFonts w:ascii="Arial" w:eastAsia="MS Mincho" w:hAnsi="Arial" w:cs="Arial"/>
          <w:noProof/>
          <w:color w:val="00000A"/>
          <w:vertAlign w:val="superscript"/>
        </w:rPr>
        <w:t>1</w:t>
      </w:r>
      <w:r w:rsidRPr="003F3B0A">
        <w:rPr>
          <w:rFonts w:ascii="Arial" w:eastAsia="MS Mincho" w:hAnsi="Arial" w:cs="Arial"/>
          <w:color w:val="00000A"/>
        </w:rPr>
        <w:t>.</w:t>
      </w:r>
    </w:p>
    <w:p w14:paraId="30521113"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00000A"/>
        </w:rPr>
      </w:pPr>
      <w:r w:rsidRPr="003F3B0A">
        <w:rPr>
          <w:rFonts w:ascii="Arial" w:eastAsia="MS Mincho" w:hAnsi="Arial" w:cs="Arial"/>
          <w:color w:val="00000A"/>
        </w:rPr>
        <w:t>Es conveniente medir la CVP a las cuatro semanas del inicio del TAR y, posteriormente, cada 3-6 meses, para comprobar la respuesta virológica y como medida indirecta de adherencia al TAR y refuerzo de la misma</w:t>
      </w:r>
      <w:r w:rsidRPr="008B02D6">
        <w:rPr>
          <w:rFonts w:ascii="Arial" w:eastAsia="MS Mincho" w:hAnsi="Arial" w:cs="Arial"/>
          <w:noProof/>
          <w:color w:val="00000A"/>
          <w:highlight w:val="yellow"/>
          <w:vertAlign w:val="superscript"/>
        </w:rPr>
        <w:t>8</w:t>
      </w:r>
      <w:r w:rsidRPr="003F3B0A">
        <w:rPr>
          <w:rFonts w:ascii="Arial" w:eastAsia="MS Mincho" w:hAnsi="Arial" w:cs="Arial"/>
          <w:color w:val="00000A"/>
        </w:rPr>
        <w:t>. En pacientes clínicamente estables con CVP repetidamente suprimida y cifras de linfocitos CD4+ &gt;300 células/μL este intervalo de tiempo puede alargarse incluso hasta 12 mese</w:t>
      </w:r>
      <w:r w:rsidRPr="002C1C84">
        <w:rPr>
          <w:rFonts w:ascii="Arial" w:eastAsia="MS Mincho" w:hAnsi="Arial" w:cs="Arial"/>
          <w:color w:val="00000A"/>
          <w:highlight w:val="yellow"/>
        </w:rPr>
        <w:t>s</w:t>
      </w:r>
      <w:r>
        <w:rPr>
          <w:rFonts w:ascii="Arial" w:eastAsia="MS Mincho" w:hAnsi="Arial" w:cs="Arial"/>
          <w:color w:val="00000A"/>
          <w:vertAlign w:val="superscript"/>
        </w:rPr>
        <w:t>3</w:t>
      </w:r>
      <w:r w:rsidRPr="003F3B0A">
        <w:rPr>
          <w:rFonts w:ascii="Arial" w:eastAsia="MS Mincho" w:hAnsi="Arial" w:cs="Arial"/>
          <w:color w:val="00000A"/>
        </w:rPr>
        <w:t>. En pacientes con CVP indetectable a los que se modifique el TAR es aconsejable determinar la CVP a las 4-8 semanas del cambio para comprobar que se mantiene la supresión virológica.</w:t>
      </w:r>
    </w:p>
    <w:p w14:paraId="5765D121"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Recomendaciones</w:t>
      </w:r>
    </w:p>
    <w:p w14:paraId="7814C6E9" w14:textId="77777777" w:rsidR="00851F60" w:rsidRPr="00B95A19" w:rsidRDefault="00851F60" w:rsidP="00A5297B">
      <w:pPr>
        <w:pStyle w:val="Prrafodelista"/>
        <w:numPr>
          <w:ilvl w:val="0"/>
          <w:numId w:val="28"/>
        </w:numPr>
        <w:contextualSpacing w:val="0"/>
        <w:jc w:val="both"/>
      </w:pPr>
      <w:r w:rsidRPr="00B95A19">
        <w:rPr>
          <w:rFonts w:ascii="Arial" w:hAnsi="Arial" w:cs="Arial"/>
          <w:color w:val="00000A"/>
        </w:rPr>
        <w:t xml:space="preserve">Se debe determinar la CVP antes del inicio del TAR y periódicamente durante el tratamiento </w:t>
      </w:r>
      <w:r w:rsidRPr="00B95A19">
        <w:rPr>
          <w:rFonts w:ascii="Arial" w:hAnsi="Arial" w:cs="Arial"/>
          <w:color w:val="00000A"/>
          <w:highlight w:val="yellow"/>
        </w:rPr>
        <w:t>con una técnica con un límite de detección de CVP de al menos 50 copias/mL</w:t>
      </w:r>
      <w:r w:rsidRPr="00B95A19">
        <w:rPr>
          <w:rFonts w:ascii="Arial" w:hAnsi="Arial" w:cs="Arial"/>
          <w:color w:val="00000A"/>
        </w:rPr>
        <w:t xml:space="preserve"> para confirmar y monitorizar la supresión virológica </w:t>
      </w:r>
      <w:r w:rsidRPr="00B95A19">
        <w:rPr>
          <w:rFonts w:ascii="Arial" w:hAnsi="Arial" w:cs="Arial"/>
          <w:b/>
          <w:bCs/>
          <w:i/>
          <w:iCs/>
          <w:color w:val="00000A"/>
        </w:rPr>
        <w:t>(A-II)</w:t>
      </w:r>
      <w:r>
        <w:rPr>
          <w:rFonts w:ascii="Arial" w:hAnsi="Arial" w:cs="Arial"/>
          <w:b/>
          <w:bCs/>
          <w:i/>
          <w:iCs/>
          <w:color w:val="00000A"/>
        </w:rPr>
        <w:t>.</w:t>
      </w:r>
    </w:p>
    <w:p w14:paraId="501FD660" w14:textId="77777777" w:rsidR="00851F60" w:rsidRPr="00B95A19" w:rsidRDefault="00851F60" w:rsidP="00851F60">
      <w:pPr>
        <w:pStyle w:val="Prrafodelista"/>
        <w:numPr>
          <w:ilvl w:val="0"/>
          <w:numId w:val="28"/>
        </w:numPr>
        <w:contextualSpacing w:val="0"/>
        <w:rPr>
          <w:rFonts w:ascii="Arial" w:eastAsia="MS Mincho" w:hAnsi="Arial" w:cs="Arial"/>
          <w:i/>
          <w:iCs/>
          <w:color w:val="0000CC"/>
        </w:rPr>
      </w:pPr>
    </w:p>
    <w:p w14:paraId="706FF2EB"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strike/>
          <w:color w:val="AE1C1F"/>
          <w:shd w:val="clear" w:color="auto" w:fill="FFFF00"/>
        </w:rPr>
      </w:pPr>
      <w:r w:rsidRPr="003F3B0A">
        <w:rPr>
          <w:rFonts w:ascii="Arial" w:eastAsia="MS Mincho" w:hAnsi="Arial" w:cs="Arial"/>
          <w:i/>
          <w:iCs/>
          <w:color w:val="AE1C1F"/>
        </w:rPr>
        <w:t>2.2.</w:t>
      </w:r>
      <w:r w:rsidRPr="00BE6911">
        <w:rPr>
          <w:rFonts w:ascii="Arial" w:eastAsia="MS Mincho" w:hAnsi="Arial" w:cs="Arial"/>
          <w:i/>
          <w:iCs/>
          <w:color w:val="AE1C1F"/>
          <w:highlight w:val="yellow"/>
        </w:rPr>
        <w:t>4</w:t>
      </w:r>
      <w:r w:rsidRPr="003F3B0A">
        <w:rPr>
          <w:rFonts w:ascii="Arial" w:eastAsia="MS Mincho" w:hAnsi="Arial" w:cs="Arial"/>
          <w:i/>
          <w:iCs/>
          <w:color w:val="AE1C1F"/>
        </w:rPr>
        <w:t>. Resistencia genotípica del VIH-1 frente a fármacos antirretrovirales</w:t>
      </w:r>
    </w:p>
    <w:p w14:paraId="11C71D9B" w14:textId="77777777" w:rsidR="00851F60" w:rsidRPr="003F3B0A" w:rsidRDefault="00851F60" w:rsidP="00851F60">
      <w:pPr>
        <w:spacing w:line="276" w:lineRule="auto"/>
        <w:jc w:val="both"/>
        <w:rPr>
          <w:lang w:eastAsia="es-ES"/>
        </w:rPr>
      </w:pPr>
      <w:r>
        <w:rPr>
          <w:rFonts w:ascii="Arial" w:eastAsia="MS Mincho" w:hAnsi="Arial" w:cs="Arial"/>
          <w:color w:val="00000A"/>
          <w:highlight w:val="yellow"/>
        </w:rPr>
        <w:t>L</w:t>
      </w:r>
      <w:r w:rsidRPr="002C1C84">
        <w:rPr>
          <w:rFonts w:ascii="Arial" w:eastAsia="MS Mincho" w:hAnsi="Arial" w:cs="Arial"/>
          <w:color w:val="00000A"/>
          <w:highlight w:val="yellow"/>
        </w:rPr>
        <w:t xml:space="preserve">a prevalencia </w:t>
      </w:r>
      <w:r>
        <w:rPr>
          <w:rFonts w:ascii="Arial" w:eastAsia="MS Mincho" w:hAnsi="Arial" w:cs="Arial"/>
          <w:color w:val="00000A"/>
          <w:highlight w:val="yellow"/>
        </w:rPr>
        <w:t>estimada</w:t>
      </w:r>
      <w:r w:rsidRPr="002C1C84">
        <w:rPr>
          <w:rFonts w:ascii="Arial" w:eastAsia="MS Mincho" w:hAnsi="Arial" w:cs="Arial"/>
          <w:color w:val="00000A"/>
          <w:highlight w:val="yellow"/>
        </w:rPr>
        <w:t xml:space="preserve"> en España de resistencias primarias en los genes de la transcriptasa inversa y la proteasa es del 7,9%</w:t>
      </w:r>
      <w:r w:rsidRPr="008B02D6">
        <w:rPr>
          <w:rFonts w:ascii="Arial" w:eastAsia="MS Mincho" w:hAnsi="Arial" w:cs="Arial"/>
          <w:color w:val="00000A"/>
          <w:highlight w:val="yellow"/>
          <w:vertAlign w:val="superscript"/>
        </w:rPr>
        <w:t>9,</w:t>
      </w:r>
      <w:r w:rsidRPr="008B02D6">
        <w:rPr>
          <w:rFonts w:ascii="Arial" w:eastAsia="MS Mincho" w:hAnsi="Arial" w:cs="Arial"/>
          <w:noProof/>
          <w:color w:val="00000A"/>
          <w:highlight w:val="yellow"/>
          <w:vertAlign w:val="superscript"/>
        </w:rPr>
        <w:t>10</w:t>
      </w:r>
      <w:r w:rsidRPr="003F3B0A">
        <w:rPr>
          <w:rFonts w:ascii="Arial" w:eastAsia="MS Mincho" w:hAnsi="Arial" w:cs="Arial"/>
          <w:color w:val="00000A"/>
        </w:rPr>
        <w:t xml:space="preserve">. No obstante, la prevalencia de </w:t>
      </w:r>
      <w:r>
        <w:rPr>
          <w:rFonts w:ascii="Arial" w:eastAsia="MS Mincho" w:hAnsi="Arial" w:cs="Arial"/>
          <w:color w:val="00000A"/>
        </w:rPr>
        <w:t>mutaciones de resistencia (</w:t>
      </w:r>
      <w:r w:rsidRPr="003F3B0A">
        <w:rPr>
          <w:rFonts w:ascii="Arial" w:eastAsia="MS Mincho" w:hAnsi="Arial" w:cs="Arial"/>
          <w:color w:val="00000A"/>
        </w:rPr>
        <w:t>MR</w:t>
      </w:r>
      <w:r>
        <w:rPr>
          <w:rFonts w:ascii="Arial" w:eastAsia="MS Mincho" w:hAnsi="Arial" w:cs="Arial"/>
          <w:color w:val="00000A"/>
        </w:rPr>
        <w:t>)</w:t>
      </w:r>
      <w:r w:rsidRPr="003F3B0A">
        <w:rPr>
          <w:rFonts w:ascii="Arial" w:eastAsia="MS Mincho" w:hAnsi="Arial" w:cs="Arial"/>
          <w:color w:val="00000A"/>
        </w:rPr>
        <w:t xml:space="preserve"> que afectan a los ITIAN e IP recomendados para el TAR de inicio es excepcional</w:t>
      </w:r>
      <w:r w:rsidRPr="00B70E83">
        <w:rPr>
          <w:rFonts w:ascii="Arial" w:eastAsia="MS Mincho" w:hAnsi="Arial" w:cs="Arial"/>
          <w:color w:val="00000A"/>
          <w:highlight w:val="yellow"/>
        </w:rPr>
        <w:t>, siendo mayor para los ITINN</w:t>
      </w:r>
      <w:r>
        <w:rPr>
          <w:rFonts w:ascii="Arial" w:eastAsia="MS Mincho" w:hAnsi="Arial" w:cs="Arial"/>
          <w:color w:val="00000A"/>
          <w:highlight w:val="yellow"/>
          <w:vertAlign w:val="superscript"/>
        </w:rPr>
        <w:t>9</w:t>
      </w:r>
      <w:r w:rsidRPr="003F3B0A">
        <w:rPr>
          <w:rFonts w:ascii="Arial" w:eastAsia="MS Mincho" w:hAnsi="Arial" w:cs="Arial"/>
          <w:color w:val="00000A"/>
        </w:rPr>
        <w:t>. La transmisión de resistencias en el gen de la integrasa en la actualidad es inferior al 0,5%</w:t>
      </w:r>
      <w:r>
        <w:rPr>
          <w:rFonts w:ascii="Arial" w:eastAsia="MS Mincho" w:hAnsi="Arial" w:cs="Arial"/>
          <w:color w:val="00000A"/>
          <w:highlight w:val="yellow"/>
          <w:vertAlign w:val="superscript"/>
        </w:rPr>
        <w:t>9</w:t>
      </w:r>
      <w:r w:rsidRPr="003F3B0A">
        <w:rPr>
          <w:rFonts w:ascii="Arial" w:eastAsia="MS Mincho" w:hAnsi="Arial" w:cs="Arial"/>
          <w:color w:val="00000A"/>
        </w:rPr>
        <w:t xml:space="preserve"> por lo que el panel de expertos de GeSIDA sobre la utilidad clínica de las resistencias a antirretrovirales solo considera justificada la determinación basal de resistencia en los genes de la transcriptasa inversa y la proteasa y no en el de la integrasa, salvo evidencia de transmisión a partir de un paciente tratado con INI</w:t>
      </w:r>
      <w:r w:rsidRPr="00C728F2">
        <w:rPr>
          <w:rFonts w:ascii="Arial" w:eastAsia="MS Mincho" w:hAnsi="Arial" w:cs="Arial"/>
          <w:noProof/>
          <w:color w:val="00000A"/>
          <w:highlight w:val="yellow"/>
          <w:vertAlign w:val="superscript"/>
        </w:rPr>
        <w:t>10</w:t>
      </w:r>
      <w:r w:rsidRPr="003F3B0A">
        <w:rPr>
          <w:rFonts w:ascii="Arial" w:eastAsia="MS Mincho" w:hAnsi="Arial" w:cs="Arial"/>
          <w:noProof/>
          <w:color w:val="00000A"/>
        </w:rPr>
        <w:t xml:space="preserve">. </w:t>
      </w:r>
      <w:r w:rsidRPr="003F3B0A">
        <w:rPr>
          <w:rFonts w:ascii="Arial" w:hAnsi="Arial" w:cs="Arial"/>
          <w:color w:val="000000"/>
          <w:sz w:val="20"/>
          <w:szCs w:val="20"/>
          <w:lang w:eastAsia="es-ES"/>
        </w:rPr>
        <w:t> </w:t>
      </w:r>
      <w:r w:rsidRPr="002C1C84">
        <w:rPr>
          <w:rFonts w:ascii="Arial" w:eastAsia="MS Mincho" w:hAnsi="Arial" w:cs="Arial"/>
          <w:color w:val="00000A"/>
          <w:highlight w:val="yellow"/>
        </w:rPr>
        <w:t xml:space="preserve">Por </w:t>
      </w:r>
      <w:r>
        <w:rPr>
          <w:rFonts w:ascii="Arial" w:eastAsia="MS Mincho" w:hAnsi="Arial" w:cs="Arial"/>
          <w:color w:val="00000A"/>
          <w:highlight w:val="yellow"/>
        </w:rPr>
        <w:t>tanto</w:t>
      </w:r>
      <w:r w:rsidRPr="002C1C84">
        <w:rPr>
          <w:rFonts w:ascii="Arial" w:eastAsia="MS Mincho" w:hAnsi="Arial" w:cs="Arial"/>
          <w:color w:val="00000A"/>
          <w:highlight w:val="yellow"/>
        </w:rPr>
        <w:t xml:space="preserve">, no es necesario esperar al estudio de resistencias para iniciar TAR en los pacientes </w:t>
      </w:r>
      <w:r w:rsidRPr="00CB7103">
        <w:rPr>
          <w:rFonts w:ascii="Arial" w:eastAsia="MS Mincho" w:hAnsi="Arial" w:cs="Arial"/>
          <w:color w:val="00000A"/>
          <w:highlight w:val="yellow"/>
        </w:rPr>
        <w:t xml:space="preserve">naive, salvo </w:t>
      </w:r>
      <w:r w:rsidRPr="00B70E83">
        <w:rPr>
          <w:rFonts w:ascii="Arial" w:eastAsia="MS Mincho" w:hAnsi="Arial" w:cs="Arial"/>
          <w:color w:val="00000A"/>
          <w:highlight w:val="yellow"/>
        </w:rPr>
        <w:t>si se comienza con ITINN.</w:t>
      </w:r>
      <w:r>
        <w:rPr>
          <w:rFonts w:ascii="Arial" w:eastAsia="MS Mincho" w:hAnsi="Arial" w:cs="Arial"/>
          <w:color w:val="00000A"/>
        </w:rPr>
        <w:t xml:space="preserve"> </w:t>
      </w:r>
      <w:r w:rsidRPr="003F3B0A">
        <w:rPr>
          <w:rFonts w:ascii="Arial" w:hAnsi="Arial" w:cs="Arial"/>
          <w:color w:val="000000"/>
          <w:lang w:eastAsia="es-ES"/>
        </w:rPr>
        <w:t xml:space="preserve">En los pacientes </w:t>
      </w:r>
      <w:r w:rsidRPr="003F3B0A">
        <w:rPr>
          <w:rFonts w:ascii="Arial" w:hAnsi="Arial" w:cs="Arial"/>
          <w:i/>
          <w:color w:val="000000"/>
          <w:lang w:eastAsia="es-ES"/>
        </w:rPr>
        <w:t xml:space="preserve">naive </w:t>
      </w:r>
      <w:r w:rsidRPr="003F3B0A">
        <w:rPr>
          <w:rFonts w:ascii="Arial" w:hAnsi="Arial" w:cs="Arial"/>
          <w:color w:val="000000"/>
          <w:lang w:eastAsia="es-ES"/>
        </w:rPr>
        <w:t>que van a iniciar biterapia con DTG+3TC,</w:t>
      </w:r>
      <w:r w:rsidRPr="003F3B0A">
        <w:rPr>
          <w:rFonts w:ascii="Arial" w:hAnsi="Arial" w:cs="Arial"/>
          <w:color w:val="000000"/>
          <w:sz w:val="20"/>
          <w:szCs w:val="20"/>
          <w:lang w:eastAsia="es-ES"/>
        </w:rPr>
        <w:t xml:space="preserve"> </w:t>
      </w:r>
      <w:r w:rsidRPr="003F3B0A">
        <w:rPr>
          <w:rFonts w:ascii="Arial" w:hAnsi="Arial" w:cs="Arial"/>
          <w:color w:val="000000"/>
          <w:lang w:eastAsia="es-ES"/>
        </w:rPr>
        <w:t xml:space="preserve">aunque la prevalencia de resistencia basal a 3TC/FTC (M184IV) es muy baja, es </w:t>
      </w:r>
      <w:r w:rsidRPr="002C1C84">
        <w:rPr>
          <w:rFonts w:ascii="Arial" w:hAnsi="Arial" w:cs="Arial"/>
          <w:color w:val="000000"/>
          <w:highlight w:val="yellow"/>
          <w:lang w:eastAsia="es-ES"/>
        </w:rPr>
        <w:t>importante</w:t>
      </w:r>
      <w:r w:rsidRPr="003F3B0A">
        <w:rPr>
          <w:rFonts w:ascii="Arial" w:hAnsi="Arial" w:cs="Arial"/>
          <w:color w:val="000000"/>
          <w:lang w:eastAsia="es-ES"/>
        </w:rPr>
        <w:t xml:space="preserve"> descartarla </w:t>
      </w:r>
      <w:r w:rsidRPr="002C1C84">
        <w:rPr>
          <w:rFonts w:ascii="Arial" w:hAnsi="Arial" w:cs="Arial"/>
          <w:color w:val="000000"/>
          <w:highlight w:val="yellow"/>
          <w:lang w:eastAsia="es-ES"/>
        </w:rPr>
        <w:lastRenderedPageBreak/>
        <w:t>precozmente</w:t>
      </w:r>
      <w:r>
        <w:rPr>
          <w:rFonts w:ascii="Arial" w:hAnsi="Arial" w:cs="Arial"/>
          <w:color w:val="000000"/>
          <w:lang w:eastAsia="es-ES"/>
        </w:rPr>
        <w:t xml:space="preserve"> </w:t>
      </w:r>
      <w:r w:rsidRPr="003F3B0A">
        <w:rPr>
          <w:rFonts w:ascii="Arial" w:hAnsi="Arial" w:cs="Arial"/>
          <w:color w:val="000000"/>
          <w:lang w:eastAsia="es-ES"/>
        </w:rPr>
        <w:t>para evitar la monoterapia con DTG en el caso de que esta MR estuviese presente.</w:t>
      </w:r>
    </w:p>
    <w:p w14:paraId="1EC77D15" w14:textId="77777777" w:rsidR="00851F60" w:rsidRPr="003F3B0A" w:rsidRDefault="00851F60" w:rsidP="00851F60">
      <w:pPr>
        <w:widowControl w:val="0"/>
        <w:autoSpaceDE w:val="0"/>
        <w:autoSpaceDN w:val="0"/>
        <w:adjustRightInd w:val="0"/>
        <w:snapToGrid w:val="0"/>
        <w:spacing w:before="120" w:after="120" w:line="276" w:lineRule="auto"/>
        <w:jc w:val="both"/>
        <w:rPr>
          <w:rFonts w:ascii="Arial" w:eastAsia="MS Mincho" w:hAnsi="Arial" w:cs="Arial"/>
          <w:strike/>
        </w:rPr>
      </w:pPr>
      <w:r w:rsidRPr="003F3B0A">
        <w:rPr>
          <w:rFonts w:ascii="Arial" w:eastAsia="MS Mincho" w:hAnsi="Arial" w:cs="Arial"/>
        </w:rPr>
        <w:t>En los pacientes con fracaso virológico es imperativo efectuar un estudio de resistencias para adecuar el nuevo TAR al perfil de mutaciones del VIH-1, incluyendo resistencias en el gen de la integrasa si el paciente ha fracasado a fármacos de esta familia.</w:t>
      </w:r>
      <w:r w:rsidRPr="003F3B0A">
        <w:rPr>
          <w:rFonts w:ascii="Arial" w:eastAsia="MS Mincho" w:hAnsi="Arial" w:cs="Arial"/>
          <w:strike/>
          <w:color w:val="00000A"/>
        </w:rPr>
        <w:t xml:space="preserve"> </w:t>
      </w:r>
    </w:p>
    <w:p w14:paraId="661643D3"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Recomendaciones</w:t>
      </w:r>
    </w:p>
    <w:p w14:paraId="7F34F481" w14:textId="77777777" w:rsidR="00851F60" w:rsidRPr="00CB7103" w:rsidRDefault="00851F60" w:rsidP="00851F60">
      <w:pPr>
        <w:numPr>
          <w:ilvl w:val="0"/>
          <w:numId w:val="29"/>
        </w:numPr>
        <w:suppressAutoHyphens/>
        <w:spacing w:before="120" w:after="120" w:line="276" w:lineRule="auto"/>
        <w:jc w:val="both"/>
        <w:textAlignment w:val="baseline"/>
        <w:rPr>
          <w:rFonts w:ascii="Arial" w:eastAsia="MS Mincho" w:hAnsi="Arial" w:cs="Arial"/>
          <w:color w:val="00000A"/>
          <w:highlight w:val="yellow"/>
        </w:rPr>
      </w:pPr>
      <w:r w:rsidRPr="00A5297B">
        <w:rPr>
          <w:rFonts w:ascii="Arial" w:eastAsia="MS Mincho" w:hAnsi="Arial" w:cs="Arial"/>
          <w:color w:val="00000A"/>
        </w:rPr>
        <w:t xml:space="preserve">Se recomienda realizar un estudio genotípico de resistencias del VIH-1 en la transcriptasa inversa y en la proteasa en todos los pacientes antes de iniciar TAR, </w:t>
      </w:r>
      <w:r w:rsidRPr="00A5297B">
        <w:rPr>
          <w:rFonts w:ascii="Arial" w:eastAsia="MS Mincho" w:hAnsi="Arial" w:cs="Arial"/>
          <w:color w:val="00000A"/>
          <w:highlight w:val="yellow"/>
        </w:rPr>
        <w:t xml:space="preserve">ampliando a la integrasa si hay evidencia de transmisión a partir de un paciente tratado con INI </w:t>
      </w:r>
      <w:r w:rsidRPr="00A5297B">
        <w:rPr>
          <w:rFonts w:ascii="Arial" w:eastAsia="MS Mincho" w:hAnsi="Arial" w:cs="Arial"/>
          <w:b/>
          <w:i/>
          <w:color w:val="00000A"/>
          <w:highlight w:val="yellow"/>
        </w:rPr>
        <w:t>(A-II).</w:t>
      </w:r>
    </w:p>
    <w:p w14:paraId="2D94E68F" w14:textId="77777777" w:rsidR="00851F60" w:rsidRPr="00CB7103" w:rsidRDefault="00851F60" w:rsidP="00A5297B">
      <w:pPr>
        <w:pStyle w:val="Textocomentario"/>
        <w:numPr>
          <w:ilvl w:val="0"/>
          <w:numId w:val="29"/>
        </w:numPr>
        <w:jc w:val="both"/>
        <w:rPr>
          <w:rFonts w:ascii="Arial" w:eastAsia="MS Mincho" w:hAnsi="Arial" w:cs="Arial"/>
          <w:color w:val="00000A"/>
          <w:highlight w:val="yellow"/>
        </w:rPr>
      </w:pPr>
      <w:r w:rsidRPr="00CB7103">
        <w:rPr>
          <w:rFonts w:ascii="Arial" w:eastAsia="MS Mincho" w:hAnsi="Arial" w:cs="Arial"/>
          <w:color w:val="00000A"/>
          <w:highlight w:val="yellow"/>
        </w:rPr>
        <w:t xml:space="preserve">Se recomienda esperar a conocer el resultado del estudio genotípico de resistencias si se va a iniciar el TAR con una pauta basada en ITINN (A-II) y, en los demás casos, revisar la prueba en cuanto esté disponible especialmente si se ha utilizado una pauta de baja barrera genética o si se ha iniciado el TAR con DTG+3TC </w:t>
      </w:r>
      <w:r w:rsidRPr="00CB7103">
        <w:rPr>
          <w:rFonts w:ascii="Arial" w:eastAsia="MS Mincho" w:hAnsi="Arial" w:cs="Arial"/>
          <w:b/>
          <w:i/>
          <w:color w:val="00000A"/>
          <w:highlight w:val="yellow"/>
        </w:rPr>
        <w:t>(A-III).</w:t>
      </w:r>
    </w:p>
    <w:p w14:paraId="445DD2CB" w14:textId="2A489489" w:rsidR="00851F60" w:rsidRPr="003F3B0A" w:rsidRDefault="00851F60" w:rsidP="00851F60">
      <w:pPr>
        <w:numPr>
          <w:ilvl w:val="0"/>
          <w:numId w:val="29"/>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 xml:space="preserve">Se recomienda la realización de un estudio genotípico de resistencias del VIH-1 en todos los pacientes con </w:t>
      </w:r>
      <w:r w:rsidR="00A5297B">
        <w:rPr>
          <w:rFonts w:ascii="Arial" w:eastAsia="MS Mincho" w:hAnsi="Arial" w:cs="Arial"/>
          <w:color w:val="00000A"/>
        </w:rPr>
        <w:t>FV</w:t>
      </w:r>
      <w:r w:rsidRPr="003F3B0A">
        <w:rPr>
          <w:rFonts w:ascii="Arial" w:eastAsia="MS Mincho" w:hAnsi="Arial" w:cs="Arial"/>
          <w:color w:val="00000A"/>
        </w:rPr>
        <w:t xml:space="preserve">, incluyendo resistencias en la integrasa si el régimen incluye un INI </w:t>
      </w:r>
      <w:r w:rsidRPr="003F3B0A">
        <w:rPr>
          <w:rFonts w:ascii="Arial" w:eastAsia="MS Mincho" w:hAnsi="Arial" w:cs="Arial"/>
          <w:b/>
          <w:i/>
          <w:color w:val="00000A"/>
        </w:rPr>
        <w:t>(A-I).</w:t>
      </w:r>
    </w:p>
    <w:p w14:paraId="5E6C7D3A"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i/>
          <w:iCs/>
          <w:color w:val="C00000"/>
        </w:rPr>
      </w:pPr>
    </w:p>
    <w:p w14:paraId="030CFEDA"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i/>
          <w:iCs/>
          <w:color w:val="AE1C1F"/>
        </w:rPr>
        <w:t>2.2.</w:t>
      </w:r>
      <w:r w:rsidRPr="00BE6911">
        <w:rPr>
          <w:rFonts w:ascii="Arial" w:eastAsia="MS Mincho" w:hAnsi="Arial" w:cs="Arial"/>
          <w:i/>
          <w:iCs/>
          <w:color w:val="AE1C1F"/>
          <w:highlight w:val="yellow"/>
        </w:rPr>
        <w:t>5</w:t>
      </w:r>
      <w:r w:rsidRPr="003F3B0A">
        <w:rPr>
          <w:rFonts w:ascii="Arial" w:eastAsia="MS Mincho" w:hAnsi="Arial" w:cs="Arial"/>
          <w:i/>
          <w:iCs/>
          <w:color w:val="AE1C1F"/>
        </w:rPr>
        <w:t>. Determinación del alelo HLA-B*5701</w:t>
      </w:r>
    </w:p>
    <w:p w14:paraId="2499B070" w14:textId="77777777" w:rsidR="00851F60" w:rsidRPr="003F3B0A" w:rsidRDefault="00851F60" w:rsidP="00851F60">
      <w:pPr>
        <w:widowControl w:val="0"/>
        <w:shd w:val="clear" w:color="auto" w:fill="FFFFFF"/>
        <w:autoSpaceDE w:val="0"/>
        <w:autoSpaceDN w:val="0"/>
        <w:adjustRightInd w:val="0"/>
        <w:spacing w:before="120" w:after="120" w:line="276" w:lineRule="auto"/>
        <w:jc w:val="both"/>
        <w:rPr>
          <w:rFonts w:ascii="Arial" w:eastAsia="MS Mincho" w:hAnsi="Arial" w:cs="Arial"/>
          <w:strike/>
          <w:color w:val="00000A"/>
        </w:rPr>
      </w:pPr>
      <w:r w:rsidRPr="003F3B0A">
        <w:rPr>
          <w:rFonts w:ascii="Arial" w:eastAsia="MS Mincho" w:hAnsi="Arial" w:cs="Arial"/>
          <w:color w:val="00000A"/>
        </w:rPr>
        <w:t xml:space="preserve">Los portadores del alelo HLA-B*5701 tienen </w:t>
      </w:r>
      <w:r w:rsidRPr="003F3B0A">
        <w:rPr>
          <w:rFonts w:ascii="Arial" w:eastAsia="MS Mincho" w:hAnsi="Arial" w:cs="Arial"/>
          <w:color w:val="00000A"/>
          <w:shd w:val="clear" w:color="auto" w:fill="FFFFFF"/>
        </w:rPr>
        <w:t>un</w:t>
      </w:r>
      <w:r w:rsidRPr="003F3B0A">
        <w:rPr>
          <w:rFonts w:ascii="Arial" w:eastAsia="MS Mincho" w:hAnsi="Arial" w:cs="Arial"/>
          <w:color w:val="00000A"/>
        </w:rPr>
        <w:t xml:space="preserve"> riesgo </w:t>
      </w:r>
      <w:r w:rsidRPr="003F3B0A">
        <w:rPr>
          <w:rFonts w:ascii="Arial" w:eastAsia="MS Mincho" w:hAnsi="Arial" w:cs="Arial"/>
          <w:color w:val="00000A"/>
          <w:shd w:val="clear" w:color="auto" w:fill="FFFFFF"/>
        </w:rPr>
        <w:t xml:space="preserve">aproximado </w:t>
      </w:r>
      <w:r w:rsidRPr="003F3B0A">
        <w:rPr>
          <w:rFonts w:ascii="Arial" w:eastAsia="MS Mincho" w:hAnsi="Arial" w:cs="Arial"/>
          <w:color w:val="00000A"/>
        </w:rPr>
        <w:t xml:space="preserve">de presentar una </w:t>
      </w:r>
      <w:r>
        <w:rPr>
          <w:rFonts w:ascii="Arial" w:eastAsia="MS Mincho" w:hAnsi="Arial" w:cs="Arial"/>
          <w:color w:val="00000A"/>
        </w:rPr>
        <w:t>reacción de hipersensibilidad (</w:t>
      </w:r>
      <w:r w:rsidRPr="003F3B0A">
        <w:rPr>
          <w:rFonts w:ascii="Arial" w:eastAsia="MS Mincho" w:hAnsi="Arial" w:cs="Arial"/>
          <w:color w:val="00000A"/>
        </w:rPr>
        <w:t>RHS</w:t>
      </w:r>
      <w:r>
        <w:rPr>
          <w:rFonts w:ascii="Arial" w:eastAsia="MS Mincho" w:hAnsi="Arial" w:cs="Arial"/>
          <w:color w:val="00000A"/>
        </w:rPr>
        <w:t>)</w:t>
      </w:r>
      <w:r w:rsidRPr="003F3B0A">
        <w:rPr>
          <w:rFonts w:ascii="Arial" w:eastAsia="MS Mincho" w:hAnsi="Arial" w:cs="Arial"/>
          <w:color w:val="00000A"/>
        </w:rPr>
        <w:t xml:space="preserve"> a ABC </w:t>
      </w:r>
      <w:r w:rsidRPr="003F3B0A">
        <w:rPr>
          <w:rFonts w:ascii="Arial" w:eastAsia="MS Mincho" w:hAnsi="Arial" w:cs="Arial"/>
          <w:color w:val="00000A"/>
          <w:shd w:val="clear" w:color="auto" w:fill="FFFFFF"/>
        </w:rPr>
        <w:t>del 50%</w:t>
      </w:r>
      <w:r w:rsidRPr="00C728F2">
        <w:rPr>
          <w:rFonts w:ascii="Arial" w:eastAsia="MS Mincho" w:hAnsi="Arial" w:cs="Arial"/>
          <w:noProof/>
          <w:color w:val="00000A"/>
          <w:highlight w:val="yellow"/>
          <w:shd w:val="clear" w:color="auto" w:fill="FFFFFF"/>
          <w:vertAlign w:val="superscript"/>
        </w:rPr>
        <w:t>11</w:t>
      </w:r>
      <w:r w:rsidRPr="003F3B0A">
        <w:rPr>
          <w:rFonts w:ascii="Arial" w:eastAsia="MS Mincho" w:hAnsi="Arial" w:cs="Arial"/>
          <w:color w:val="00000A"/>
          <w:shd w:val="clear" w:color="auto" w:fill="FFFFFF"/>
        </w:rPr>
        <w:t>.</w:t>
      </w:r>
    </w:p>
    <w:p w14:paraId="371277DB"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Recomendaciones</w:t>
      </w:r>
    </w:p>
    <w:p w14:paraId="5A8CDBC2" w14:textId="3D77277B" w:rsidR="00851F60" w:rsidRPr="003F3B0A" w:rsidRDefault="00851F60" w:rsidP="00851F60">
      <w:pPr>
        <w:numPr>
          <w:ilvl w:val="0"/>
          <w:numId w:val="30"/>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 xml:space="preserve">Se </w:t>
      </w:r>
      <w:r w:rsidRPr="00CB7103">
        <w:rPr>
          <w:rFonts w:ascii="Arial" w:eastAsia="MS Mincho" w:hAnsi="Arial" w:cs="Arial"/>
          <w:color w:val="00000A"/>
          <w:highlight w:val="yellow"/>
        </w:rPr>
        <w:t>recomienda</w:t>
      </w:r>
      <w:r w:rsidRPr="003F3B0A">
        <w:rPr>
          <w:rFonts w:ascii="Arial" w:eastAsia="MS Mincho" w:hAnsi="Arial" w:cs="Arial"/>
          <w:color w:val="00000A"/>
        </w:rPr>
        <w:t xml:space="preserve"> determinar el HLA-B*5701 en todos los pacientes antes de iniciar un régimen de TAR que contenga ABC </w:t>
      </w:r>
      <w:r w:rsidRPr="003F3B0A">
        <w:rPr>
          <w:rFonts w:ascii="Arial" w:eastAsia="MS Mincho" w:hAnsi="Arial" w:cs="Arial"/>
          <w:b/>
          <w:i/>
          <w:color w:val="00000A"/>
        </w:rPr>
        <w:t>(A-I)</w:t>
      </w:r>
      <w:r w:rsidR="00A5297B">
        <w:rPr>
          <w:rFonts w:ascii="Arial" w:eastAsia="MS Mincho" w:hAnsi="Arial" w:cs="Arial"/>
          <w:b/>
          <w:i/>
          <w:color w:val="00000A"/>
        </w:rPr>
        <w:t>.</w:t>
      </w:r>
    </w:p>
    <w:p w14:paraId="68D77B17" w14:textId="1F32801D" w:rsidR="00851F60" w:rsidRPr="003F3B0A" w:rsidRDefault="00851F60" w:rsidP="00851F60">
      <w:pPr>
        <w:numPr>
          <w:ilvl w:val="0"/>
          <w:numId w:val="30"/>
        </w:numPr>
        <w:suppressAutoHyphens/>
        <w:spacing w:before="120" w:after="120" w:line="276" w:lineRule="auto"/>
        <w:jc w:val="both"/>
        <w:textAlignment w:val="baseline"/>
        <w:rPr>
          <w:rFonts w:ascii="Arial" w:eastAsia="MS Mincho" w:hAnsi="Arial" w:cs="Arial"/>
          <w:i/>
          <w:iCs/>
          <w:color w:val="00000A"/>
        </w:rPr>
      </w:pPr>
      <w:r w:rsidRPr="003F3B0A">
        <w:rPr>
          <w:rFonts w:ascii="Arial" w:eastAsia="MS Mincho" w:hAnsi="Arial" w:cs="Arial"/>
          <w:color w:val="00000A"/>
        </w:rPr>
        <w:t xml:space="preserve">No se debe prescribir ABC si la prueba del HLA-B*5701 es positiva </w:t>
      </w:r>
      <w:r w:rsidRPr="003F3B0A">
        <w:rPr>
          <w:rFonts w:ascii="Arial" w:eastAsia="MS Mincho" w:hAnsi="Arial" w:cs="Arial"/>
          <w:b/>
          <w:i/>
          <w:color w:val="00000A"/>
        </w:rPr>
        <w:t>(A-I)</w:t>
      </w:r>
      <w:r w:rsidR="00A5297B">
        <w:rPr>
          <w:rFonts w:ascii="Arial" w:eastAsia="MS Mincho" w:hAnsi="Arial" w:cs="Arial"/>
          <w:b/>
          <w:i/>
          <w:color w:val="00000A"/>
        </w:rPr>
        <w:t>.</w:t>
      </w:r>
    </w:p>
    <w:p w14:paraId="2D9A047D"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i/>
          <w:iCs/>
          <w:color w:val="C00000"/>
        </w:rPr>
      </w:pPr>
    </w:p>
    <w:p w14:paraId="08AAEECE"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i/>
          <w:iCs/>
          <w:color w:val="AE1C1F"/>
        </w:rPr>
        <w:t>2.2.</w:t>
      </w:r>
      <w:r w:rsidRPr="00BE6911">
        <w:rPr>
          <w:rFonts w:ascii="Arial" w:eastAsia="MS Mincho" w:hAnsi="Arial" w:cs="Arial"/>
          <w:i/>
          <w:iCs/>
          <w:color w:val="AE1C1F"/>
          <w:highlight w:val="yellow"/>
        </w:rPr>
        <w:t>6</w:t>
      </w:r>
      <w:r w:rsidRPr="003F3B0A">
        <w:rPr>
          <w:rFonts w:ascii="Arial" w:eastAsia="MS Mincho" w:hAnsi="Arial" w:cs="Arial"/>
          <w:i/>
          <w:iCs/>
          <w:color w:val="AE1C1F"/>
        </w:rPr>
        <w:t>. Determinación del tropismo del VIH-1</w:t>
      </w:r>
    </w:p>
    <w:p w14:paraId="2097FB93"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00000A"/>
        </w:rPr>
      </w:pPr>
      <w:r w:rsidRPr="003F3B0A">
        <w:rPr>
          <w:rFonts w:ascii="Arial" w:eastAsia="MS Mincho" w:hAnsi="Arial" w:cs="Arial"/>
          <w:color w:val="00000A"/>
        </w:rPr>
        <w:t>MVC es un FAR antagonista del correceptor CCR5 que se debe prescribir exclusivamente en los pacientes con infección por cepas del VIH-1 que sean R5-trópicas. El tropismo del VIH-1 se analiza con métodos genotípicos, que determinan la secuencia de la región V3 de la envuelta viral (gp120)</w:t>
      </w:r>
      <w:r w:rsidRPr="00C728F2">
        <w:rPr>
          <w:rFonts w:ascii="Arial" w:eastAsia="MS Mincho" w:hAnsi="Arial" w:cs="Arial"/>
          <w:noProof/>
          <w:color w:val="00000A"/>
          <w:highlight w:val="yellow"/>
          <w:vertAlign w:val="superscript"/>
        </w:rPr>
        <w:t>12</w:t>
      </w:r>
      <w:r w:rsidRPr="003F3B0A">
        <w:rPr>
          <w:rFonts w:ascii="Arial" w:eastAsia="MS Mincho" w:hAnsi="Arial" w:cs="Arial"/>
          <w:color w:val="00000A"/>
        </w:rPr>
        <w:t xml:space="preserve">. </w:t>
      </w:r>
    </w:p>
    <w:p w14:paraId="019B0CB9" w14:textId="77777777" w:rsidR="00851F60" w:rsidRPr="003F3B0A" w:rsidRDefault="00851F60" w:rsidP="00851F60">
      <w:pPr>
        <w:widowControl w:val="0"/>
        <w:autoSpaceDE w:val="0"/>
        <w:autoSpaceDN w:val="0"/>
        <w:adjustRightInd w:val="0"/>
        <w:spacing w:before="120" w:after="120" w:line="276" w:lineRule="auto"/>
        <w:jc w:val="both"/>
        <w:rPr>
          <w:rFonts w:ascii="Arial" w:eastAsia="MS Mincho" w:hAnsi="Arial" w:cs="Arial"/>
          <w:color w:val="AE1C1F"/>
        </w:rPr>
      </w:pPr>
      <w:r w:rsidRPr="003F3B0A">
        <w:rPr>
          <w:rFonts w:ascii="Arial" w:eastAsia="MS Mincho" w:hAnsi="Arial" w:cs="Arial"/>
          <w:b/>
          <w:bCs/>
          <w:color w:val="AE1C1F"/>
        </w:rPr>
        <w:t>Recomendación</w:t>
      </w:r>
    </w:p>
    <w:p w14:paraId="3443D246" w14:textId="77777777" w:rsidR="00851F60" w:rsidRPr="003F3B0A" w:rsidRDefault="00851F60" w:rsidP="00851F60">
      <w:pPr>
        <w:numPr>
          <w:ilvl w:val="0"/>
          <w:numId w:val="30"/>
        </w:numPr>
        <w:suppressAutoHyphens/>
        <w:spacing w:before="120" w:after="120" w:line="276" w:lineRule="auto"/>
        <w:jc w:val="both"/>
        <w:textAlignment w:val="baseline"/>
        <w:rPr>
          <w:rFonts w:ascii="Arial" w:eastAsia="MS Mincho" w:hAnsi="Arial" w:cs="Arial"/>
          <w:color w:val="00000A"/>
        </w:rPr>
      </w:pPr>
      <w:r w:rsidRPr="003F3B0A">
        <w:rPr>
          <w:rFonts w:ascii="Arial" w:eastAsia="MS Mincho" w:hAnsi="Arial" w:cs="Arial"/>
          <w:color w:val="00000A"/>
        </w:rPr>
        <w:t xml:space="preserve">Se debe determinar el tropismo del VIH-1 cuando se vaya a utilizar un antagonista del receptor CCR5 </w:t>
      </w:r>
      <w:r w:rsidRPr="003F3B0A">
        <w:rPr>
          <w:rFonts w:ascii="Arial" w:eastAsia="MS Mincho" w:hAnsi="Arial" w:cs="Arial"/>
          <w:b/>
          <w:i/>
          <w:color w:val="00000A"/>
        </w:rPr>
        <w:t>(A-I)</w:t>
      </w:r>
      <w:r w:rsidRPr="003F3B0A">
        <w:rPr>
          <w:rFonts w:ascii="Arial" w:eastAsia="MS Mincho" w:hAnsi="Arial" w:cs="Arial"/>
          <w:color w:val="00000A"/>
        </w:rPr>
        <w:t xml:space="preserve"> y cuando fracase un régimen con un antagonista del receptor CCR5</w:t>
      </w:r>
      <w:r w:rsidRPr="003F3B0A">
        <w:rPr>
          <w:rFonts w:ascii="Arial" w:eastAsia="MS Mincho" w:hAnsi="Arial" w:cs="Arial"/>
          <w:b/>
          <w:i/>
          <w:color w:val="00000A"/>
        </w:rPr>
        <w:t xml:space="preserve"> (A-I)</w:t>
      </w:r>
      <w:r>
        <w:rPr>
          <w:rFonts w:ascii="Arial" w:eastAsia="MS Mincho" w:hAnsi="Arial" w:cs="Arial"/>
          <w:b/>
          <w:i/>
          <w:color w:val="00000A"/>
        </w:rPr>
        <w:t>.</w:t>
      </w:r>
    </w:p>
    <w:p w14:paraId="28E6A2B2" w14:textId="77777777" w:rsidR="00851F60" w:rsidRPr="003F3B0A" w:rsidRDefault="00851F60" w:rsidP="00851F60">
      <w:pPr>
        <w:rPr>
          <w:rFonts w:ascii="Arial" w:hAnsi="Arial" w:cs="Arial"/>
          <w:b/>
          <w:noProof/>
          <w:color w:val="0000CC"/>
        </w:rPr>
      </w:pPr>
    </w:p>
    <w:p w14:paraId="32FC4EC9" w14:textId="77777777" w:rsidR="00851F60" w:rsidRPr="003F3B0A" w:rsidRDefault="00851F60" w:rsidP="00851F60">
      <w:pPr>
        <w:jc w:val="center"/>
        <w:rPr>
          <w:rFonts w:ascii="Arial" w:hAnsi="Arial" w:cs="Arial"/>
          <w:noProof/>
          <w:color w:val="AE1C1F"/>
        </w:rPr>
      </w:pPr>
      <w:r w:rsidRPr="003F3B0A">
        <w:rPr>
          <w:rFonts w:ascii="Arial" w:hAnsi="Arial" w:cs="Arial"/>
          <w:b/>
          <w:noProof/>
          <w:color w:val="AE1C1F"/>
        </w:rPr>
        <w:lastRenderedPageBreak/>
        <w:t>Referencias bibliográficas</w:t>
      </w:r>
    </w:p>
    <w:p w14:paraId="14673520" w14:textId="77777777" w:rsidR="00851F60" w:rsidRPr="003F3B0A" w:rsidRDefault="00851F60" w:rsidP="00851F60">
      <w:pPr>
        <w:spacing w:before="120" w:after="120"/>
        <w:jc w:val="both"/>
        <w:rPr>
          <w:rFonts w:ascii="Arial" w:hAnsi="Arial" w:cs="Arial"/>
          <w:noProof/>
          <w:color w:val="006600"/>
        </w:rPr>
        <w:sectPr w:rsidR="00851F60" w:rsidRPr="003F3B0A" w:rsidSect="00802EB8">
          <w:type w:val="continuous"/>
          <w:pgSz w:w="11906" w:h="16838"/>
          <w:pgMar w:top="1417" w:right="1701" w:bottom="1417" w:left="1701" w:header="708" w:footer="708" w:gutter="0"/>
          <w:cols w:space="708"/>
          <w:docGrid w:linePitch="360"/>
        </w:sectPr>
      </w:pPr>
    </w:p>
    <w:p w14:paraId="566DBC04" w14:textId="77777777" w:rsidR="00851F60" w:rsidRPr="003F3B0A" w:rsidRDefault="00851F60" w:rsidP="00851F60">
      <w:pPr>
        <w:pStyle w:val="EndNoteBibliographyTitle"/>
        <w:jc w:val="left"/>
      </w:pPr>
    </w:p>
    <w:p w14:paraId="4AD2CE2A" w14:textId="77777777" w:rsidR="00851F60" w:rsidRPr="003F3B0A" w:rsidRDefault="00851F60" w:rsidP="00851F60">
      <w:pPr>
        <w:pStyle w:val="EndNoteBibliography"/>
        <w:spacing w:before="120" w:after="120"/>
        <w:jc w:val="both"/>
        <w:sectPr w:rsidR="00851F60" w:rsidRPr="003F3B0A">
          <w:headerReference w:type="default" r:id="rId13"/>
          <w:footerReference w:type="default" r:id="rId14"/>
          <w:type w:val="continuous"/>
          <w:pgSz w:w="11906" w:h="16838"/>
          <w:pgMar w:top="1417" w:right="1701" w:bottom="1417" w:left="1701" w:header="708" w:footer="708" w:gutter="0"/>
          <w:cols w:space="708"/>
          <w:docGrid w:linePitch="360"/>
        </w:sectPr>
      </w:pPr>
    </w:p>
    <w:p w14:paraId="143C0836" w14:textId="77777777" w:rsidR="00851F60" w:rsidRPr="003F3B0A" w:rsidRDefault="00851F60" w:rsidP="00851F60">
      <w:pPr>
        <w:pStyle w:val="EndNoteBibliography"/>
        <w:spacing w:before="120" w:after="120"/>
        <w:jc w:val="both"/>
        <w:rPr>
          <w:rStyle w:val="Hipervnculo"/>
          <w:rFonts w:cs="Arial"/>
          <w:sz w:val="18"/>
          <w:szCs w:val="18"/>
        </w:rPr>
      </w:pPr>
      <w:r w:rsidRPr="003F3B0A">
        <w:rPr>
          <w:sz w:val="18"/>
          <w:szCs w:val="18"/>
        </w:rPr>
        <w:t xml:space="preserve">1. Grupo de Estudio de Sida de la Sociedad Española de Enfermedades Infecciosas. Documento consenso de GeSIDA sobre control y monitorización de la infección por el VIH. (Actualización abril 2018). </w:t>
      </w:r>
    </w:p>
    <w:p w14:paraId="5E13C91F" w14:textId="6C2886BA" w:rsidR="00851F60" w:rsidRPr="003F3B0A" w:rsidRDefault="00A11D02" w:rsidP="00851F60">
      <w:pPr>
        <w:rPr>
          <w:rFonts w:ascii="Arial" w:eastAsia="Calibri" w:hAnsi="Arial"/>
          <w:noProof/>
          <w:sz w:val="18"/>
          <w:szCs w:val="18"/>
        </w:rPr>
      </w:pPr>
      <w:hyperlink r:id="rId15" w:history="1">
        <w:r w:rsidR="00851F60" w:rsidRPr="003F3B0A">
          <w:rPr>
            <w:rStyle w:val="Hipervnculo"/>
            <w:rFonts w:ascii="Arial" w:eastAsia="Calibri" w:hAnsi="Arial"/>
            <w:noProof/>
            <w:sz w:val="18"/>
            <w:szCs w:val="18"/>
          </w:rPr>
          <w:t>http://gesida-seimc.org/wp-content/uploads/2018/02/gesida_DC_Control_Monitorizacion_VIH.pdf</w:t>
        </w:r>
      </w:hyperlink>
      <w:r w:rsidR="00851F60" w:rsidRPr="003F3B0A">
        <w:rPr>
          <w:rFonts w:ascii="Arial" w:eastAsia="Calibri" w:hAnsi="Arial"/>
          <w:noProof/>
          <w:sz w:val="18"/>
          <w:szCs w:val="18"/>
        </w:rPr>
        <w:t xml:space="preserve"> (Consultado el </w:t>
      </w:r>
      <w:r w:rsidR="00851F60" w:rsidRPr="008B02D6">
        <w:rPr>
          <w:rFonts w:ascii="Arial" w:eastAsia="Calibri" w:hAnsi="Arial"/>
          <w:noProof/>
          <w:sz w:val="18"/>
          <w:szCs w:val="18"/>
          <w:highlight w:val="yellow"/>
        </w:rPr>
        <w:t>30/</w:t>
      </w:r>
      <w:r w:rsidR="00851F60">
        <w:rPr>
          <w:rFonts w:ascii="Arial" w:eastAsia="Calibri" w:hAnsi="Arial"/>
          <w:noProof/>
          <w:sz w:val="18"/>
          <w:szCs w:val="18"/>
          <w:highlight w:val="yellow"/>
        </w:rPr>
        <w:t>11</w:t>
      </w:r>
      <w:r w:rsidR="00851F60" w:rsidRPr="008B02D6">
        <w:rPr>
          <w:rFonts w:ascii="Arial" w:eastAsia="Calibri" w:hAnsi="Arial"/>
          <w:noProof/>
          <w:sz w:val="18"/>
          <w:szCs w:val="18"/>
          <w:highlight w:val="yellow"/>
        </w:rPr>
        <w:t>/2019</w:t>
      </w:r>
      <w:r w:rsidR="00851F60" w:rsidRPr="003F3B0A">
        <w:rPr>
          <w:rFonts w:ascii="Arial" w:eastAsia="Calibri" w:hAnsi="Arial"/>
          <w:noProof/>
          <w:sz w:val="18"/>
          <w:szCs w:val="18"/>
        </w:rPr>
        <w:t>)</w:t>
      </w:r>
    </w:p>
    <w:p w14:paraId="38178B5F" w14:textId="77777777" w:rsidR="00851F60" w:rsidRPr="00851F60" w:rsidRDefault="00851F60" w:rsidP="00A5297B">
      <w:pPr>
        <w:pStyle w:val="Ttulo2"/>
        <w:spacing w:before="75" w:after="75"/>
        <w:jc w:val="both"/>
        <w:rPr>
          <w:rFonts w:ascii="Arial" w:hAnsi="Arial"/>
          <w:b w:val="0"/>
          <w:bCs/>
          <w:noProof/>
          <w:color w:val="000000" w:themeColor="text1"/>
          <w:sz w:val="18"/>
          <w:szCs w:val="18"/>
          <w:highlight w:val="yellow"/>
        </w:rPr>
      </w:pPr>
      <w:r w:rsidRPr="00851F60">
        <w:rPr>
          <w:color w:val="000000" w:themeColor="text1"/>
          <w:sz w:val="18"/>
          <w:szCs w:val="18"/>
          <w:highlight w:val="yellow"/>
        </w:rPr>
        <w:t xml:space="preserve">2. </w:t>
      </w:r>
      <w:r w:rsidRPr="00851F60">
        <w:rPr>
          <w:rFonts w:ascii="Arial" w:hAnsi="Arial"/>
          <w:b w:val="0"/>
          <w:noProof/>
          <w:color w:val="000000" w:themeColor="text1"/>
          <w:sz w:val="18"/>
          <w:szCs w:val="18"/>
          <w:highlight w:val="yellow"/>
        </w:rPr>
        <w:t>BHIVA guidelines for the routine investigation and monitoring of adult HIV-1-positive individuals 2016 (2019 interim update)</w:t>
      </w:r>
    </w:p>
    <w:p w14:paraId="7A4A7E92" w14:textId="70DEE225" w:rsidR="00851F60" w:rsidRPr="00CB7103" w:rsidRDefault="00A11D02" w:rsidP="00851F60">
      <w:pPr>
        <w:rPr>
          <w:rFonts w:ascii="Arial" w:eastAsia="Calibri" w:hAnsi="Arial"/>
          <w:noProof/>
          <w:color w:val="0000FF"/>
          <w:sz w:val="18"/>
          <w:szCs w:val="18"/>
          <w:highlight w:val="yellow"/>
          <w:u w:val="single"/>
        </w:rPr>
      </w:pPr>
      <w:hyperlink r:id="rId16" w:history="1">
        <w:r w:rsidR="00851F60" w:rsidRPr="00CB7103">
          <w:rPr>
            <w:rStyle w:val="Hipervnculo"/>
            <w:rFonts w:ascii="Arial" w:eastAsia="Calibri" w:hAnsi="Arial"/>
            <w:noProof/>
            <w:sz w:val="18"/>
            <w:szCs w:val="18"/>
            <w:highlight w:val="yellow"/>
          </w:rPr>
          <w:t>https://www.bhiva.org/file/DqZbRxfzlYtLg/Monitoring-Guidelines.pdf</w:t>
        </w:r>
      </w:hyperlink>
      <w:r w:rsidR="00851F60">
        <w:rPr>
          <w:rStyle w:val="Hipervnculo"/>
          <w:rFonts w:ascii="Arial" w:eastAsia="Calibri" w:hAnsi="Arial"/>
          <w:noProof/>
          <w:sz w:val="18"/>
          <w:szCs w:val="18"/>
          <w:highlight w:val="yellow"/>
        </w:rPr>
        <w:t xml:space="preserve"> </w:t>
      </w:r>
      <w:r w:rsidR="00851F60" w:rsidRPr="00851F60">
        <w:rPr>
          <w:rFonts w:ascii="Arial" w:eastAsia="Calibri" w:hAnsi="Arial"/>
          <w:noProof/>
          <w:sz w:val="18"/>
          <w:szCs w:val="18"/>
          <w:highlight w:val="yellow"/>
        </w:rPr>
        <w:t>(Consultado el 30/11</w:t>
      </w:r>
      <w:r w:rsidR="00851F60" w:rsidRPr="008B02D6">
        <w:rPr>
          <w:rFonts w:ascii="Arial" w:eastAsia="Calibri" w:hAnsi="Arial"/>
          <w:noProof/>
          <w:sz w:val="18"/>
          <w:szCs w:val="18"/>
          <w:highlight w:val="yellow"/>
        </w:rPr>
        <w:t>/2019</w:t>
      </w:r>
      <w:r w:rsidR="00851F60" w:rsidRPr="003F3B0A">
        <w:rPr>
          <w:rFonts w:ascii="Arial" w:eastAsia="Calibri" w:hAnsi="Arial"/>
          <w:noProof/>
          <w:sz w:val="18"/>
          <w:szCs w:val="18"/>
        </w:rPr>
        <w:t>)</w:t>
      </w:r>
    </w:p>
    <w:p w14:paraId="16E696AF" w14:textId="77777777" w:rsidR="00851F60" w:rsidRPr="00A5297B" w:rsidRDefault="00851F60" w:rsidP="00851F60">
      <w:pPr>
        <w:pStyle w:val="EndNoteBibliography"/>
        <w:spacing w:before="120" w:after="120"/>
        <w:jc w:val="both"/>
        <w:rPr>
          <w:sz w:val="18"/>
          <w:szCs w:val="18"/>
          <w:lang w:val="en-US"/>
        </w:rPr>
      </w:pPr>
      <w:r w:rsidRPr="00AA6238">
        <w:rPr>
          <w:sz w:val="18"/>
          <w:szCs w:val="18"/>
          <w:lang w:val="en-US"/>
        </w:rPr>
        <w:t>3.</w:t>
      </w:r>
      <w:r w:rsidRPr="003F3B0A">
        <w:rPr>
          <w:sz w:val="18"/>
          <w:szCs w:val="18"/>
          <w:lang w:val="en-US"/>
        </w:rPr>
        <w:t xml:space="preserve"> Ferreira A, Young T, Mathews C, </w:t>
      </w:r>
      <w:r>
        <w:rPr>
          <w:sz w:val="18"/>
          <w:szCs w:val="18"/>
          <w:lang w:val="en-US"/>
        </w:rPr>
        <w:t>Zunza M,</w:t>
      </w:r>
      <w:r w:rsidRPr="003F3B0A">
        <w:rPr>
          <w:sz w:val="18"/>
          <w:szCs w:val="18"/>
          <w:lang w:val="en-US"/>
        </w:rPr>
        <w:t xml:space="preserve"> Low N. Strategies for partner notification for sexually transmitted infections, including HIV. Cochrane Database Syst Rev 2013:CD002843.</w:t>
      </w:r>
    </w:p>
    <w:p w14:paraId="40EAACB7" w14:textId="77777777" w:rsidR="00A5297B" w:rsidRDefault="00851F60" w:rsidP="00851F60">
      <w:pPr>
        <w:pStyle w:val="EndNoteBibliography"/>
        <w:spacing w:before="120" w:after="120"/>
        <w:jc w:val="both"/>
        <w:rPr>
          <w:sz w:val="18"/>
          <w:szCs w:val="18"/>
          <w:lang w:val="en-US"/>
        </w:rPr>
      </w:pPr>
      <w:r w:rsidRPr="00D943EF">
        <w:rPr>
          <w:sz w:val="18"/>
          <w:szCs w:val="18"/>
          <w:lang w:val="en-US"/>
        </w:rPr>
        <w:t xml:space="preserve">4. Caniglia EC, Sabin C, Robins JM, et al. </w:t>
      </w:r>
      <w:r>
        <w:rPr>
          <w:sz w:val="18"/>
          <w:szCs w:val="18"/>
          <w:lang w:val="en-US"/>
        </w:rPr>
        <w:t>When to monitor CD4 cell count and HIV RNA to reduce mortality and AIDS-defining illness in virologically suppressed HIV-positive persons on antiretroviral therapy in high-income c</w:t>
      </w:r>
      <w:r w:rsidRPr="003F3B0A">
        <w:rPr>
          <w:sz w:val="18"/>
          <w:szCs w:val="18"/>
          <w:lang w:val="en-US"/>
        </w:rPr>
        <w:t>ountrie</w:t>
      </w:r>
      <w:r>
        <w:rPr>
          <w:sz w:val="18"/>
          <w:szCs w:val="18"/>
          <w:lang w:val="en-US"/>
        </w:rPr>
        <w:t>s: a prospective observational s</w:t>
      </w:r>
      <w:r w:rsidRPr="003F3B0A">
        <w:rPr>
          <w:sz w:val="18"/>
          <w:szCs w:val="18"/>
          <w:lang w:val="en-US"/>
        </w:rPr>
        <w:t xml:space="preserve">tudy. </w:t>
      </w:r>
      <w:r w:rsidRPr="00BE6911">
        <w:rPr>
          <w:sz w:val="18"/>
          <w:szCs w:val="18"/>
          <w:lang w:val="en-US"/>
        </w:rPr>
        <w:t>J Acquir Immune Defic Syndr 2016; 72:214-21.</w:t>
      </w:r>
    </w:p>
    <w:p w14:paraId="64E4F875" w14:textId="05F0CF5C" w:rsidR="00851F60" w:rsidRPr="00BE6911" w:rsidRDefault="00851F60" w:rsidP="00851F60">
      <w:pPr>
        <w:pStyle w:val="EndNoteBibliography"/>
        <w:spacing w:before="120" w:after="120"/>
        <w:jc w:val="both"/>
        <w:rPr>
          <w:sz w:val="18"/>
          <w:szCs w:val="18"/>
          <w:highlight w:val="yellow"/>
        </w:rPr>
      </w:pPr>
      <w:r>
        <w:rPr>
          <w:sz w:val="18"/>
          <w:szCs w:val="18"/>
          <w:highlight w:val="yellow"/>
          <w:lang w:val="en-US"/>
        </w:rPr>
        <w:t>5</w:t>
      </w:r>
      <w:r w:rsidRPr="00BE6911">
        <w:rPr>
          <w:sz w:val="18"/>
          <w:szCs w:val="18"/>
          <w:highlight w:val="yellow"/>
          <w:lang w:val="en-US"/>
        </w:rPr>
        <w:t>. Serrano-Villar S,</w:t>
      </w:r>
      <w:r>
        <w:rPr>
          <w:sz w:val="18"/>
          <w:szCs w:val="18"/>
          <w:highlight w:val="yellow"/>
          <w:lang w:val="en-US"/>
        </w:rPr>
        <w:t xml:space="preserve"> Sainz T, Lee S a., et al. HIV-i</w:t>
      </w:r>
      <w:r w:rsidRPr="00BE6911">
        <w:rPr>
          <w:sz w:val="18"/>
          <w:szCs w:val="18"/>
          <w:highlight w:val="yellow"/>
          <w:lang w:val="en-US"/>
        </w:rPr>
        <w:t>nfected</w:t>
      </w:r>
      <w:r>
        <w:rPr>
          <w:sz w:val="18"/>
          <w:szCs w:val="18"/>
          <w:highlight w:val="yellow"/>
          <w:lang w:val="en-US"/>
        </w:rPr>
        <w:t xml:space="preserve"> individuals with low CD4/CD8 ratio despite effective antiretroviral therapy exhibit altered T cell subsets, heightened CD8+ T cell activation, and increased risk of non-AIDS morbidity and m</w:t>
      </w:r>
      <w:r w:rsidRPr="00BE6911">
        <w:rPr>
          <w:sz w:val="18"/>
          <w:szCs w:val="18"/>
          <w:highlight w:val="yellow"/>
          <w:lang w:val="en-US"/>
        </w:rPr>
        <w:t xml:space="preserve">ortality. </w:t>
      </w:r>
      <w:r>
        <w:rPr>
          <w:sz w:val="18"/>
          <w:szCs w:val="18"/>
          <w:highlight w:val="yellow"/>
        </w:rPr>
        <w:t>PLoS Pathog</w:t>
      </w:r>
      <w:r w:rsidRPr="00BE6911">
        <w:rPr>
          <w:sz w:val="18"/>
          <w:szCs w:val="18"/>
          <w:highlight w:val="yellow"/>
        </w:rPr>
        <w:t xml:space="preserve"> 2014; 10:e1004078. </w:t>
      </w:r>
    </w:p>
    <w:p w14:paraId="3F1C86C8" w14:textId="77777777" w:rsidR="00851F60" w:rsidRPr="00BE6911" w:rsidRDefault="00851F60" w:rsidP="00851F60">
      <w:pPr>
        <w:pStyle w:val="EndNoteBibliography"/>
        <w:spacing w:before="120" w:after="120"/>
        <w:jc w:val="both"/>
        <w:rPr>
          <w:sz w:val="18"/>
          <w:szCs w:val="18"/>
          <w:highlight w:val="yellow"/>
          <w:lang w:val="en-US"/>
        </w:rPr>
      </w:pPr>
      <w:r>
        <w:rPr>
          <w:sz w:val="18"/>
          <w:szCs w:val="18"/>
          <w:highlight w:val="yellow"/>
        </w:rPr>
        <w:t>6</w:t>
      </w:r>
      <w:r w:rsidRPr="00BE6911">
        <w:rPr>
          <w:sz w:val="18"/>
          <w:szCs w:val="18"/>
          <w:highlight w:val="yellow"/>
        </w:rPr>
        <w:t>. Mussini C, Lorenzini</w:t>
      </w:r>
      <w:r>
        <w:rPr>
          <w:sz w:val="18"/>
          <w:szCs w:val="18"/>
          <w:highlight w:val="yellow"/>
        </w:rPr>
        <w:t xml:space="preserve"> P, Cozzi-L</w:t>
      </w:r>
      <w:r w:rsidRPr="00BE6911">
        <w:rPr>
          <w:sz w:val="18"/>
          <w:szCs w:val="18"/>
          <w:highlight w:val="yellow"/>
        </w:rPr>
        <w:t xml:space="preserve">epri A, et al. </w:t>
      </w:r>
      <w:r w:rsidRPr="00BE6911">
        <w:rPr>
          <w:sz w:val="18"/>
          <w:szCs w:val="18"/>
          <w:highlight w:val="yellow"/>
          <w:lang w:val="en-US"/>
        </w:rPr>
        <w:t xml:space="preserve">CD4/CD8 ratio normalisation and non-AIDS related events in individuals with HIV who achieve viral load </w:t>
      </w:r>
      <w:r w:rsidRPr="00BE6911">
        <w:rPr>
          <w:sz w:val="18"/>
          <w:szCs w:val="18"/>
          <w:highlight w:val="yellow"/>
          <w:lang w:val="en-US"/>
        </w:rPr>
        <w:t xml:space="preserve">suppression with antiretroviral therapy : an observational cohort study. Lancet HIV 2015; </w:t>
      </w:r>
      <w:r>
        <w:rPr>
          <w:sz w:val="18"/>
          <w:szCs w:val="18"/>
          <w:highlight w:val="yellow"/>
          <w:lang w:val="en-US"/>
        </w:rPr>
        <w:t>2:e98-106.</w:t>
      </w:r>
    </w:p>
    <w:p w14:paraId="446B7E2C" w14:textId="77777777" w:rsidR="00851F60" w:rsidRDefault="00851F60" w:rsidP="00851F60">
      <w:pPr>
        <w:pStyle w:val="EndNoteBibliography"/>
        <w:spacing w:before="120" w:after="120"/>
        <w:jc w:val="both"/>
        <w:rPr>
          <w:sz w:val="18"/>
          <w:szCs w:val="18"/>
          <w:lang w:val="en-US"/>
        </w:rPr>
      </w:pPr>
      <w:r>
        <w:rPr>
          <w:sz w:val="18"/>
          <w:szCs w:val="18"/>
          <w:highlight w:val="yellow"/>
          <w:lang w:val="en-US"/>
        </w:rPr>
        <w:t>7</w:t>
      </w:r>
      <w:r w:rsidRPr="00BE6911">
        <w:rPr>
          <w:sz w:val="18"/>
          <w:szCs w:val="18"/>
          <w:highlight w:val="yellow"/>
          <w:lang w:val="en-US"/>
        </w:rPr>
        <w:t xml:space="preserve">. Helleberg M, Kronborg G, Ullum H, Ryder LP, </w:t>
      </w:r>
      <w:r>
        <w:rPr>
          <w:sz w:val="18"/>
          <w:szCs w:val="18"/>
          <w:highlight w:val="yellow"/>
          <w:lang w:val="en-US"/>
        </w:rPr>
        <w:t>Obel N, Gerstoft J. Course and clinical s</w:t>
      </w:r>
      <w:r w:rsidRPr="00BE6911">
        <w:rPr>
          <w:sz w:val="18"/>
          <w:szCs w:val="18"/>
          <w:highlight w:val="yellow"/>
          <w:lang w:val="en-US"/>
        </w:rPr>
        <w:t>ignificanc</w:t>
      </w:r>
      <w:r>
        <w:rPr>
          <w:sz w:val="18"/>
          <w:szCs w:val="18"/>
          <w:highlight w:val="yellow"/>
          <w:lang w:val="en-US"/>
        </w:rPr>
        <w:t>e of CD8+ T-cell counts in a large c</w:t>
      </w:r>
      <w:r w:rsidRPr="00BE6911">
        <w:rPr>
          <w:sz w:val="18"/>
          <w:szCs w:val="18"/>
          <w:highlight w:val="yellow"/>
          <w:lang w:val="en-US"/>
        </w:rPr>
        <w:t>ohort</w:t>
      </w:r>
      <w:r>
        <w:rPr>
          <w:sz w:val="18"/>
          <w:szCs w:val="18"/>
          <w:highlight w:val="yellow"/>
          <w:lang w:val="en-US"/>
        </w:rPr>
        <w:t xml:space="preserve"> of HIV-infected individuals. J Infect Dis 2015; 211:1726-</w:t>
      </w:r>
      <w:r w:rsidRPr="00BE6911">
        <w:rPr>
          <w:sz w:val="18"/>
          <w:szCs w:val="18"/>
          <w:highlight w:val="yellow"/>
          <w:lang w:val="en-US"/>
        </w:rPr>
        <w:t>34.</w:t>
      </w:r>
    </w:p>
    <w:p w14:paraId="6AD43DD1" w14:textId="77777777" w:rsidR="00851F60" w:rsidRPr="003F3B0A" w:rsidRDefault="00851F60" w:rsidP="00851F60">
      <w:pPr>
        <w:pStyle w:val="EndNoteBibliography"/>
        <w:spacing w:before="120" w:after="120"/>
        <w:jc w:val="both"/>
        <w:rPr>
          <w:sz w:val="18"/>
          <w:szCs w:val="18"/>
        </w:rPr>
      </w:pPr>
      <w:r w:rsidRPr="008B02D6">
        <w:rPr>
          <w:sz w:val="18"/>
          <w:szCs w:val="18"/>
          <w:highlight w:val="yellow"/>
          <w:lang w:val="en-US"/>
        </w:rPr>
        <w:t>8</w:t>
      </w:r>
      <w:r w:rsidRPr="003F3B0A">
        <w:rPr>
          <w:sz w:val="18"/>
          <w:szCs w:val="18"/>
          <w:lang w:val="en-US"/>
        </w:rPr>
        <w:t xml:space="preserve">. Bonner K, Mezochow A, Roberts T, et al. Viral load monitoring as a tool to reinforce adherence: a systematic review. </w:t>
      </w:r>
      <w:r w:rsidRPr="003F3B0A">
        <w:rPr>
          <w:sz w:val="18"/>
          <w:szCs w:val="18"/>
        </w:rPr>
        <w:t>J Acquir Immune Defic Syndr 2013; 64:74-8.</w:t>
      </w:r>
    </w:p>
    <w:p w14:paraId="6B5460FA" w14:textId="77777777" w:rsidR="00851F60" w:rsidRPr="003F3B0A" w:rsidRDefault="00851F60" w:rsidP="00851F60">
      <w:pPr>
        <w:pStyle w:val="EndNoteBibliography"/>
        <w:spacing w:before="120" w:after="120"/>
        <w:jc w:val="both"/>
        <w:rPr>
          <w:sz w:val="18"/>
          <w:szCs w:val="18"/>
        </w:rPr>
      </w:pPr>
      <w:r w:rsidRPr="008B02D6">
        <w:rPr>
          <w:sz w:val="18"/>
          <w:szCs w:val="18"/>
          <w:highlight w:val="yellow"/>
          <w:lang w:val="es-ES_tradnl"/>
        </w:rPr>
        <w:t>9.</w:t>
      </w:r>
      <w:r w:rsidRPr="003F3B0A">
        <w:rPr>
          <w:sz w:val="18"/>
          <w:szCs w:val="18"/>
          <w:lang w:val="es-ES_tradnl"/>
        </w:rPr>
        <w:t xml:space="preserve"> Alvarez</w:t>
      </w:r>
      <w:r>
        <w:rPr>
          <w:sz w:val="18"/>
          <w:szCs w:val="18"/>
          <w:lang w:val="es-ES_tradnl"/>
        </w:rPr>
        <w:t xml:space="preserve"> M, Fernández-Caballero JA, Pé</w:t>
      </w:r>
      <w:r w:rsidRPr="003F3B0A">
        <w:rPr>
          <w:sz w:val="18"/>
          <w:szCs w:val="18"/>
          <w:lang w:val="es-ES_tradnl"/>
        </w:rPr>
        <w:t xml:space="preserve">rez AB et al. </w:t>
      </w:r>
      <w:r w:rsidRPr="003F3B0A">
        <w:rPr>
          <w:sz w:val="18"/>
          <w:szCs w:val="18"/>
          <w:lang w:val="en-US"/>
        </w:rPr>
        <w:t xml:space="preserve">Decline in clinically relevant resistance to first line ARV regimens in Spain. </w:t>
      </w:r>
      <w:r w:rsidRPr="00F86036">
        <w:rPr>
          <w:sz w:val="18"/>
          <w:szCs w:val="18"/>
        </w:rPr>
        <w:t xml:space="preserve">25th CROI, March 4-7, 2018, Boston. </w:t>
      </w:r>
      <w:r w:rsidRPr="003F3B0A">
        <w:rPr>
          <w:sz w:val="18"/>
          <w:szCs w:val="18"/>
        </w:rPr>
        <w:t>Abstract #528.</w:t>
      </w:r>
    </w:p>
    <w:p w14:paraId="1F193FF2" w14:textId="4E8E2D56" w:rsidR="00851F60" w:rsidRPr="003F3B0A" w:rsidRDefault="00851F60" w:rsidP="00851F60">
      <w:pPr>
        <w:pStyle w:val="EndNoteBibliography"/>
        <w:spacing w:before="120" w:after="120"/>
        <w:jc w:val="both"/>
        <w:rPr>
          <w:sz w:val="18"/>
          <w:szCs w:val="18"/>
          <w:lang w:val="es-ES_tradnl"/>
        </w:rPr>
      </w:pPr>
      <w:r w:rsidRPr="008B02D6">
        <w:rPr>
          <w:sz w:val="18"/>
          <w:szCs w:val="18"/>
          <w:highlight w:val="yellow"/>
        </w:rPr>
        <w:t>10</w:t>
      </w:r>
      <w:r w:rsidRPr="003F3B0A">
        <w:rPr>
          <w:sz w:val="18"/>
          <w:szCs w:val="18"/>
        </w:rPr>
        <w:t xml:space="preserve">. Grupo de Estudio de Sida de la Sociedad Española de Enfermedades Infecciosas. </w:t>
      </w:r>
      <w:r w:rsidRPr="003F3B0A">
        <w:rPr>
          <w:sz w:val="18"/>
          <w:szCs w:val="18"/>
          <w:lang w:val="es-ES_tradnl"/>
        </w:rPr>
        <w:t xml:space="preserve">Documento sobre la </w:t>
      </w:r>
      <w:r>
        <w:rPr>
          <w:sz w:val="18"/>
          <w:szCs w:val="18"/>
          <w:lang w:val="es-ES_tradnl"/>
        </w:rPr>
        <w:t>utilidad clínica de las resistencias a a</w:t>
      </w:r>
      <w:r w:rsidRPr="003F3B0A">
        <w:rPr>
          <w:sz w:val="18"/>
          <w:szCs w:val="18"/>
          <w:lang w:val="es-ES_tradnl"/>
        </w:rPr>
        <w:t xml:space="preserve">ntirretrovirales. </w:t>
      </w:r>
      <w:r>
        <w:rPr>
          <w:sz w:val="18"/>
          <w:szCs w:val="18"/>
          <w:lang w:val="es-ES_tradnl"/>
        </w:rPr>
        <w:t>Octubre</w:t>
      </w:r>
      <w:r w:rsidRPr="003F3B0A">
        <w:rPr>
          <w:sz w:val="18"/>
          <w:szCs w:val="18"/>
          <w:lang w:val="es-ES_tradnl"/>
        </w:rPr>
        <w:t xml:space="preserve"> 2018. </w:t>
      </w:r>
      <w:hyperlink r:id="rId17" w:history="1">
        <w:r w:rsidRPr="003F3B0A">
          <w:rPr>
            <w:rStyle w:val="Hipervnculo"/>
            <w:rFonts w:cs="Arial"/>
            <w:sz w:val="18"/>
            <w:szCs w:val="18"/>
            <w:lang w:val="es-ES_tradnl"/>
          </w:rPr>
          <w:t>http://gesida-seimc.org/wp-content/uploads/2018/09/gesida_documento_sobre_la_utilidad_clinica_de_las_resistencias_a_antirretrovirales.pdf</w:t>
        </w:r>
      </w:hyperlink>
      <w:r w:rsidRPr="003F3B0A">
        <w:rPr>
          <w:sz w:val="18"/>
          <w:szCs w:val="18"/>
          <w:lang w:val="es-ES_tradnl"/>
        </w:rPr>
        <w:t xml:space="preserve">   (Consultado el </w:t>
      </w:r>
      <w:r>
        <w:rPr>
          <w:sz w:val="18"/>
          <w:szCs w:val="18"/>
          <w:highlight w:val="yellow"/>
          <w:lang w:val="es-ES_tradnl"/>
        </w:rPr>
        <w:t>30</w:t>
      </w:r>
      <w:r w:rsidRPr="008B02D6">
        <w:rPr>
          <w:sz w:val="18"/>
          <w:szCs w:val="18"/>
          <w:highlight w:val="yellow"/>
          <w:lang w:val="es-ES_tradnl"/>
        </w:rPr>
        <w:t>/1</w:t>
      </w:r>
      <w:r>
        <w:rPr>
          <w:sz w:val="18"/>
          <w:szCs w:val="18"/>
          <w:highlight w:val="yellow"/>
          <w:lang w:val="es-ES_tradnl"/>
        </w:rPr>
        <w:t>1</w:t>
      </w:r>
      <w:r w:rsidRPr="008B02D6">
        <w:rPr>
          <w:sz w:val="18"/>
          <w:szCs w:val="18"/>
          <w:highlight w:val="yellow"/>
          <w:lang w:val="es-ES_tradnl"/>
        </w:rPr>
        <w:t>/201</w:t>
      </w:r>
      <w:r>
        <w:rPr>
          <w:sz w:val="18"/>
          <w:szCs w:val="18"/>
          <w:highlight w:val="yellow"/>
          <w:lang w:val="es-ES_tradnl"/>
        </w:rPr>
        <w:t>9</w:t>
      </w:r>
      <w:r w:rsidRPr="003F3B0A">
        <w:rPr>
          <w:sz w:val="18"/>
          <w:szCs w:val="18"/>
          <w:lang w:val="es-ES_tradnl"/>
        </w:rPr>
        <w:t xml:space="preserve">)   </w:t>
      </w:r>
    </w:p>
    <w:p w14:paraId="26B6FAC3" w14:textId="77777777" w:rsidR="00851F60" w:rsidRPr="003F3B0A" w:rsidRDefault="00851F60" w:rsidP="00851F60">
      <w:pPr>
        <w:pStyle w:val="EndNoteBibliography"/>
        <w:spacing w:before="120" w:after="120"/>
        <w:jc w:val="both"/>
        <w:rPr>
          <w:sz w:val="18"/>
          <w:szCs w:val="18"/>
        </w:rPr>
      </w:pPr>
      <w:r w:rsidRPr="008B02D6">
        <w:rPr>
          <w:sz w:val="18"/>
          <w:szCs w:val="18"/>
          <w:highlight w:val="yellow"/>
          <w:lang w:val="en-US"/>
        </w:rPr>
        <w:t>11</w:t>
      </w:r>
      <w:r w:rsidRPr="003F3B0A">
        <w:rPr>
          <w:sz w:val="18"/>
          <w:szCs w:val="18"/>
          <w:lang w:val="en-US"/>
        </w:rPr>
        <w:t xml:space="preserve">. Hughes CA, Foisy MM, Dewhurst N, et al. Abacavir hypersensitivity reaction: an update. </w:t>
      </w:r>
      <w:r w:rsidRPr="003F3B0A">
        <w:rPr>
          <w:sz w:val="18"/>
          <w:szCs w:val="18"/>
        </w:rPr>
        <w:t>Ann Pha</w:t>
      </w:r>
      <w:r>
        <w:rPr>
          <w:sz w:val="18"/>
          <w:szCs w:val="18"/>
        </w:rPr>
        <w:t>rmacother</w:t>
      </w:r>
      <w:r w:rsidRPr="003F3B0A">
        <w:rPr>
          <w:sz w:val="18"/>
          <w:szCs w:val="18"/>
        </w:rPr>
        <w:t xml:space="preserve"> 2008; 42:387-96.</w:t>
      </w:r>
    </w:p>
    <w:p w14:paraId="54BEC821" w14:textId="77777777" w:rsidR="00851F60" w:rsidRPr="00FA5073" w:rsidRDefault="00851F60" w:rsidP="00851F60">
      <w:pPr>
        <w:pStyle w:val="EndNoteBibliography"/>
        <w:spacing w:before="120" w:after="120"/>
        <w:jc w:val="both"/>
        <w:rPr>
          <w:sz w:val="18"/>
          <w:szCs w:val="18"/>
        </w:rPr>
      </w:pPr>
      <w:r w:rsidRPr="008B02D6">
        <w:rPr>
          <w:sz w:val="18"/>
          <w:szCs w:val="18"/>
          <w:highlight w:val="yellow"/>
        </w:rPr>
        <w:t>12</w:t>
      </w:r>
      <w:r>
        <w:rPr>
          <w:sz w:val="18"/>
          <w:szCs w:val="18"/>
        </w:rPr>
        <w:t>. Poveda E, Alcamí</w:t>
      </w:r>
      <w:r w:rsidRPr="003F3B0A">
        <w:rPr>
          <w:sz w:val="18"/>
          <w:szCs w:val="18"/>
        </w:rPr>
        <w:t xml:space="preserve"> J, Paredes R, et al. </w:t>
      </w:r>
      <w:r w:rsidRPr="003F3B0A">
        <w:rPr>
          <w:sz w:val="18"/>
          <w:szCs w:val="18"/>
          <w:lang w:val="en-US"/>
        </w:rPr>
        <w:t xml:space="preserve">Genotypic determination of HIV tropism - clinical and methodological recommendations to guide the therapeutic use of CCR5 antagonists. </w:t>
      </w:r>
      <w:r w:rsidRPr="00FA5073">
        <w:rPr>
          <w:sz w:val="18"/>
          <w:szCs w:val="18"/>
        </w:rPr>
        <w:t>AIDS Rev 2010;12:135-48.</w:t>
      </w:r>
    </w:p>
    <w:p w14:paraId="36108A28" w14:textId="77777777" w:rsidR="00851F60" w:rsidRPr="00FA5073" w:rsidRDefault="00851F60" w:rsidP="00851F60">
      <w:pPr>
        <w:pStyle w:val="EndNoteBibliography"/>
        <w:spacing w:before="120" w:after="120"/>
        <w:jc w:val="both"/>
        <w:rPr>
          <w:sz w:val="18"/>
          <w:szCs w:val="18"/>
        </w:rPr>
        <w:sectPr w:rsidR="00851F60" w:rsidRPr="00FA5073">
          <w:type w:val="continuous"/>
          <w:pgSz w:w="11906" w:h="16838"/>
          <w:pgMar w:top="1417" w:right="1701" w:bottom="1417" w:left="1701" w:header="708" w:footer="708" w:gutter="0"/>
          <w:cols w:num="2" w:sep="1" w:space="340"/>
          <w:docGrid w:linePitch="360"/>
        </w:sectPr>
      </w:pPr>
    </w:p>
    <w:p w14:paraId="3390F726" w14:textId="77777777" w:rsidR="00851F60" w:rsidRPr="00FA5073" w:rsidRDefault="00851F60" w:rsidP="00851F60">
      <w:pPr>
        <w:rPr>
          <w:rFonts w:ascii="Arial" w:hAnsi="Arial"/>
        </w:rPr>
        <w:sectPr w:rsidR="00851F60" w:rsidRPr="00FA5073">
          <w:headerReference w:type="default" r:id="rId18"/>
          <w:footerReference w:type="default" r:id="rId19"/>
          <w:type w:val="continuous"/>
          <w:pgSz w:w="11906" w:h="16838"/>
          <w:pgMar w:top="1417" w:right="1701" w:bottom="1417" w:left="1701" w:header="708" w:footer="708" w:gutter="0"/>
          <w:cols w:num="2" w:sep="1" w:space="340"/>
          <w:docGrid w:linePitch="360"/>
        </w:sectPr>
      </w:pPr>
    </w:p>
    <w:p w14:paraId="5B6645BE" w14:textId="77777777" w:rsidR="00851F60" w:rsidRPr="00FA5073" w:rsidRDefault="00851F60" w:rsidP="00851F60">
      <w:pPr>
        <w:rPr>
          <w:rFonts w:ascii="Arial" w:hAnsi="Arial"/>
        </w:rPr>
        <w:sectPr w:rsidR="00851F60" w:rsidRPr="00FA5073">
          <w:headerReference w:type="default" r:id="rId20"/>
          <w:footerReference w:type="default" r:id="rId21"/>
          <w:type w:val="continuous"/>
          <w:pgSz w:w="11906" w:h="16838"/>
          <w:pgMar w:top="1417" w:right="1701" w:bottom="1417" w:left="1701" w:header="708" w:footer="708" w:gutter="0"/>
          <w:cols w:num="2" w:sep="1" w:space="340"/>
          <w:docGrid w:linePitch="360"/>
        </w:sectPr>
      </w:pPr>
    </w:p>
    <w:p w14:paraId="7D8E7B29" w14:textId="77777777" w:rsidR="00851F60" w:rsidRPr="00FA5073" w:rsidRDefault="00851F60" w:rsidP="00851F60">
      <w:pPr>
        <w:widowControl w:val="0"/>
        <w:autoSpaceDE w:val="0"/>
        <w:autoSpaceDN w:val="0"/>
        <w:adjustRightInd w:val="0"/>
        <w:spacing w:before="120" w:after="120" w:line="276" w:lineRule="auto"/>
        <w:jc w:val="both"/>
        <w:rPr>
          <w:rFonts w:ascii="Arial" w:eastAsia="MS Mincho" w:hAnsi="Arial" w:cs="Arial"/>
          <w:b/>
          <w:bCs/>
          <w:color w:val="006600"/>
        </w:rPr>
        <w:sectPr w:rsidR="00851F60" w:rsidRPr="00FA5073">
          <w:footerReference w:type="default" r:id="rId22"/>
          <w:type w:val="continuous"/>
          <w:pgSz w:w="11906" w:h="16838"/>
          <w:pgMar w:top="1417" w:right="1701" w:bottom="1417" w:left="1701" w:header="708" w:footer="708" w:gutter="0"/>
          <w:cols w:space="708"/>
          <w:docGrid w:linePitch="360"/>
        </w:sectPr>
      </w:pPr>
    </w:p>
    <w:p w14:paraId="59712248" w14:textId="36DF7CEB" w:rsidR="00095ECF" w:rsidRPr="007B4109" w:rsidRDefault="00095ECF" w:rsidP="00851F60">
      <w:pPr>
        <w:widowControl w:val="0"/>
        <w:autoSpaceDE w:val="0"/>
        <w:autoSpaceDN w:val="0"/>
        <w:adjustRightInd w:val="0"/>
        <w:spacing w:before="120" w:after="120" w:line="276" w:lineRule="auto"/>
        <w:jc w:val="both"/>
      </w:pPr>
    </w:p>
    <w:p w14:paraId="2D97A14A" w14:textId="2ACF55B8" w:rsidR="001B5265" w:rsidRPr="00095ECF" w:rsidRDefault="001B5265" w:rsidP="00095ECF">
      <w:pPr>
        <w:rPr>
          <w:rFonts w:ascii="Arial" w:hAnsi="Arial" w:cs="Arial"/>
        </w:rPr>
      </w:pPr>
      <w:r w:rsidRPr="00000FF8">
        <w:rPr>
          <w:rFonts w:ascii="Arial" w:hAnsi="Arial" w:cs="Arial"/>
          <w:b/>
          <w:bCs/>
          <w:color w:val="AE1C1F"/>
        </w:rPr>
        <w:t xml:space="preserve">3. TRATAMIENTO ANTIRRETROVIRAL INICIAL </w:t>
      </w:r>
    </w:p>
    <w:p w14:paraId="2D13632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5BCFD61D" w14:textId="2C71CF35"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4F2000">
        <w:rPr>
          <w:rFonts w:ascii="Arial" w:hAnsi="Arial" w:cs="Arial"/>
          <w:color w:val="000000"/>
          <w:highlight w:val="yellow"/>
        </w:rPr>
        <w:t>Los objetivos del TAR son conseguir la máxima y más d</w:t>
      </w:r>
      <w:r w:rsidR="00257CA3">
        <w:rPr>
          <w:rFonts w:ascii="Arial" w:hAnsi="Arial" w:cs="Arial"/>
          <w:color w:val="000000"/>
          <w:highlight w:val="yellow"/>
        </w:rPr>
        <w:t>uradera supresión de la CVP, re</w:t>
      </w:r>
      <w:r w:rsidRPr="004F2000">
        <w:rPr>
          <w:rFonts w:ascii="Arial" w:hAnsi="Arial" w:cs="Arial"/>
          <w:color w:val="000000"/>
          <w:highlight w:val="yellow"/>
        </w:rPr>
        <w:t>stablecer y preservar la función inmunológica, reducir la morbilidad asociada a la replicación del VIH y su efecto sobre otras comorbilidades, aumentar la supervivencia y prevenir la transmisión del VIH. Aunque el TAR debe iniciarse tan pronto como sea posible,</w:t>
      </w:r>
      <w:r w:rsidRPr="00000FF8">
        <w:rPr>
          <w:rFonts w:ascii="Arial" w:hAnsi="Arial" w:cs="Arial"/>
          <w:color w:val="000000"/>
        </w:rPr>
        <w:t xml:space="preserve"> es importante valorar de forma individualizada el momento más adecuado de inicio del TAR y los FAR que deben formar parte del régimen inicial, sopesando las ventajas e inconvenientes de cada una de las opciones. </w:t>
      </w:r>
      <w:r w:rsidRPr="003B3A6F">
        <w:rPr>
          <w:rFonts w:ascii="Arial" w:hAnsi="Arial" w:cs="Arial"/>
          <w:color w:val="000000"/>
          <w:highlight w:val="yellow"/>
        </w:rPr>
        <w:t>La situación clínica del paciente (p.ej la sospecha de una infección oportunista concomitante), así como su disposición y motivación son factores críticos a la hora de decidir el momento para iniciar el TAR.</w:t>
      </w:r>
    </w:p>
    <w:p w14:paraId="4F55F58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2FB9BBA0"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b/>
          <w:bCs/>
          <w:color w:val="AE1C1F"/>
        </w:rPr>
      </w:pPr>
      <w:r w:rsidRPr="00000FF8">
        <w:rPr>
          <w:rFonts w:ascii="Arial" w:hAnsi="Arial" w:cs="Arial"/>
          <w:b/>
          <w:bCs/>
          <w:color w:val="AE1C1F"/>
        </w:rPr>
        <w:t xml:space="preserve">3.1. Cuándo iniciar el TAR </w:t>
      </w:r>
    </w:p>
    <w:p w14:paraId="035FB2B5"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252525"/>
        </w:rPr>
      </w:pPr>
      <w:r w:rsidRPr="00000FF8">
        <w:rPr>
          <w:rFonts w:ascii="Arial" w:hAnsi="Arial" w:cs="Arial"/>
          <w:color w:val="000000"/>
        </w:rPr>
        <w:t xml:space="preserve">El TAR debe iniciarse en todos los pacientes con infección por VIH-1, con o sin sintomatología, </w:t>
      </w:r>
      <w:r w:rsidRPr="00000FF8">
        <w:rPr>
          <w:rFonts w:ascii="Arial" w:hAnsi="Arial" w:cs="Arial"/>
          <w:lang w:eastAsia="en-US"/>
        </w:rPr>
        <w:t xml:space="preserve">y con independencia </w:t>
      </w:r>
      <w:r w:rsidRPr="00000FF8">
        <w:rPr>
          <w:rFonts w:ascii="Arial" w:hAnsi="Arial" w:cs="Arial"/>
          <w:color w:val="000000"/>
          <w:lang w:eastAsia="en-US"/>
        </w:rPr>
        <w:t>del</w:t>
      </w:r>
      <w:r w:rsidRPr="00000FF8">
        <w:rPr>
          <w:rFonts w:ascii="Arial" w:hAnsi="Arial" w:cs="Arial"/>
          <w:color w:val="FF0000"/>
          <w:lang w:eastAsia="en-US"/>
        </w:rPr>
        <w:t xml:space="preserve"> </w:t>
      </w:r>
      <w:r w:rsidRPr="00000FF8">
        <w:rPr>
          <w:rFonts w:ascii="Arial" w:hAnsi="Arial" w:cs="Arial"/>
          <w:lang w:eastAsia="en-US"/>
        </w:rPr>
        <w:t xml:space="preserve">número de linfocitos T </w:t>
      </w:r>
      <w:r w:rsidRPr="00000FF8">
        <w:rPr>
          <w:rFonts w:ascii="Arial" w:hAnsi="Arial" w:cs="Arial"/>
          <w:color w:val="000000"/>
          <w:lang w:eastAsia="en-US"/>
        </w:rPr>
        <w:t>CD4+ (</w:t>
      </w:r>
      <w:r w:rsidRPr="00000FF8">
        <w:rPr>
          <w:rFonts w:ascii="Arial" w:hAnsi="Arial" w:cs="Arial"/>
          <w:lang w:eastAsia="en-US"/>
        </w:rPr>
        <w:t xml:space="preserve">Tabla 2). Esta recomendación se sustenta </w:t>
      </w:r>
      <w:r w:rsidRPr="00000FF8">
        <w:rPr>
          <w:rFonts w:ascii="Arial" w:hAnsi="Arial" w:cs="Arial"/>
          <w:color w:val="252525"/>
        </w:rPr>
        <w:t>en diferentes estudios observacionales</w:t>
      </w:r>
      <w:r w:rsidRPr="00000FF8">
        <w:rPr>
          <w:rFonts w:ascii="Arial" w:hAnsi="Arial" w:cs="Arial"/>
          <w:noProof/>
          <w:color w:val="252525"/>
          <w:vertAlign w:val="superscript"/>
        </w:rPr>
        <w:t>1-4</w:t>
      </w:r>
      <w:r w:rsidRPr="00000FF8">
        <w:rPr>
          <w:rFonts w:ascii="Arial" w:hAnsi="Arial" w:cs="Arial"/>
          <w:noProof/>
        </w:rPr>
        <w:t xml:space="preserve">, </w:t>
      </w:r>
      <w:r w:rsidRPr="00000FF8">
        <w:rPr>
          <w:rFonts w:ascii="Arial" w:hAnsi="Arial" w:cs="Arial"/>
          <w:color w:val="252525"/>
        </w:rPr>
        <w:t>en algunos sub-análisis de ensayos clínicos</w:t>
      </w:r>
      <w:r w:rsidRPr="00000FF8">
        <w:rPr>
          <w:rFonts w:ascii="Arial" w:hAnsi="Arial" w:cs="Arial"/>
          <w:noProof/>
          <w:color w:val="252525"/>
          <w:vertAlign w:val="superscript"/>
        </w:rPr>
        <w:t>5,6</w:t>
      </w:r>
      <w:r w:rsidRPr="00000FF8">
        <w:rPr>
          <w:rFonts w:ascii="Arial" w:hAnsi="Arial" w:cs="Arial"/>
          <w:lang w:eastAsia="en-US"/>
        </w:rPr>
        <w:t xml:space="preserve">, y en dos grandes ensayos clínicos </w:t>
      </w:r>
      <w:r w:rsidRPr="003B3A6F">
        <w:rPr>
          <w:rFonts w:ascii="Arial" w:hAnsi="Arial" w:cs="Arial"/>
          <w:highlight w:val="yellow"/>
          <w:lang w:eastAsia="en-US"/>
        </w:rPr>
        <w:t>aleatorizados</w:t>
      </w:r>
      <w:r w:rsidRPr="00000FF8">
        <w:rPr>
          <w:rFonts w:ascii="Arial" w:hAnsi="Arial" w:cs="Arial"/>
          <w:noProof/>
          <w:vertAlign w:val="superscript"/>
          <w:lang w:eastAsia="en-US"/>
        </w:rPr>
        <w:t>7,8</w:t>
      </w:r>
      <w:r w:rsidRPr="00000FF8">
        <w:rPr>
          <w:rFonts w:ascii="Arial" w:hAnsi="Arial" w:cs="Arial"/>
          <w:lang w:eastAsia="en-US"/>
        </w:rPr>
        <w:t xml:space="preserve">.  </w:t>
      </w:r>
      <w:r w:rsidRPr="00000FF8">
        <w:rPr>
          <w:rFonts w:ascii="Arial" w:hAnsi="Arial" w:cs="Arial"/>
          <w:color w:val="252525"/>
        </w:rPr>
        <w:t xml:space="preserve"> </w:t>
      </w:r>
    </w:p>
    <w:p w14:paraId="09578B7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3B3A6F">
        <w:rPr>
          <w:rFonts w:ascii="Arial" w:hAnsi="Arial" w:cs="Arial"/>
          <w:color w:val="000000" w:themeColor="text1"/>
          <w:highlight w:val="yellow"/>
        </w:rPr>
        <w:t>En el ensayo clínico internacional START</w:t>
      </w:r>
      <w:r w:rsidRPr="00000FF8">
        <w:rPr>
          <w:rFonts w:ascii="Arial" w:hAnsi="Arial" w:cs="Arial"/>
          <w:color w:val="000000" w:themeColor="text1"/>
        </w:rPr>
        <w:t xml:space="preserve"> (</w:t>
      </w:r>
      <w:r w:rsidRPr="00000FF8">
        <w:rPr>
          <w:rFonts w:ascii="Arial" w:hAnsi="Arial" w:cs="Arial"/>
          <w:i/>
          <w:iCs/>
          <w:color w:val="000000" w:themeColor="text1"/>
        </w:rPr>
        <w:t>Strategic Timing of AntiRetroviral Treatment</w:t>
      </w:r>
      <w:r w:rsidRPr="00000FF8">
        <w:rPr>
          <w:rFonts w:ascii="Arial" w:hAnsi="Arial" w:cs="Arial"/>
          <w:color w:val="000000" w:themeColor="text1"/>
        </w:rPr>
        <w:t>)</w:t>
      </w:r>
      <w:r w:rsidRPr="00000FF8">
        <w:rPr>
          <w:rFonts w:ascii="Arial" w:hAnsi="Arial" w:cs="Arial"/>
          <w:noProof/>
          <w:color w:val="000000" w:themeColor="text1"/>
          <w:vertAlign w:val="superscript"/>
        </w:rPr>
        <w:t>7</w:t>
      </w:r>
      <w:r w:rsidRPr="00000FF8">
        <w:rPr>
          <w:rFonts w:ascii="Arial" w:hAnsi="Arial" w:cs="Arial"/>
          <w:color w:val="000000" w:themeColor="text1"/>
        </w:rPr>
        <w:t xml:space="preserve">, </w:t>
      </w:r>
      <w:r w:rsidRPr="003B3A6F">
        <w:rPr>
          <w:rFonts w:ascii="Arial" w:hAnsi="Arial" w:cs="Arial"/>
          <w:color w:val="000000" w:themeColor="text1"/>
          <w:highlight w:val="yellow"/>
        </w:rPr>
        <w:t>en el que participaron centros</w:t>
      </w:r>
      <w:r w:rsidRPr="00000FF8">
        <w:rPr>
          <w:rFonts w:ascii="Arial" w:hAnsi="Arial" w:cs="Arial"/>
          <w:color w:val="000000" w:themeColor="text1"/>
        </w:rPr>
        <w:t xml:space="preserve"> de 35 países, </w:t>
      </w:r>
      <w:r w:rsidRPr="003B3A6F">
        <w:rPr>
          <w:rFonts w:ascii="Arial" w:hAnsi="Arial" w:cs="Arial"/>
          <w:color w:val="000000" w:themeColor="text1"/>
          <w:highlight w:val="yellow"/>
        </w:rPr>
        <w:t>se incluyeron</w:t>
      </w:r>
      <w:r w:rsidRPr="00000FF8">
        <w:rPr>
          <w:rFonts w:ascii="Arial" w:hAnsi="Arial" w:cs="Arial"/>
          <w:color w:val="000000" w:themeColor="text1"/>
        </w:rPr>
        <w:t xml:space="preserve"> 4.685 personas infectadas por el VIH-1 que presentaban una cifra de linfocitos CD4+ confirmada superior a 500/µL, y fueron seguidas durante un tiempo medio de 3 años. Los pacientes se asignaron aleatoriamente a iniciar TAR de forma inmediata o a diferirlo hasta que el recuento de linfocitos CD4+ fuera inferior a 350/µL. La mediana de CD4+ basal fue de 651 células/µL y la mediana de CVP de 12.759 copias/mL. Hay que destacar que en la rama de tratamiento diferido un 48% de los pacientes iniciaron el TAR durante el estudio y que lo hicieron con una mediana de linfocitos CD4+ de 408 células/µL, una cifra superior a la estipulada por el protocolo del estudio. En la mayoría de estos pacientes (69%) no había ocurrido ningún evento clínico y el inicio se justificó por el criterio del investigador o deseo del paciente. </w:t>
      </w:r>
    </w:p>
    <w:p w14:paraId="7E8E398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3B3A6F">
        <w:rPr>
          <w:rFonts w:ascii="Arial" w:hAnsi="Arial" w:cs="Arial"/>
          <w:color w:val="000000" w:themeColor="text1"/>
          <w:highlight w:val="yellow"/>
        </w:rPr>
        <w:t>La variable de evaluación principal</w:t>
      </w:r>
      <w:r w:rsidRPr="00000FF8">
        <w:rPr>
          <w:rFonts w:ascii="Arial" w:hAnsi="Arial" w:cs="Arial"/>
          <w:color w:val="000000" w:themeColor="text1"/>
        </w:rPr>
        <w:t xml:space="preserve"> fue la proporción de pacientes que presentaban un evento definitorio de </w:t>
      </w:r>
      <w:r w:rsidRPr="003B3A6F">
        <w:rPr>
          <w:rFonts w:ascii="Arial" w:hAnsi="Arial" w:cs="Arial"/>
          <w:color w:val="000000" w:themeColor="text1"/>
          <w:highlight w:val="yellow"/>
        </w:rPr>
        <w:t>SIDA</w:t>
      </w:r>
      <w:r w:rsidRPr="00000FF8">
        <w:rPr>
          <w:rFonts w:ascii="Arial" w:hAnsi="Arial" w:cs="Arial"/>
          <w:color w:val="000000" w:themeColor="text1"/>
        </w:rPr>
        <w:t xml:space="preserve">, una complicación grave no asociada a </w:t>
      </w:r>
      <w:r w:rsidRPr="003B3A6F">
        <w:rPr>
          <w:rFonts w:ascii="Arial" w:hAnsi="Arial" w:cs="Arial"/>
          <w:color w:val="000000" w:themeColor="text1"/>
          <w:highlight w:val="yellow"/>
        </w:rPr>
        <w:t>SIDA</w:t>
      </w:r>
      <w:r w:rsidRPr="00000FF8">
        <w:rPr>
          <w:rFonts w:ascii="Arial" w:hAnsi="Arial" w:cs="Arial"/>
          <w:color w:val="000000" w:themeColor="text1"/>
        </w:rPr>
        <w:t xml:space="preserve"> o muerte por cualquier motivo. Este criterio ocurrió en el 1,8% de los pacientes que iniciaron tratamiento de forma inmediata y en el 4,1% de los que lo difirieron (una reducción de riesgo del 57% [IC95%: 38% a 70%]). Esta diferencia fue considerada suficientemente importante y consistente como para que el estudio fuese interrumpido por el comité de seguridad y se recomendase </w:t>
      </w:r>
      <w:r w:rsidRPr="00000FF8">
        <w:rPr>
          <w:rFonts w:ascii="Arial" w:hAnsi="Arial" w:cs="Arial"/>
          <w:color w:val="000000" w:themeColor="text1"/>
        </w:rPr>
        <w:lastRenderedPageBreak/>
        <w:t xml:space="preserve">ofrecer TAR a todos los pacientes que aún no lo recibían. Las mayores diferencias se produjeron en el riesgo de aparición de complicaciones graves relacionadas con SIDA (un 72% menor en los que iniciaron tratamiento inmediato [IC95%: 50% a 85%]), principalmente tuberculosis (TB) y tumores, aunque también se observó una reducción de riesgo de eventos graves no relacionados con </w:t>
      </w:r>
      <w:r w:rsidRPr="00F8772D">
        <w:rPr>
          <w:rFonts w:ascii="Arial" w:hAnsi="Arial" w:cs="Arial"/>
          <w:color w:val="000000" w:themeColor="text1"/>
          <w:highlight w:val="yellow"/>
        </w:rPr>
        <w:t>SIDA</w:t>
      </w:r>
      <w:r w:rsidRPr="00000FF8">
        <w:rPr>
          <w:rFonts w:ascii="Arial" w:hAnsi="Arial" w:cs="Arial"/>
          <w:color w:val="000000" w:themeColor="text1"/>
        </w:rPr>
        <w:t xml:space="preserve"> en los pacientes que iniciaron precozmente el tratamiento (39% [IC95%: 3% a 62%]. En los pacientes con tratamiento precoz, la reducción del riesgo de cualquier cáncer (relacionado o no con el sida) fue del 64% [IC95%: 34% a 81%]. El número de fallecidos por cualquier causa fue numéricamente menor en el grupo de tratamiento precoz (12 [0,5%] </w:t>
      </w:r>
      <w:r w:rsidRPr="00000FF8">
        <w:rPr>
          <w:rFonts w:ascii="Arial" w:hAnsi="Arial" w:cs="Arial"/>
          <w:i/>
          <w:color w:val="000000" w:themeColor="text1"/>
        </w:rPr>
        <w:t>vs</w:t>
      </w:r>
      <w:r w:rsidRPr="00000FF8">
        <w:rPr>
          <w:rFonts w:ascii="Arial" w:hAnsi="Arial" w:cs="Arial"/>
          <w:color w:val="000000" w:themeColor="text1"/>
        </w:rPr>
        <w:t>. 21 [0,9%]), sin embargo, los escasos eventos observados no permiten obtener conclusiones a este respecto.</w:t>
      </w:r>
    </w:p>
    <w:p w14:paraId="3142066D"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000FF8">
        <w:rPr>
          <w:rFonts w:ascii="Arial" w:hAnsi="Arial" w:cs="Arial"/>
          <w:color w:val="000000" w:themeColor="text1"/>
        </w:rPr>
        <w:t xml:space="preserve">La mayoría de eventos (68%) ocurrieron mientras los pacientes mantenían cifras de linfocitos CD4+ mayores de 500/µL, lo que refuerza la recomendación de iniciar el TAR independientemente del recuento de linfocitos CD4+ y del valor de la CVP. </w:t>
      </w:r>
    </w:p>
    <w:p w14:paraId="4CFD4C5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000FF8">
        <w:rPr>
          <w:rFonts w:ascii="Arial" w:hAnsi="Arial" w:cs="Arial"/>
          <w:color w:val="000000" w:themeColor="text1"/>
          <w:highlight w:val="yellow"/>
        </w:rPr>
        <w:t>Un subanálisis de este estudio, en el que se dividieron los pacientes en tres grupos en función del tiempo estimado desde la infección (&lt;6 meses, 6-24 meses y &gt;24 meses), ha mostrado que las diferencias en la recuperación de la cifra de linfocitos CD4+ a lo largo del seguimiento entre las ramas de TAR inmediato y diferido fueron significativamente superiores en el grupo de personas con infección reciente (&lt;6 meses) en comparación con los grupos de mayor tiempo de infección</w:t>
      </w:r>
      <w:r w:rsidRPr="00000FF8">
        <w:rPr>
          <w:rFonts w:ascii="Arial" w:hAnsi="Arial" w:cs="Arial"/>
          <w:color w:val="000000" w:themeColor="text1"/>
          <w:highlight w:val="yellow"/>
          <w:lang w:val="es-ES_tradnl"/>
        </w:rPr>
        <w:t>. De igual manera, la tasa de descenso de CD4+ por debajo de 350 células/µL o progresión a SIDA en la rama de TAR diferido fue mayor en el grupo de infección reciente</w:t>
      </w:r>
      <w:r w:rsidRPr="00000FF8">
        <w:rPr>
          <w:rFonts w:ascii="Arial" w:hAnsi="Arial" w:cs="Arial"/>
          <w:color w:val="000000" w:themeColor="text1"/>
          <w:highlight w:val="yellow"/>
          <w:vertAlign w:val="superscript"/>
          <w:lang w:val="es-ES_tradnl"/>
        </w:rPr>
        <w:t>8</w:t>
      </w:r>
      <w:r w:rsidRPr="00000FF8">
        <w:rPr>
          <w:rFonts w:ascii="Arial" w:hAnsi="Arial" w:cs="Arial"/>
          <w:color w:val="000000" w:themeColor="text1"/>
          <w:lang w:val="es-ES_tradnl"/>
        </w:rPr>
        <w:t>.</w:t>
      </w:r>
    </w:p>
    <w:p w14:paraId="2C6700D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lang w:val="es-ES_tradnl"/>
        </w:rPr>
      </w:pPr>
      <w:r w:rsidRPr="00000FF8">
        <w:rPr>
          <w:rFonts w:ascii="Arial" w:hAnsi="Arial" w:cs="Arial"/>
          <w:color w:val="000000" w:themeColor="text1"/>
        </w:rPr>
        <w:t>El estudio TEMPRANO</w:t>
      </w:r>
      <w:r w:rsidRPr="004B3EEF">
        <w:rPr>
          <w:rFonts w:ascii="Arial" w:hAnsi="Arial" w:cs="Arial"/>
          <w:noProof/>
          <w:color w:val="000000" w:themeColor="text1"/>
          <w:highlight w:val="yellow"/>
          <w:vertAlign w:val="superscript"/>
        </w:rPr>
        <w:t>9</w:t>
      </w:r>
      <w:r w:rsidRPr="00000FF8">
        <w:rPr>
          <w:rFonts w:ascii="Arial" w:hAnsi="Arial" w:cs="Arial"/>
          <w:color w:val="000000" w:themeColor="text1"/>
        </w:rPr>
        <w:t xml:space="preserve"> </w:t>
      </w:r>
      <w:r w:rsidRPr="00000FF8">
        <w:rPr>
          <w:rFonts w:ascii="Arial" w:hAnsi="Arial" w:cs="Arial"/>
          <w:color w:val="000000"/>
        </w:rPr>
        <w:t xml:space="preserve">se llevó a cabo en Costa de Marfil. Se </w:t>
      </w:r>
      <w:r w:rsidRPr="00F8772D">
        <w:rPr>
          <w:rFonts w:ascii="Arial" w:hAnsi="Arial" w:cs="Arial"/>
          <w:color w:val="000000"/>
          <w:highlight w:val="yellow"/>
        </w:rPr>
        <w:t>incluyeron</w:t>
      </w:r>
      <w:r w:rsidRPr="00000FF8">
        <w:rPr>
          <w:rFonts w:ascii="Arial" w:hAnsi="Arial" w:cs="Arial"/>
          <w:color w:val="000000"/>
        </w:rPr>
        <w:t xml:space="preserve"> 2.056 pacientes sin </w:t>
      </w:r>
      <w:r w:rsidRPr="00F8772D">
        <w:rPr>
          <w:rFonts w:ascii="Arial" w:hAnsi="Arial" w:cs="Arial"/>
          <w:color w:val="000000"/>
          <w:highlight w:val="yellow"/>
        </w:rPr>
        <w:t>TAR</w:t>
      </w:r>
      <w:r w:rsidRPr="00000FF8">
        <w:rPr>
          <w:rFonts w:ascii="Arial" w:hAnsi="Arial" w:cs="Arial"/>
          <w:color w:val="000000"/>
        </w:rPr>
        <w:t xml:space="preserve"> previo y </w:t>
      </w:r>
      <w:r w:rsidRPr="00F8772D">
        <w:rPr>
          <w:rFonts w:ascii="Arial" w:hAnsi="Arial" w:cs="Arial"/>
          <w:color w:val="000000"/>
          <w:highlight w:val="yellow"/>
        </w:rPr>
        <w:t>una cifra</w:t>
      </w:r>
      <w:r w:rsidRPr="00000FF8">
        <w:rPr>
          <w:rFonts w:ascii="Arial" w:hAnsi="Arial" w:cs="Arial"/>
          <w:color w:val="000000"/>
        </w:rPr>
        <w:t xml:space="preserve"> de linfocitos CD4+ inferior a 800</w:t>
      </w:r>
      <w:r w:rsidRPr="00000FF8">
        <w:rPr>
          <w:rFonts w:ascii="Arial" w:hAnsi="Arial" w:cs="Arial"/>
          <w:color w:val="252525"/>
        </w:rPr>
        <w:t xml:space="preserve">/µL </w:t>
      </w:r>
      <w:r w:rsidRPr="00F8772D">
        <w:rPr>
          <w:rFonts w:ascii="Arial" w:hAnsi="Arial" w:cs="Arial"/>
          <w:color w:val="252525"/>
          <w:highlight w:val="yellow"/>
        </w:rPr>
        <w:t>que se asignaron aleatoriamente</w:t>
      </w:r>
      <w:r w:rsidRPr="00000FF8">
        <w:rPr>
          <w:rFonts w:ascii="Arial" w:hAnsi="Arial" w:cs="Arial"/>
          <w:color w:val="252525"/>
        </w:rPr>
        <w:t xml:space="preserve"> </w:t>
      </w:r>
      <w:r w:rsidRPr="00000FF8">
        <w:rPr>
          <w:rFonts w:ascii="Arial" w:hAnsi="Arial" w:cs="Arial"/>
          <w:color w:val="000000"/>
        </w:rPr>
        <w:t xml:space="preserve">a recibir TAR de forma inmediata o a diferirlo hasta presentar criterios de tratamiento de acuerdo con las recomendaciones de la OMS vigentes en cada momento. Simultáneamente, y con un diseño cruzado, se estudió el impacto de prescribir o no isoniazida. </w:t>
      </w:r>
      <w:r w:rsidRPr="0090354B">
        <w:rPr>
          <w:rFonts w:ascii="Arial" w:hAnsi="Arial" w:cs="Arial"/>
          <w:color w:val="000000"/>
          <w:highlight w:val="yellow"/>
        </w:rPr>
        <w:t>La variable de evaluación principal</w:t>
      </w:r>
      <w:r w:rsidRPr="00000FF8">
        <w:rPr>
          <w:rFonts w:ascii="Arial" w:hAnsi="Arial" w:cs="Arial"/>
          <w:color w:val="000000"/>
        </w:rPr>
        <w:t xml:space="preserve"> fue el desarrollo de SIDA, de cáncer no asociado a </w:t>
      </w:r>
      <w:r w:rsidRPr="0090354B">
        <w:rPr>
          <w:rFonts w:ascii="Arial" w:hAnsi="Arial" w:cs="Arial"/>
          <w:color w:val="000000"/>
          <w:highlight w:val="yellow"/>
        </w:rPr>
        <w:t>SIDA</w:t>
      </w:r>
      <w:r w:rsidRPr="00000FF8">
        <w:rPr>
          <w:rFonts w:ascii="Arial" w:hAnsi="Arial" w:cs="Arial"/>
          <w:color w:val="000000"/>
        </w:rPr>
        <w:t xml:space="preserve">, de enfermedad bacteriana invasiva o muerte por cualquier causa en un periodo de 30 meses. </w:t>
      </w:r>
    </w:p>
    <w:p w14:paraId="06984AB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lang w:val="es-ES_tradnl"/>
        </w:rPr>
      </w:pPr>
      <w:r w:rsidRPr="00000FF8">
        <w:rPr>
          <w:rFonts w:ascii="Arial" w:hAnsi="Arial" w:cs="Arial"/>
          <w:color w:val="000000" w:themeColor="text1"/>
        </w:rPr>
        <w:t xml:space="preserve">La mediana de linfocitos CD4+ en el momento de la inclusión fue de 460 células/µL. El inicio inmediato de TAR se relacionó con una disminución de eventos principales del 44% (IC95%: 24 a 59%). Cuando se analizaron por separado los pacientes que entraron en el estudio con una cifra de linfocitos CD4+ superior a 500/µL (n=849), el inicio inmediato se asoció con un descenso del riesgo de presentar alguno de los eventos primarios en los 30 meses siguientes del 44% (IC95%: 6 a 67%), a pesar de que durante el estudio un 41% de los pacientes asignados a diferir el </w:t>
      </w:r>
      <w:r w:rsidRPr="0090354B">
        <w:rPr>
          <w:rFonts w:ascii="Arial" w:hAnsi="Arial" w:cs="Arial"/>
          <w:color w:val="000000" w:themeColor="text1"/>
          <w:highlight w:val="yellow"/>
        </w:rPr>
        <w:t>TAR lo iniciaron igualmente</w:t>
      </w:r>
      <w:r w:rsidRPr="00000FF8">
        <w:rPr>
          <w:rFonts w:ascii="Arial" w:hAnsi="Arial" w:cs="Arial"/>
          <w:color w:val="000000" w:themeColor="text1"/>
        </w:rPr>
        <w:t xml:space="preserve">, y la mediana </w:t>
      </w:r>
      <w:r w:rsidRPr="00000FF8">
        <w:rPr>
          <w:rFonts w:ascii="Arial" w:hAnsi="Arial" w:cs="Arial"/>
          <w:color w:val="000000" w:themeColor="text1"/>
        </w:rPr>
        <w:lastRenderedPageBreak/>
        <w:t xml:space="preserve">de linfocitos CD4+ </w:t>
      </w:r>
      <w:r w:rsidRPr="0090354B">
        <w:rPr>
          <w:rFonts w:ascii="Arial" w:hAnsi="Arial" w:cs="Arial"/>
          <w:color w:val="000000" w:themeColor="text1"/>
          <w:highlight w:val="yellow"/>
        </w:rPr>
        <w:t>no fue en ningún momento del seguimiento inferior a</w:t>
      </w:r>
      <w:r w:rsidRPr="00000FF8">
        <w:rPr>
          <w:rFonts w:ascii="Arial" w:hAnsi="Arial" w:cs="Arial"/>
          <w:color w:val="000000" w:themeColor="text1"/>
        </w:rPr>
        <w:t xml:space="preserve"> 500 células/µL. Al igual que en el estudio START, la mayoría de los eventos en este subgrupo se produjeron con recuentos de linfocitos CD4+ superiores a 500/µL.</w:t>
      </w:r>
    </w:p>
    <w:p w14:paraId="1B78208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000FF8">
        <w:rPr>
          <w:rFonts w:ascii="Arial" w:hAnsi="Arial" w:cs="Arial"/>
          <w:color w:val="000000" w:themeColor="text1"/>
        </w:rPr>
        <w:t xml:space="preserve">Ambos estudios </w:t>
      </w:r>
      <w:r w:rsidRPr="004B3EEF">
        <w:rPr>
          <w:rFonts w:ascii="Arial" w:hAnsi="Arial" w:cs="Arial"/>
          <w:color w:val="000000" w:themeColor="text1"/>
          <w:highlight w:val="yellow"/>
        </w:rPr>
        <w:t>apoyan</w:t>
      </w:r>
      <w:r w:rsidRPr="00000FF8">
        <w:rPr>
          <w:rFonts w:ascii="Arial" w:hAnsi="Arial" w:cs="Arial"/>
          <w:color w:val="000000" w:themeColor="text1"/>
        </w:rPr>
        <w:t xml:space="preserve"> la recomendación de iniciar el TAR </w:t>
      </w:r>
      <w:r w:rsidRPr="004B3EEF">
        <w:rPr>
          <w:rFonts w:ascii="Arial" w:hAnsi="Arial" w:cs="Arial"/>
          <w:color w:val="000000" w:themeColor="text1"/>
          <w:highlight w:val="yellow"/>
        </w:rPr>
        <w:t>lo antes posible incluso en pacientes con cifras de linfocitos CD4+ superiores a 500/µL o infección reciente</w:t>
      </w:r>
      <w:r w:rsidRPr="00000FF8">
        <w:rPr>
          <w:rFonts w:ascii="Arial" w:hAnsi="Arial" w:cs="Arial"/>
          <w:color w:val="000000" w:themeColor="text1"/>
        </w:rPr>
        <w:t xml:space="preserve">. </w:t>
      </w:r>
    </w:p>
    <w:p w14:paraId="6A85D70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000FF8">
        <w:rPr>
          <w:rFonts w:ascii="Arial" w:hAnsi="Arial" w:cs="Arial"/>
          <w:color w:val="000000" w:themeColor="text1"/>
        </w:rPr>
        <w:t xml:space="preserve">Por otra parte, </w:t>
      </w:r>
      <w:r w:rsidRPr="004B3EEF">
        <w:rPr>
          <w:rFonts w:ascii="Arial" w:hAnsi="Arial" w:cs="Arial"/>
          <w:color w:val="000000" w:themeColor="text1"/>
          <w:highlight w:val="yellow"/>
        </w:rPr>
        <w:t>se ha demostrado que el inicio del TAR se asocia con un menor riesgo de transmisión del VIH y reducción de nuevas infecciones</w:t>
      </w:r>
      <w:r w:rsidRPr="00000FF8">
        <w:rPr>
          <w:rFonts w:ascii="Arial" w:hAnsi="Arial" w:cs="Arial"/>
          <w:noProof/>
          <w:color w:val="000000" w:themeColor="text1"/>
          <w:vertAlign w:val="superscript"/>
        </w:rPr>
        <w:t>6</w:t>
      </w:r>
      <w:r w:rsidRPr="00000FF8">
        <w:rPr>
          <w:rFonts w:ascii="Arial" w:hAnsi="Arial" w:cs="Arial"/>
          <w:color w:val="000000" w:themeColor="text1"/>
        </w:rPr>
        <w:t xml:space="preserve">. </w:t>
      </w:r>
    </w:p>
    <w:p w14:paraId="2B961F0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themeColor="text1"/>
        </w:rPr>
      </w:pPr>
      <w:r w:rsidRPr="00000FF8">
        <w:rPr>
          <w:rFonts w:ascii="Arial" w:hAnsi="Arial" w:cs="Arial"/>
          <w:color w:val="000000" w:themeColor="text1"/>
        </w:rPr>
        <w:t>Varios ensayos clínicos realizados en países de recursos económicos limitados han mostrado que el inicio rápido del TAR (el mismo día del diagnóstico o en la primera semana) favorece la retención de los pacientes en la asistencia e incrementa la proporción de pacientes con supresión virológica</w:t>
      </w:r>
      <w:r w:rsidRPr="004B3EEF">
        <w:rPr>
          <w:rFonts w:ascii="Arial" w:hAnsi="Arial" w:cs="Arial"/>
          <w:color w:val="000000" w:themeColor="text1"/>
          <w:highlight w:val="yellow"/>
          <w:vertAlign w:val="superscript"/>
        </w:rPr>
        <w:t>10</w:t>
      </w:r>
      <w:r w:rsidRPr="00000FF8">
        <w:rPr>
          <w:rFonts w:ascii="Arial" w:hAnsi="Arial" w:cs="Arial"/>
          <w:color w:val="000000" w:themeColor="text1"/>
        </w:rPr>
        <w:t>. Es difícil establecer si el impacto de dicha medida es el mismo en países con mayores recursos y grandes diferencias en la estructura socio-sanitaria. Sin embargo, algunas experiencias observacionales en Londres</w:t>
      </w:r>
      <w:r w:rsidRPr="004B3EEF">
        <w:rPr>
          <w:rFonts w:ascii="Arial" w:hAnsi="Arial" w:cs="Arial"/>
          <w:color w:val="000000" w:themeColor="text1"/>
          <w:highlight w:val="yellow"/>
          <w:vertAlign w:val="superscript"/>
        </w:rPr>
        <w:t>11</w:t>
      </w:r>
      <w:r w:rsidRPr="00000FF8">
        <w:rPr>
          <w:rFonts w:ascii="Arial" w:hAnsi="Arial" w:cs="Arial"/>
          <w:color w:val="000000" w:themeColor="text1"/>
        </w:rPr>
        <w:t>, San Diego</w:t>
      </w:r>
      <w:r w:rsidRPr="004B3EEF">
        <w:rPr>
          <w:rFonts w:ascii="Arial" w:hAnsi="Arial" w:cs="Arial"/>
          <w:color w:val="000000" w:themeColor="text1"/>
          <w:highlight w:val="yellow"/>
          <w:vertAlign w:val="superscript"/>
        </w:rPr>
        <w:t>12</w:t>
      </w:r>
      <w:r w:rsidRPr="00000FF8">
        <w:rPr>
          <w:rFonts w:ascii="Arial" w:hAnsi="Arial" w:cs="Arial"/>
          <w:color w:val="000000" w:themeColor="text1"/>
        </w:rPr>
        <w:t xml:space="preserve"> y San Francisco</w:t>
      </w:r>
      <w:r w:rsidRPr="004B3EEF">
        <w:rPr>
          <w:rFonts w:ascii="Arial" w:hAnsi="Arial" w:cs="Arial"/>
          <w:color w:val="000000" w:themeColor="text1"/>
          <w:highlight w:val="yellow"/>
          <w:vertAlign w:val="superscript"/>
        </w:rPr>
        <w:t>13</w:t>
      </w:r>
      <w:r w:rsidRPr="00000FF8">
        <w:rPr>
          <w:rFonts w:ascii="Arial" w:hAnsi="Arial" w:cs="Arial"/>
          <w:color w:val="000000" w:themeColor="text1"/>
        </w:rPr>
        <w:t xml:space="preserve">, parecen confirmar la factibilidad del inicio rápido del tratamiento, consiguiendo un control virológico más rápido, lo que podría tener implicaciones de salud pública al disminuir la transmisibilidad. </w:t>
      </w:r>
    </w:p>
    <w:p w14:paraId="393104F8" w14:textId="77777777" w:rsidR="001B5265" w:rsidRPr="00707745" w:rsidRDefault="001B5265" w:rsidP="001B5265">
      <w:pPr>
        <w:widowControl w:val="0"/>
        <w:autoSpaceDE w:val="0"/>
        <w:autoSpaceDN w:val="0"/>
        <w:adjustRightInd w:val="0"/>
        <w:spacing w:line="276" w:lineRule="auto"/>
        <w:jc w:val="both"/>
        <w:rPr>
          <w:rFonts w:ascii="Arial" w:hAnsi="Arial" w:cs="Arial"/>
          <w:color w:val="000000"/>
          <w:highlight w:val="yellow"/>
          <w:lang w:val="es-ES_tradnl"/>
        </w:rPr>
      </w:pPr>
      <w:r w:rsidRPr="00707745">
        <w:rPr>
          <w:rFonts w:ascii="Arial" w:hAnsi="Arial" w:cs="Arial"/>
          <w:color w:val="000000"/>
          <w:highlight w:val="yellow"/>
          <w:lang w:val="es-ES_tradnl"/>
        </w:rPr>
        <w:t xml:space="preserve">Hasta el momento sólo un ensayo clínico ha evaluado de forma específica la eficacia de una pauta de TAR como tratamiento de inicio rápido. Se trata de un   </w:t>
      </w:r>
    </w:p>
    <w:p w14:paraId="28986521" w14:textId="77777777" w:rsidR="001B5265" w:rsidRPr="00000FF8" w:rsidRDefault="001B5265" w:rsidP="001B5265">
      <w:pPr>
        <w:widowControl w:val="0"/>
        <w:autoSpaceDE w:val="0"/>
        <w:autoSpaceDN w:val="0"/>
        <w:adjustRightInd w:val="0"/>
        <w:spacing w:line="276" w:lineRule="auto"/>
        <w:jc w:val="both"/>
        <w:rPr>
          <w:rFonts w:ascii="Arial" w:hAnsi="Arial" w:cs="Arial"/>
          <w:color w:val="000000"/>
        </w:rPr>
      </w:pPr>
      <w:r w:rsidRPr="00707745">
        <w:rPr>
          <w:rFonts w:ascii="Arial" w:hAnsi="Arial" w:cs="Arial"/>
          <w:color w:val="000000"/>
          <w:highlight w:val="yellow"/>
        </w:rPr>
        <w:t xml:space="preserve">ensayo clínico no comparativo, realizado en Estados Unidos, que evaluó en 109 pacientes la eficacia de DRV/c/FTC/TAF iniciado </w:t>
      </w:r>
      <w:r w:rsidRPr="00707745">
        <w:rPr>
          <w:rFonts w:ascii="Arial" w:hAnsi="Arial" w:cs="Arial"/>
          <w:color w:val="000000"/>
        </w:rPr>
        <w:t>en los primeros 14 días tras el diagnóstico, antes de disponer de las determinaciones basales de laboratorio</w:t>
      </w:r>
      <w:r w:rsidRPr="00707745">
        <w:rPr>
          <w:rFonts w:ascii="Arial" w:hAnsi="Arial" w:cs="Arial"/>
          <w:color w:val="000000"/>
          <w:highlight w:val="yellow"/>
        </w:rPr>
        <w:t xml:space="preserve">. Este tratamiento mostró una eficacia elevada con CVP &lt;50 copias/mL en el 84% de los pacientes a las 48 semanas en el análisis </w:t>
      </w:r>
      <w:r w:rsidRPr="00707745">
        <w:rPr>
          <w:rFonts w:ascii="Arial" w:hAnsi="Arial" w:cs="Arial"/>
          <w:i/>
          <w:color w:val="000000"/>
          <w:highlight w:val="yellow"/>
        </w:rPr>
        <w:t>snapshot</w:t>
      </w:r>
      <w:r w:rsidRPr="00707745">
        <w:rPr>
          <w:rFonts w:ascii="Arial" w:hAnsi="Arial" w:cs="Arial"/>
          <w:color w:val="000000"/>
          <w:highlight w:val="yellow"/>
        </w:rPr>
        <w:t xml:space="preserve"> y 96% en el análisis de datos observados (n=96), sin discontinuaciones por fracaso</w:t>
      </w:r>
      <w:r w:rsidRPr="00707745">
        <w:rPr>
          <w:rFonts w:ascii="Arial" w:hAnsi="Arial" w:cs="Arial"/>
          <w:color w:val="000000"/>
          <w:highlight w:val="yellow"/>
          <w:vertAlign w:val="superscript"/>
        </w:rPr>
        <w:t>15</w:t>
      </w:r>
      <w:r w:rsidRPr="00707745">
        <w:rPr>
          <w:rFonts w:ascii="Arial" w:hAnsi="Arial" w:cs="Arial"/>
          <w:color w:val="000000"/>
          <w:highlight w:val="yellow"/>
        </w:rPr>
        <w:t>.</w:t>
      </w:r>
    </w:p>
    <w:p w14:paraId="796C5DF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La implementación de la estrategia de inicio rápido </w:t>
      </w:r>
      <w:r w:rsidRPr="00707745">
        <w:rPr>
          <w:rFonts w:ascii="Arial" w:hAnsi="Arial" w:cs="Arial"/>
          <w:color w:val="000000"/>
          <w:highlight w:val="yellow"/>
        </w:rPr>
        <w:t>requiere disponibilidad de recursos</w:t>
      </w:r>
      <w:r w:rsidRPr="00000FF8">
        <w:rPr>
          <w:rFonts w:ascii="Arial" w:hAnsi="Arial" w:cs="Arial"/>
          <w:color w:val="000000"/>
        </w:rPr>
        <w:t xml:space="preserve"> y coordinación </w:t>
      </w:r>
      <w:r w:rsidRPr="00707745">
        <w:rPr>
          <w:rFonts w:ascii="Arial" w:hAnsi="Arial" w:cs="Arial"/>
          <w:color w:val="000000"/>
          <w:highlight w:val="yellow"/>
        </w:rPr>
        <w:t>de procedimientos</w:t>
      </w:r>
      <w:r w:rsidRPr="00000FF8">
        <w:rPr>
          <w:rFonts w:ascii="Arial" w:hAnsi="Arial" w:cs="Arial"/>
          <w:color w:val="000000"/>
        </w:rPr>
        <w:t xml:space="preserve"> entre los centros donde habitualmente se realiza el diagnóstico (atención primaria, urgencias, centros de ITS o recursos comunitarios) y las unidades de seguimiento de pacientes con infección por VIH, que a menudo no están disponibles. En cualquier caso, se deben evitar demoras </w:t>
      </w:r>
      <w:r w:rsidRPr="008447D0">
        <w:rPr>
          <w:rFonts w:ascii="Arial" w:hAnsi="Arial" w:cs="Arial"/>
          <w:color w:val="000000"/>
          <w:highlight w:val="yellow"/>
        </w:rPr>
        <w:t>innecesarias y favorecer el inició del TAR lo antes posible tras el diagnóstico.</w:t>
      </w:r>
      <w:r w:rsidRPr="00000FF8">
        <w:rPr>
          <w:rFonts w:ascii="Arial" w:hAnsi="Arial" w:cs="Arial"/>
          <w:color w:val="000000"/>
        </w:rPr>
        <w:t xml:space="preserve"> </w:t>
      </w:r>
    </w:p>
    <w:p w14:paraId="4D5D57F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252525"/>
        </w:rPr>
      </w:pPr>
      <w:r w:rsidRPr="00000FF8">
        <w:rPr>
          <w:rFonts w:ascii="Arial" w:hAnsi="Arial" w:cs="Arial"/>
          <w:color w:val="000000"/>
          <w:highlight w:val="yellow"/>
        </w:rPr>
        <w:t xml:space="preserve">En caso de plantearse el inicio del TAR de forma inmediata tras la confirmación del diagnóstico (inicio el mismo día) y, por tanto, sin disponer de toda la información de pruebas complementarias, </w:t>
      </w:r>
      <w:r w:rsidRPr="00000FF8">
        <w:rPr>
          <w:rFonts w:ascii="Arial" w:hAnsi="Arial" w:cs="Arial"/>
          <w:color w:val="000000"/>
          <w:highlight w:val="yellow"/>
          <w:lang w:val="es-ES_tradnl"/>
        </w:rPr>
        <w:t xml:space="preserve">la selección adecuada de la pauta de TAR es esencial para minimizar el riesgo de fracaso. Idealmente debe cumplir: facilidad de toma; buena tolerabilidad; no requerir estudio previo de HLA-B*5701; mínimo riesgo de interacciones farmacológicas; alta probabilidad de mantener actividad antiviral en presencia de CVP elevadas, cifras bajas de linfocitos T CD4+ o de virus con mutaciones de resistencia basales; y capacidad de suprimir </w:t>
      </w:r>
      <w:r w:rsidRPr="00000FF8">
        <w:rPr>
          <w:rFonts w:ascii="Arial" w:hAnsi="Arial" w:cs="Arial"/>
          <w:color w:val="000000"/>
          <w:highlight w:val="yellow"/>
          <w:lang w:val="es-ES_tradnl"/>
        </w:rPr>
        <w:lastRenderedPageBreak/>
        <w:t>VHB en caso de coinfección</w:t>
      </w:r>
      <w:r w:rsidRPr="00000FF8">
        <w:rPr>
          <w:rFonts w:ascii="Arial" w:hAnsi="Arial" w:cs="Arial"/>
          <w:color w:val="000000"/>
          <w:lang w:val="es-ES_tradnl"/>
        </w:rPr>
        <w:t xml:space="preserve"> </w:t>
      </w:r>
      <w:r w:rsidRPr="00000FF8">
        <w:rPr>
          <w:rFonts w:ascii="Arial" w:hAnsi="Arial" w:cs="Arial"/>
          <w:color w:val="000000"/>
          <w:highlight w:val="yellow"/>
          <w:lang w:val="es-ES_tradnl"/>
        </w:rPr>
        <w:t>por este virus</w:t>
      </w:r>
      <w:r w:rsidRPr="00000FF8">
        <w:rPr>
          <w:rFonts w:ascii="Arial" w:hAnsi="Arial" w:cs="Arial"/>
          <w:color w:val="000000"/>
          <w:lang w:val="es-ES_tradnl"/>
        </w:rPr>
        <w:t>.</w:t>
      </w:r>
    </w:p>
    <w:p w14:paraId="1104A887"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8447D0">
        <w:rPr>
          <w:rFonts w:ascii="Arial" w:hAnsi="Arial" w:cs="Arial"/>
          <w:color w:val="000000"/>
          <w:highlight w:val="yellow"/>
        </w:rPr>
        <w:t>Si por algún motivo se valorara</w:t>
      </w:r>
      <w:r w:rsidRPr="00000FF8">
        <w:rPr>
          <w:rFonts w:ascii="Arial" w:hAnsi="Arial" w:cs="Arial"/>
          <w:color w:val="000000"/>
        </w:rPr>
        <w:t xml:space="preserve"> posponer el inicio del TAR, se debe tener en cuenta que en algunos grupos de pacientes el tratamiento precoz puede aportar ventajas adicionales, como los que presentan una CVP &gt;50.000 copias/mL, cociente CD4/CD8 &lt;0,5, edad igual o mayor a 50 años</w:t>
      </w:r>
      <w:r w:rsidRPr="00000FF8">
        <w:rPr>
          <w:rFonts w:ascii="Arial" w:hAnsi="Arial" w:cs="Arial"/>
          <w:color w:val="000000"/>
          <w:vertAlign w:val="superscript"/>
        </w:rPr>
        <w:t>15</w:t>
      </w:r>
      <w:r w:rsidRPr="00000FF8">
        <w:rPr>
          <w:rFonts w:ascii="Arial" w:hAnsi="Arial" w:cs="Arial"/>
          <w:color w:val="000000"/>
        </w:rPr>
        <w:t xml:space="preserve">, pacientes con comorbilidades cuya progresión se ve facilitada por la propia infección por VIH-1 (como cirrosis hepática, hepatitis crónica por VHC, existencia de RCV elevado, los tumores no relacionados con el </w:t>
      </w:r>
      <w:r w:rsidRPr="00000FF8">
        <w:rPr>
          <w:rFonts w:ascii="Arial" w:hAnsi="Arial" w:cs="Arial"/>
          <w:color w:val="000000"/>
          <w:highlight w:val="yellow"/>
        </w:rPr>
        <w:t>SIDA</w:t>
      </w:r>
      <w:r w:rsidRPr="00000FF8">
        <w:rPr>
          <w:rFonts w:ascii="Arial" w:hAnsi="Arial" w:cs="Arial"/>
          <w:color w:val="000000"/>
        </w:rPr>
        <w:t xml:space="preserve"> y los trastornos neurocognitivos), así como en mujeres embarazadas, </w:t>
      </w:r>
      <w:r w:rsidRPr="008447D0">
        <w:rPr>
          <w:rFonts w:ascii="Arial" w:hAnsi="Arial" w:cs="Arial"/>
          <w:color w:val="000000"/>
        </w:rPr>
        <w:t>en</w:t>
      </w:r>
      <w:r w:rsidRPr="00000FF8">
        <w:rPr>
          <w:rFonts w:ascii="Arial" w:hAnsi="Arial" w:cs="Arial"/>
          <w:color w:val="000000"/>
        </w:rPr>
        <w:t xml:space="preserve"> la coinfección por VHB o las parejas serodiscordantes que deseen disminuir al máximo el riesgo de transmisión del VIH </w:t>
      </w:r>
      <w:r w:rsidRPr="00000FF8">
        <w:rPr>
          <w:rFonts w:ascii="Arial" w:eastAsia="MS Mincho" w:hAnsi="Arial" w:cs="Arial"/>
          <w:color w:val="00000A"/>
          <w:shd w:val="clear" w:color="auto" w:fill="FFFFFF"/>
        </w:rPr>
        <w:t>(indetectable = intransmisible)</w:t>
      </w:r>
      <w:r w:rsidRPr="00000FF8">
        <w:rPr>
          <w:rFonts w:ascii="Arial" w:hAnsi="Arial" w:cs="Arial"/>
          <w:color w:val="000000"/>
        </w:rPr>
        <w:t xml:space="preserve">.  </w:t>
      </w:r>
    </w:p>
    <w:p w14:paraId="7AC1F7F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252525"/>
        </w:rPr>
      </w:pPr>
      <w:r w:rsidRPr="00000FF8">
        <w:rPr>
          <w:rFonts w:ascii="Arial" w:hAnsi="Arial" w:cs="Arial"/>
          <w:color w:val="252525"/>
          <w:highlight w:val="yellow"/>
        </w:rPr>
        <w:t>Como excepción se consideran los pacientes que mantienen CVP indetectable de forma mantenida sin TAR (controladores de élite). En este caso no existe información suficiente que permita valorar el efecto beneficioso del TAR, por lo que no se puede establecer una recomendación al respecto.</w:t>
      </w:r>
    </w:p>
    <w:p w14:paraId="7E51BB87"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2094284D"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 xml:space="preserve">Recomendaciones </w:t>
      </w:r>
    </w:p>
    <w:p w14:paraId="6EDAC7FE" w14:textId="77777777" w:rsidR="001B5265" w:rsidRPr="00000FF8" w:rsidRDefault="001B5265" w:rsidP="001B5265">
      <w:pPr>
        <w:numPr>
          <w:ilvl w:val="0"/>
          <w:numId w:val="1"/>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Se recomienda la administración de TAR a todos los pacientes con infección por el VIH-1 para evitar la progresión de la enfermedad, limitar el efecto nocivo sobre posibles morbilidades coexistentes y disminuir la transmisión del virus </w:t>
      </w:r>
      <w:r w:rsidRPr="00000FF8">
        <w:rPr>
          <w:rFonts w:ascii="Arial" w:hAnsi="Arial" w:cs="Arial"/>
          <w:b/>
          <w:i/>
          <w:lang w:val="es-ES_tradnl" w:eastAsia="en-US"/>
        </w:rPr>
        <w:t>(A-I).</w:t>
      </w:r>
    </w:p>
    <w:p w14:paraId="5A375A0D" w14:textId="2474328D" w:rsidR="001B5265" w:rsidRPr="00A41C48" w:rsidRDefault="00A41C48" w:rsidP="00A41C48">
      <w:pPr>
        <w:pStyle w:val="Prrafodelista"/>
        <w:widowControl w:val="0"/>
        <w:numPr>
          <w:ilvl w:val="0"/>
          <w:numId w:val="1"/>
        </w:numPr>
        <w:autoSpaceDE w:val="0"/>
        <w:autoSpaceDN w:val="0"/>
        <w:adjustRightInd w:val="0"/>
        <w:rPr>
          <w:rFonts w:ascii="Arial" w:eastAsia="MS Mincho" w:hAnsi="Arial" w:cs="Arial"/>
          <w:color w:val="000000"/>
          <w:highlight w:val="yellow"/>
          <w:vertAlign w:val="superscript"/>
        </w:rPr>
      </w:pPr>
      <w:r w:rsidRPr="00A41C48">
        <w:rPr>
          <w:rFonts w:ascii="Arial" w:eastAsia="MS Mincho" w:hAnsi="Arial" w:cs="Arial"/>
          <w:color w:val="000000"/>
          <w:highlight w:val="yellow"/>
        </w:rPr>
        <w:t>Se recomienda iniciar el TAR tan pronto como sea posible tras el diagnóstico</w:t>
      </w:r>
      <w:r w:rsidRPr="00A41C48">
        <w:rPr>
          <w:rFonts w:ascii="Arial" w:eastAsia="MS Mincho" w:hAnsi="Arial" w:cs="Arial"/>
          <w:color w:val="000000"/>
          <w:highlight w:val="yellow"/>
          <w:vertAlign w:val="superscript"/>
        </w:rPr>
        <w:t xml:space="preserve"> </w:t>
      </w:r>
      <w:r w:rsidRPr="00A41C48">
        <w:rPr>
          <w:rFonts w:ascii="Arial" w:eastAsia="MS Mincho" w:hAnsi="Arial" w:cs="Arial"/>
          <w:b/>
          <w:i/>
          <w:color w:val="000000"/>
          <w:highlight w:val="yellow"/>
        </w:rPr>
        <w:t>(A-II)</w:t>
      </w:r>
    </w:p>
    <w:p w14:paraId="18868B74" w14:textId="5B2970FB" w:rsidR="001B5265" w:rsidRPr="00000FF8" w:rsidRDefault="001B5265" w:rsidP="001B5265">
      <w:pPr>
        <w:numPr>
          <w:ilvl w:val="0"/>
          <w:numId w:val="1"/>
        </w:numPr>
        <w:autoSpaceDE w:val="0"/>
        <w:autoSpaceDN w:val="0"/>
        <w:adjustRightInd w:val="0"/>
        <w:spacing w:before="120" w:after="120" w:line="276" w:lineRule="auto"/>
        <w:ind w:left="714" w:hanging="357"/>
        <w:jc w:val="both"/>
        <w:rPr>
          <w:rFonts w:ascii="Arial" w:hAnsi="Arial" w:cs="Arial"/>
          <w:lang w:val="es-ES_tradnl" w:eastAsia="en-US"/>
        </w:rPr>
      </w:pPr>
      <w:r w:rsidRPr="00000FF8">
        <w:rPr>
          <w:rFonts w:ascii="Arial" w:hAnsi="Arial" w:cs="Arial"/>
          <w:lang w:val="es-ES_tradnl" w:eastAsia="en-US"/>
        </w:rPr>
        <w:t>El inicio del TAR debe valorarse siempre individualmente</w:t>
      </w:r>
      <w:r w:rsidR="00265F42">
        <w:rPr>
          <w:rFonts w:ascii="Arial" w:hAnsi="Arial" w:cs="Arial"/>
          <w:lang w:val="es-ES_tradnl" w:eastAsia="en-US"/>
        </w:rPr>
        <w:t xml:space="preserve"> </w:t>
      </w:r>
      <w:r w:rsidR="00265F42" w:rsidRPr="00265F42">
        <w:rPr>
          <w:rFonts w:ascii="Arial" w:hAnsi="Arial" w:cs="Arial"/>
          <w:b/>
          <w:i/>
          <w:highlight w:val="yellow"/>
          <w:lang w:val="es-ES_tradnl" w:eastAsia="en-US"/>
        </w:rPr>
        <w:t>(A-III)</w:t>
      </w:r>
      <w:r w:rsidRPr="00265F42">
        <w:rPr>
          <w:rFonts w:ascii="Arial" w:hAnsi="Arial" w:cs="Arial"/>
          <w:highlight w:val="yellow"/>
          <w:lang w:val="es-ES_tradnl" w:eastAsia="en-US"/>
        </w:rPr>
        <w:t>.</w:t>
      </w:r>
      <w:r w:rsidRPr="00000FF8">
        <w:rPr>
          <w:rFonts w:ascii="Arial" w:hAnsi="Arial" w:cs="Arial"/>
          <w:lang w:val="es-ES_tradnl" w:eastAsia="en-US"/>
        </w:rPr>
        <w:t xml:space="preserve"> Se debe realizar siempre una determinación de linfocitos CD4+ y CVP previa al inicio del tratamiento, aunque no es imprescindible esperar hasta disponer de los </w:t>
      </w:r>
      <w:r w:rsidRPr="008447D0">
        <w:rPr>
          <w:rFonts w:ascii="Arial" w:hAnsi="Arial" w:cs="Arial"/>
          <w:lang w:val="es-ES_tradnl" w:eastAsia="en-US"/>
        </w:rPr>
        <w:t xml:space="preserve">resultados </w:t>
      </w:r>
      <w:r w:rsidRPr="008447D0">
        <w:rPr>
          <w:rFonts w:ascii="Arial" w:hAnsi="Arial" w:cs="Arial"/>
          <w:color w:val="000000"/>
          <w:shd w:val="clear" w:color="auto" w:fill="FFFF00"/>
        </w:rPr>
        <w:t>si se utiliza una pauta cuya recomendación no esté condicionada a sus valores</w:t>
      </w:r>
      <w:r w:rsidR="00265F42">
        <w:rPr>
          <w:rFonts w:ascii="Arial" w:hAnsi="Arial" w:cs="Arial"/>
          <w:color w:val="000000"/>
          <w:shd w:val="clear" w:color="auto" w:fill="FFFF00"/>
        </w:rPr>
        <w:t xml:space="preserve"> </w:t>
      </w:r>
      <w:r w:rsidR="00265F42" w:rsidRPr="00265F42">
        <w:rPr>
          <w:rFonts w:ascii="Arial" w:hAnsi="Arial" w:cs="Arial"/>
          <w:b/>
          <w:i/>
          <w:color w:val="000000"/>
          <w:shd w:val="clear" w:color="auto" w:fill="FFFF00"/>
        </w:rPr>
        <w:t>(A-III)</w:t>
      </w:r>
      <w:r w:rsidRPr="00265F42">
        <w:rPr>
          <w:rFonts w:ascii="Arial" w:hAnsi="Arial" w:cs="Arial"/>
          <w:b/>
          <w:i/>
          <w:lang w:val="es-ES_tradnl" w:eastAsia="en-US"/>
        </w:rPr>
        <w:t>.</w:t>
      </w:r>
      <w:r w:rsidRPr="008447D0">
        <w:rPr>
          <w:rFonts w:ascii="Arial" w:hAnsi="Arial" w:cs="Arial"/>
          <w:lang w:val="es-ES_tradnl" w:eastAsia="en-US"/>
        </w:rPr>
        <w:t xml:space="preserve"> Además, debe prepararse al paciente, proporcionándole información sobre</w:t>
      </w:r>
      <w:r w:rsidRPr="00000FF8">
        <w:rPr>
          <w:rFonts w:ascii="Arial" w:hAnsi="Arial" w:cs="Arial"/>
          <w:lang w:val="es-ES_tradnl" w:eastAsia="en-US"/>
        </w:rPr>
        <w:t xml:space="preserve"> los objetivos del tratamiento y las distintas opciones, seleccionando el esquema terapéutico que mejor se adapte al estilo de vida, comorbilidades, posibles interacciones, y valorando el riesgo de mala adherencia </w:t>
      </w:r>
      <w:r w:rsidRPr="00000FF8">
        <w:rPr>
          <w:rFonts w:ascii="Arial" w:hAnsi="Arial" w:cs="Arial"/>
          <w:b/>
          <w:i/>
          <w:lang w:val="es-ES_tradnl" w:eastAsia="en-US"/>
        </w:rPr>
        <w:t>(A-III).</w:t>
      </w:r>
    </w:p>
    <w:p w14:paraId="7CA095BD"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
          <w:bCs/>
          <w:color w:val="AE1C1F"/>
        </w:rPr>
      </w:pPr>
    </w:p>
    <w:p w14:paraId="379D6122"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
          <w:bCs/>
          <w:color w:val="AE1C1F"/>
        </w:rPr>
      </w:pPr>
      <w:r w:rsidRPr="00000FF8">
        <w:rPr>
          <w:rFonts w:ascii="Arial" w:hAnsi="Arial" w:cs="Arial"/>
          <w:b/>
          <w:bCs/>
          <w:color w:val="AE1C1F"/>
        </w:rPr>
        <w:t>3.2. Qué combinación de antirretrovirales debe utilizarse</w:t>
      </w:r>
    </w:p>
    <w:p w14:paraId="2BA4175D" w14:textId="77777777" w:rsidR="001B5265" w:rsidRPr="00000FF8" w:rsidRDefault="001B5265" w:rsidP="001B5265">
      <w:pPr>
        <w:autoSpaceDE w:val="0"/>
        <w:autoSpaceDN w:val="0"/>
        <w:adjustRightInd w:val="0"/>
        <w:spacing w:before="120" w:after="120" w:line="276" w:lineRule="auto"/>
        <w:jc w:val="both"/>
        <w:rPr>
          <w:rFonts w:ascii="Arial" w:hAnsi="Arial" w:cs="Arial"/>
          <w:color w:val="000000"/>
          <w:lang w:eastAsia="en-US"/>
        </w:rPr>
      </w:pPr>
      <w:r w:rsidRPr="00000FF8">
        <w:rPr>
          <w:rFonts w:ascii="Arial" w:hAnsi="Arial" w:cs="Arial"/>
          <w:color w:val="000000"/>
          <w:lang w:eastAsia="en-US"/>
        </w:rPr>
        <w:t>Las pautas recomendadas para el tratamiento inicial de la infección por el VIH-1 en el momento actual consisten en una combinación de dos o tres fármacos. Las pautas triples deben incluir dos ITIAN asociados a un INI, a un ITINN, o a un IP/p (</w:t>
      </w:r>
      <w:r w:rsidRPr="00000FF8">
        <w:rPr>
          <w:rFonts w:ascii="Arial" w:hAnsi="Arial" w:cs="Arial"/>
          <w:bCs/>
          <w:color w:val="000000"/>
          <w:lang w:eastAsia="en-US"/>
        </w:rPr>
        <w:t>Tabla 3</w:t>
      </w:r>
      <w:r w:rsidRPr="00000FF8">
        <w:rPr>
          <w:rFonts w:ascii="Arial" w:hAnsi="Arial" w:cs="Arial"/>
          <w:color w:val="000000"/>
          <w:lang w:eastAsia="en-US"/>
        </w:rPr>
        <w:t xml:space="preserve">). La única pauta doble recomendada en el momento actual como TAR de inicio consiste en la combinación de un ITIAN (3TC) y un INI (DTG). Con estas </w:t>
      </w:r>
      <w:r w:rsidRPr="00000FF8">
        <w:rPr>
          <w:rFonts w:ascii="Arial" w:hAnsi="Arial" w:cs="Arial"/>
          <w:color w:val="000000"/>
          <w:lang w:eastAsia="en-US"/>
        </w:rPr>
        <w:lastRenderedPageBreak/>
        <w:t xml:space="preserve">combinaciones se puede conseguir una CVP inferior a 50 copias/mL en más del 85% de los casos a las 48 semanas de tratamiento. </w:t>
      </w:r>
    </w:p>
    <w:p w14:paraId="51212599" w14:textId="64117258" w:rsidR="001B5265" w:rsidRPr="00000FF8" w:rsidRDefault="00265F42" w:rsidP="001B5265">
      <w:pPr>
        <w:autoSpaceDE w:val="0"/>
        <w:autoSpaceDN w:val="0"/>
        <w:adjustRightInd w:val="0"/>
        <w:spacing w:before="120" w:after="120" w:line="276" w:lineRule="auto"/>
        <w:jc w:val="both"/>
        <w:rPr>
          <w:rFonts w:ascii="Arial" w:hAnsi="Arial" w:cs="Arial"/>
          <w:color w:val="000000"/>
          <w:lang w:eastAsia="en-US"/>
        </w:rPr>
      </w:pPr>
      <w:r w:rsidRPr="00265F42">
        <w:rPr>
          <w:rFonts w:ascii="Arial" w:hAnsi="Arial" w:cs="Arial"/>
          <w:color w:val="000000"/>
          <w:highlight w:val="yellow"/>
          <w:lang w:eastAsia="en-US"/>
        </w:rPr>
        <w:t>En el caso de mujeres embarazadas o de pacientes con tuberculosis estas recomendaciones no son válidas y se debe utilizar la información existente en los apartados correspondientes de este Documento y en las guías específicas</w:t>
      </w:r>
      <w:r>
        <w:rPr>
          <w:rFonts w:ascii="Arial" w:hAnsi="Arial" w:cs="Arial"/>
          <w:color w:val="000000"/>
          <w:lang w:eastAsia="en-US"/>
        </w:rPr>
        <w:t>.</w:t>
      </w:r>
    </w:p>
    <w:p w14:paraId="7FAC3E1D"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 xml:space="preserve">Recomendación </w:t>
      </w:r>
    </w:p>
    <w:p w14:paraId="0DD7CF15" w14:textId="0C5C8977" w:rsidR="001B5265" w:rsidRPr="00000FF8" w:rsidRDefault="001B5265" w:rsidP="001B5265">
      <w:pPr>
        <w:numPr>
          <w:ilvl w:val="0"/>
          <w:numId w:val="2"/>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El TAR de inicio consiste en una combinación de dos o tres fármacos antirretrovirales, en alguna de las combinaciones que se detallan en la tabla 3 </w:t>
      </w:r>
      <w:r w:rsidRPr="00000FF8">
        <w:rPr>
          <w:rFonts w:ascii="Arial" w:hAnsi="Arial" w:cs="Arial"/>
          <w:b/>
          <w:i/>
          <w:lang w:val="es-ES_tradnl" w:eastAsia="en-US"/>
        </w:rPr>
        <w:t>(A-I)</w:t>
      </w:r>
      <w:r w:rsidR="00265F42">
        <w:rPr>
          <w:rFonts w:ascii="Arial" w:hAnsi="Arial" w:cs="Arial"/>
          <w:b/>
          <w:i/>
          <w:lang w:val="es-ES_tradnl" w:eastAsia="en-US"/>
        </w:rPr>
        <w:t>.</w:t>
      </w:r>
      <w:r w:rsidRPr="00000FF8">
        <w:rPr>
          <w:rFonts w:ascii="Arial" w:hAnsi="Arial" w:cs="Arial"/>
          <w:lang w:val="es-ES_tradnl" w:eastAsia="en-US"/>
        </w:rPr>
        <w:t xml:space="preserve">  </w:t>
      </w:r>
    </w:p>
    <w:p w14:paraId="2B300583"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i/>
          <w:iCs/>
          <w:color w:val="0000CC"/>
        </w:rPr>
      </w:pPr>
    </w:p>
    <w:p w14:paraId="6C5044DC"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i/>
          <w:iCs/>
          <w:color w:val="AE1C1F"/>
        </w:rPr>
        <w:t xml:space="preserve">3.2.1. Inhibidores de la transcriptasa inversa análogos de nucleósidos </w:t>
      </w:r>
    </w:p>
    <w:p w14:paraId="5E6E96B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En España están comercializados seis ITIAN: ZDV, ddI, d4T, 3TC, FTC y ABC. También se dispone de un análogo de nucleótido (TFV). A efectos prácticos, la abreviatura ITIAN en esta guía incluye también a TFV. TFV está comercializado con 2 formulaciones diferentes: tenofovir disoproxilo (TDx) y tenofovir alafenamida (TAF). Todo el desarrollo clínico de tenofovir disoproxilo se ha realizado utilizando la sal de fumarato (TDF), aunque en la actualidad existe como fármaco genérico como otras sales (maleato, fosfato, succinato). Comparado con TDF, TAF requiere dosis menores (10 mg/día cuando se utiliza con antirretrovirales potenciados con RTV o COBI y 25 mg con el resto de antirretrovirales) dado que se concentra selectivamente como fármaco activo (TFV-difosfato) en las células diana y, por tanto, las concentraciones plasmáticas son un 90% menores. TAF ha demostrado una eficacia superior a TDF tras 3 años de seguimiento, ambos en combinación con EVG/c/FTC</w:t>
      </w:r>
      <w:r w:rsidRPr="00000FF8">
        <w:rPr>
          <w:rFonts w:ascii="Arial" w:hAnsi="Arial" w:cs="Arial"/>
          <w:noProof/>
          <w:color w:val="000000"/>
          <w:vertAlign w:val="superscript"/>
        </w:rPr>
        <w:t>16</w:t>
      </w:r>
      <w:r w:rsidRPr="00000FF8">
        <w:rPr>
          <w:rFonts w:ascii="Arial" w:hAnsi="Arial" w:cs="Arial"/>
          <w:color w:val="000000"/>
        </w:rPr>
        <w:t xml:space="preserve">. </w:t>
      </w:r>
      <w:r w:rsidRPr="00000FF8">
        <w:rPr>
          <w:rFonts w:ascii="Arial" w:hAnsi="Arial" w:cs="Arial"/>
          <w:color w:val="000000"/>
          <w:highlight w:val="yellow"/>
        </w:rPr>
        <w:t>Así mismo, en ensayos clínicos aleatorizados ha demostrado menor toxicidad renal y menor reducción de la densidad mineral ósea que TDF</w:t>
      </w:r>
      <w:r w:rsidRPr="00000FF8">
        <w:rPr>
          <w:rFonts w:ascii="Arial" w:hAnsi="Arial" w:cs="Arial"/>
          <w:noProof/>
          <w:color w:val="000000"/>
          <w:highlight w:val="yellow"/>
          <w:vertAlign w:val="superscript"/>
        </w:rPr>
        <w:t>16,17</w:t>
      </w:r>
      <w:r w:rsidRPr="00000FF8">
        <w:rPr>
          <w:rFonts w:ascii="Arial" w:hAnsi="Arial" w:cs="Arial"/>
          <w:color w:val="000000"/>
        </w:rPr>
        <w:t>. Además, TAF puede utilizarse con filtrados glomerulares superiores a 30 ml/min, mientras que TDx no está indicado por debajo de 50 ml/min. Un metaanális de ensayos clínicos que ha comparado TDF frente a TAF</w:t>
      </w:r>
      <w:r w:rsidRPr="00000FF8">
        <w:rPr>
          <w:rFonts w:ascii="Arial" w:hAnsi="Arial" w:cs="Arial"/>
          <w:color w:val="000000"/>
          <w:vertAlign w:val="superscript"/>
        </w:rPr>
        <w:t>18</w:t>
      </w:r>
      <w:r w:rsidRPr="00000FF8">
        <w:rPr>
          <w:rFonts w:ascii="Arial" w:hAnsi="Arial" w:cs="Arial"/>
          <w:color w:val="000000"/>
        </w:rPr>
        <w:t xml:space="preserve"> muestra que las diferencias en la toxicidad renal u ósea se incrementan cuando se utilizan en pautas que incluyen potenciadores (RTV o COBI). </w:t>
      </w:r>
    </w:p>
    <w:p w14:paraId="5397FE5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TDF, pero no TAF, se ha relacionado con descenso del colesterol total y LDL, aunque no hay diferencias entre ambos fármacos cuando se valora el cociente colesterol total/HDL</w:t>
      </w:r>
      <w:r w:rsidRPr="00000FF8">
        <w:rPr>
          <w:rFonts w:ascii="Arial" w:hAnsi="Arial" w:cs="Arial"/>
          <w:color w:val="000000"/>
          <w:vertAlign w:val="superscript"/>
        </w:rPr>
        <w:t>16</w:t>
      </w:r>
      <w:r w:rsidRPr="00000FF8">
        <w:rPr>
          <w:rFonts w:ascii="Arial" w:hAnsi="Arial" w:cs="Arial"/>
          <w:color w:val="000000"/>
        </w:rPr>
        <w:t xml:space="preserve">. </w:t>
      </w:r>
    </w:p>
    <w:p w14:paraId="0905E525" w14:textId="77777777" w:rsidR="001B5265" w:rsidRPr="00000FF8" w:rsidRDefault="001B5265" w:rsidP="001B5265">
      <w:pPr>
        <w:jc w:val="both"/>
        <w:rPr>
          <w:rFonts w:ascii="Arial" w:hAnsi="Arial" w:cs="Arial"/>
          <w:color w:val="000000"/>
        </w:rPr>
      </w:pPr>
      <w:r w:rsidRPr="00000FF8">
        <w:rPr>
          <w:rFonts w:ascii="Arial" w:hAnsi="Arial" w:cs="Arial"/>
          <w:color w:val="000000"/>
          <w:highlight w:val="yellow"/>
        </w:rPr>
        <w:t>TAF, en cambio, se ha asociado con un mayor incremento de peso en comparación con TDF. En el ensayo clínico aleatorizado ADVANCE,</w:t>
      </w:r>
      <w:r w:rsidRPr="00000FF8">
        <w:rPr>
          <w:rFonts w:ascii="Arial" w:hAnsi="Arial" w:cs="Arial"/>
          <w:color w:val="000000"/>
          <w:highlight w:val="yellow"/>
          <w:vertAlign w:val="superscript"/>
        </w:rPr>
        <w:t xml:space="preserve"> </w:t>
      </w:r>
      <w:r w:rsidRPr="00000FF8">
        <w:rPr>
          <w:rFonts w:ascii="Arial" w:hAnsi="Arial" w:cs="Arial"/>
          <w:color w:val="000000"/>
          <w:highlight w:val="yellow"/>
        </w:rPr>
        <w:t xml:space="preserve">realizado en Sudáfrica, que comparó TAF/FTC+DTG con TDF/FTC+DTG y TDF/FTC/EFV, </w:t>
      </w:r>
      <w:r w:rsidRPr="00000FF8">
        <w:rPr>
          <w:rFonts w:ascii="Arial" w:hAnsi="Arial" w:cs="Arial"/>
          <w:color w:val="000000"/>
          <w:highlight w:val="yellow"/>
          <w:lang w:val="es-ES_tradnl"/>
        </w:rPr>
        <w:t>el tratamiento con TAF se asoció con un mayor aumento de peso que el tratamiento con TDF</w:t>
      </w:r>
      <w:r w:rsidRPr="00000FF8">
        <w:rPr>
          <w:rFonts w:ascii="Arial" w:hAnsi="Arial" w:cs="Arial"/>
          <w:color w:val="000000"/>
          <w:highlight w:val="yellow"/>
          <w:vertAlign w:val="superscript"/>
          <w:lang w:val="es-ES_tradnl"/>
        </w:rPr>
        <w:t>17</w:t>
      </w:r>
      <w:r w:rsidRPr="00000FF8">
        <w:rPr>
          <w:rFonts w:ascii="Arial" w:hAnsi="Arial" w:cs="Arial"/>
          <w:color w:val="000000"/>
          <w:highlight w:val="yellow"/>
          <w:lang w:val="es-ES_tradnl"/>
        </w:rPr>
        <w:t xml:space="preserve">. En una revisión de ensayos clínicos aleatorizados con pautas de TAR de inicio </w:t>
      </w:r>
      <w:r w:rsidRPr="00000FF8">
        <w:rPr>
          <w:rFonts w:ascii="Arial" w:hAnsi="Arial" w:cs="Arial"/>
          <w:color w:val="000000"/>
          <w:highlight w:val="yellow"/>
        </w:rPr>
        <w:t xml:space="preserve">se ha observado un mayor incremento de peso en aquellos pacientes que reciben TAF en comparación con TDF y también otros </w:t>
      </w:r>
      <w:r w:rsidRPr="00000FF8">
        <w:rPr>
          <w:rFonts w:ascii="Arial" w:hAnsi="Arial" w:cs="Arial"/>
          <w:color w:val="000000"/>
          <w:highlight w:val="yellow"/>
        </w:rPr>
        <w:lastRenderedPageBreak/>
        <w:t>ITIAN (ABC, AZT)</w:t>
      </w:r>
      <w:r w:rsidRPr="00000FF8">
        <w:rPr>
          <w:rFonts w:ascii="Arial" w:hAnsi="Arial" w:cs="Arial"/>
          <w:color w:val="000000"/>
          <w:highlight w:val="yellow"/>
          <w:vertAlign w:val="superscript"/>
        </w:rPr>
        <w:t>19</w:t>
      </w:r>
      <w:r w:rsidRPr="00000FF8">
        <w:rPr>
          <w:rFonts w:ascii="Arial" w:hAnsi="Arial" w:cs="Arial"/>
          <w:color w:val="000000"/>
          <w:highlight w:val="yellow"/>
        </w:rPr>
        <w:t xml:space="preserve">. </w:t>
      </w:r>
      <w:r w:rsidRPr="00000FF8">
        <w:rPr>
          <w:rFonts w:ascii="Arial" w:hAnsi="Arial" w:cs="Arial"/>
          <w:highlight w:val="yellow"/>
        </w:rPr>
        <w:t>Actualmente se desconoce el mecanismo por el que TAF puede contribuir a una mayor ganancia de peso, así como las repercusiones clínicas que esto pueda tener. Se han identificado,</w:t>
      </w:r>
      <w:r w:rsidRPr="00000FF8">
        <w:rPr>
          <w:rFonts w:ascii="Arial" w:hAnsi="Arial" w:cs="Arial"/>
        </w:rPr>
        <w:t xml:space="preserve"> </w:t>
      </w:r>
      <w:r w:rsidRPr="00000FF8">
        <w:rPr>
          <w:rFonts w:ascii="Arial" w:hAnsi="Arial" w:cs="Arial"/>
          <w:color w:val="000000"/>
          <w:highlight w:val="yellow"/>
        </w:rPr>
        <w:t>además, otros factores que también se asocian con aumento de peso tras el inicio del TAR como son: el tratamiento con INI (especialmente DTG y BIC), el sexo femenino, la raza negra (con mayor impacto en mujeres de raza negra), el recuento de CD4 inferior a 200 células/µL o la CVP superior a 100.000 copias/mL</w:t>
      </w:r>
      <w:r w:rsidRPr="00000FF8">
        <w:rPr>
          <w:rFonts w:ascii="Arial" w:hAnsi="Arial" w:cs="Arial"/>
          <w:color w:val="000000"/>
          <w:highlight w:val="yellow"/>
          <w:vertAlign w:val="superscript"/>
        </w:rPr>
        <w:t>17,19</w:t>
      </w:r>
      <w:r w:rsidRPr="00000FF8">
        <w:rPr>
          <w:rFonts w:ascii="Arial" w:hAnsi="Arial" w:cs="Arial"/>
          <w:color w:val="000000"/>
          <w:highlight w:val="yellow"/>
        </w:rPr>
        <w:t xml:space="preserve">.  </w:t>
      </w:r>
    </w:p>
    <w:p w14:paraId="42346820" w14:textId="2A302FCF"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Se consideran como combinaciones de ITIAN de elección las formadas por FTC/TAF y por ABC/3TC, que deberían administrase siempre que sea posible en preparados coformulados. La utilización de TFV como TDx puede considerarse una alternativa a TAF en regímenes que no incluyan un potenciador, siempre que se excluya la presencia de alteración renal o de alteración de la densidad mineral ósea, y no existan otros factores que aumenten el riesgo de desarrollarlas. </w:t>
      </w:r>
    </w:p>
    <w:p w14:paraId="525AE6C1" w14:textId="66CEE4E6"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No existe en la actualidad suficiente información que permita considerar como equivalentes terapéuticos a FTC y 3TC, por lo que el uso de uno u otro ITIAN en los regímenes seleccionados depende fundamentalmente de la experiencia disponible en su uso conjunto con los otros FAR de la combinación. </w:t>
      </w:r>
    </w:p>
    <w:p w14:paraId="04536E2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La mayor toxicidad relacionada con el uso de ZDV, ddI y d4T no permite recomendar su uso en ninguna pauta de inicio. </w:t>
      </w:r>
    </w:p>
    <w:p w14:paraId="0FB69C0D"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6B8D612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AE1C1F"/>
        </w:rPr>
      </w:pPr>
      <w:r w:rsidRPr="00000FF8">
        <w:rPr>
          <w:rFonts w:ascii="Arial" w:hAnsi="Arial" w:cs="Arial"/>
          <w:i/>
          <w:iCs/>
          <w:color w:val="AE1C1F"/>
        </w:rPr>
        <w:t xml:space="preserve">Combinaciones con FTC/TFV frente a combinaciones con ABC/3TC </w:t>
      </w:r>
    </w:p>
    <w:p w14:paraId="29D6265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Sólo un estudio ha comparado hasta este momento TAF frente a ABC en el tratamiento de inicio, aunque en regímenes diferentes (BIC/FTC/TAF </w:t>
      </w:r>
      <w:r w:rsidRPr="00000FF8">
        <w:rPr>
          <w:rFonts w:ascii="Arial" w:hAnsi="Arial" w:cs="Arial"/>
          <w:i/>
          <w:color w:val="000000"/>
        </w:rPr>
        <w:t>vs</w:t>
      </w:r>
      <w:r w:rsidRPr="00000FF8">
        <w:rPr>
          <w:rFonts w:ascii="Arial" w:hAnsi="Arial" w:cs="Arial"/>
          <w:color w:val="000000"/>
        </w:rPr>
        <w:t xml:space="preserve"> DTG/ABC/3TC)</w:t>
      </w:r>
      <w:r w:rsidRPr="00000FF8">
        <w:rPr>
          <w:rFonts w:ascii="Arial" w:hAnsi="Arial" w:cs="Arial"/>
          <w:noProof/>
          <w:color w:val="000000"/>
          <w:vertAlign w:val="superscript"/>
        </w:rPr>
        <w:t>20</w:t>
      </w:r>
      <w:r w:rsidRPr="00000FF8">
        <w:rPr>
          <w:rFonts w:ascii="Arial" w:hAnsi="Arial" w:cs="Arial"/>
          <w:color w:val="000000"/>
        </w:rPr>
        <w:t xml:space="preserve">, lo que dificulta la comparación directa. En este estudio la eficacia de la combinación con TAF fue no inferior a la de ABC, aunque en el grupo que recibió la pauta con ABC la frecuencia de pacientes que refirieron náuseas fue mayor (10% </w:t>
      </w:r>
      <w:r w:rsidRPr="00000FF8">
        <w:rPr>
          <w:rFonts w:ascii="Arial" w:hAnsi="Arial" w:cs="Arial"/>
          <w:i/>
          <w:color w:val="000000"/>
        </w:rPr>
        <w:t>vs</w:t>
      </w:r>
      <w:r w:rsidRPr="00000FF8">
        <w:rPr>
          <w:rFonts w:ascii="Arial" w:hAnsi="Arial" w:cs="Arial"/>
          <w:color w:val="000000"/>
        </w:rPr>
        <w:t xml:space="preserve"> 22%). </w:t>
      </w:r>
    </w:p>
    <w:p w14:paraId="1789783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Varios estudios han comparado TDF frente a ABC. En el ensayo clínico ACTG 5202</w:t>
      </w:r>
      <w:r w:rsidRPr="00000FF8">
        <w:rPr>
          <w:rFonts w:ascii="Arial" w:hAnsi="Arial" w:cs="Arial"/>
          <w:noProof/>
          <w:color w:val="000000"/>
          <w:vertAlign w:val="superscript"/>
        </w:rPr>
        <w:t>21</w:t>
      </w:r>
      <w:r w:rsidRPr="00000FF8">
        <w:rPr>
          <w:rFonts w:ascii="Arial" w:hAnsi="Arial" w:cs="Arial"/>
          <w:color w:val="000000"/>
        </w:rPr>
        <w:t xml:space="preserve"> se comparó de forma ciega el inicio de TAR con ABC/3TC o FTC/TDF en 1.857 pacientes. Los participantes fueron aleatorizados además a recibir ATV/r o EFV de forma abierta. Entre los pacientes con CVP basal igual o mayor de 100.000 copias/mL, tanto el tiempo hasta el fracaso virológico como el tiempo hasta el primer efecto adverso de grado 3-4 fueron significativamente más cortos en el brazo de ABC/3TC que en el brazo de FTC/TDF, lo que ocasionó la interrupción del estudio para los pacientes en este estrato de CVP. En los pacientes con CVP inferior a 100.000 copias/mL no hubo diferencias en eficacia virológica entre ABC/3TC y FTC/TDF, independientemente de que se administraran con ATV/r o EFV</w:t>
      </w:r>
      <w:r w:rsidRPr="00000FF8">
        <w:rPr>
          <w:rFonts w:ascii="Arial" w:hAnsi="Arial" w:cs="Arial"/>
          <w:noProof/>
          <w:color w:val="000000"/>
          <w:vertAlign w:val="superscript"/>
        </w:rPr>
        <w:t>22,23</w:t>
      </w:r>
      <w:r w:rsidRPr="00000FF8">
        <w:rPr>
          <w:rFonts w:ascii="Arial" w:hAnsi="Arial" w:cs="Arial"/>
          <w:color w:val="000000"/>
        </w:rPr>
        <w:t xml:space="preserve">. </w:t>
      </w:r>
    </w:p>
    <w:p w14:paraId="0FD516E5"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El estudio ASSERT</w:t>
      </w:r>
      <w:r w:rsidRPr="00000FF8">
        <w:rPr>
          <w:rFonts w:ascii="Arial" w:hAnsi="Arial" w:cs="Arial"/>
          <w:noProof/>
          <w:color w:val="000000"/>
          <w:vertAlign w:val="superscript"/>
        </w:rPr>
        <w:t>24</w:t>
      </w:r>
      <w:r w:rsidRPr="00000FF8">
        <w:rPr>
          <w:rFonts w:ascii="Arial" w:hAnsi="Arial" w:cs="Arial"/>
          <w:color w:val="000000"/>
        </w:rPr>
        <w:t xml:space="preserve"> es un ensayo clínico abierto en el que se compararon los perfiles de seguridad de FTC/TDF y ABC/3TC (ambos administrados con EFV) </w:t>
      </w:r>
      <w:r w:rsidRPr="00000FF8">
        <w:rPr>
          <w:rFonts w:ascii="Arial" w:hAnsi="Arial" w:cs="Arial"/>
          <w:color w:val="000000"/>
        </w:rPr>
        <w:lastRenderedPageBreak/>
        <w:t xml:space="preserve">en pacientes HLA-B*5701-negativos. Aunque no fue diseñado para comparar eficacia, se observó que la proporción de pacientes con CVP inferior a 50 copias/mL a las 48 semanas fue significativamente superior con FTC/TDF que con ABC/3TC. </w:t>
      </w:r>
    </w:p>
    <w:p w14:paraId="7CDC04E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Tres estudios en fase III diseñados para comparar el TAR de inicio con DTG, frente a otros FAR recomendados (EFV en el estudio SINGLE</w:t>
      </w:r>
      <w:r w:rsidRPr="00000FF8">
        <w:rPr>
          <w:rFonts w:ascii="Arial" w:hAnsi="Arial" w:cs="Arial"/>
          <w:noProof/>
          <w:color w:val="000000"/>
          <w:vertAlign w:val="superscript"/>
        </w:rPr>
        <w:t>25</w:t>
      </w:r>
      <w:r w:rsidRPr="00000FF8">
        <w:rPr>
          <w:rFonts w:ascii="Arial" w:hAnsi="Arial" w:cs="Arial"/>
          <w:color w:val="000000"/>
        </w:rPr>
        <w:t>, RAL en el estudio SPRING-2</w:t>
      </w:r>
      <w:r w:rsidRPr="00000FF8">
        <w:rPr>
          <w:rFonts w:ascii="Arial" w:hAnsi="Arial" w:cs="Arial"/>
          <w:noProof/>
          <w:color w:val="000000"/>
          <w:vertAlign w:val="superscript"/>
        </w:rPr>
        <w:t>26</w:t>
      </w:r>
      <w:r w:rsidRPr="00000FF8">
        <w:rPr>
          <w:rFonts w:ascii="Arial" w:hAnsi="Arial" w:cs="Arial"/>
          <w:color w:val="000000"/>
        </w:rPr>
        <w:t xml:space="preserve"> o DRV/r en el estudio FLAMINGO</w:t>
      </w:r>
      <w:r w:rsidRPr="00000FF8">
        <w:rPr>
          <w:rFonts w:ascii="Arial" w:hAnsi="Arial" w:cs="Arial"/>
          <w:noProof/>
          <w:color w:val="000000"/>
          <w:vertAlign w:val="superscript"/>
        </w:rPr>
        <w:t>27</w:t>
      </w:r>
      <w:r w:rsidRPr="00000FF8">
        <w:rPr>
          <w:rFonts w:ascii="Arial" w:hAnsi="Arial" w:cs="Arial"/>
          <w:color w:val="000000"/>
        </w:rPr>
        <w:t>) han mostrado una eficacia similar de ABC/3TC o FTC/TDF. Sin embargo, dichos ensayos clínicos no permiten establecer comparaciones formales ya que, o bien la elección del ITIAN no fue aleatorizada, quedando a criterio del investigador</w:t>
      </w:r>
      <w:r w:rsidRPr="00000FF8">
        <w:rPr>
          <w:rFonts w:ascii="Arial" w:hAnsi="Arial" w:cs="Arial"/>
          <w:noProof/>
          <w:color w:val="000000"/>
          <w:vertAlign w:val="superscript"/>
        </w:rPr>
        <w:t>26,27</w:t>
      </w:r>
      <w:r w:rsidRPr="00000FF8">
        <w:rPr>
          <w:rFonts w:ascii="Arial" w:hAnsi="Arial" w:cs="Arial"/>
          <w:color w:val="000000"/>
        </w:rPr>
        <w:t>, o las distintas combinaciones de ITIAN iban asociadas a un tercer fármaco también distinto</w:t>
      </w:r>
      <w:r w:rsidRPr="00000FF8">
        <w:rPr>
          <w:rFonts w:ascii="Arial" w:hAnsi="Arial" w:cs="Arial"/>
          <w:noProof/>
          <w:color w:val="000000"/>
          <w:vertAlign w:val="superscript"/>
        </w:rPr>
        <w:t>25</w:t>
      </w:r>
      <w:r w:rsidRPr="00000FF8">
        <w:rPr>
          <w:rFonts w:ascii="Arial" w:hAnsi="Arial" w:cs="Arial"/>
          <w:color w:val="000000"/>
        </w:rPr>
        <w:t xml:space="preserve">. </w:t>
      </w:r>
    </w:p>
    <w:p w14:paraId="1FB567E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Finalmente, en un metaanálisis de ensayos clínicos no se observaron diferencias en la eficacia virológica de los tratamientos basados en ABC o TDF, aunque sí una mayor frecuencia de discontinuaciones debidas a efectos adversos con ABC</w:t>
      </w:r>
      <w:r w:rsidRPr="00000FF8">
        <w:rPr>
          <w:rFonts w:ascii="Arial" w:hAnsi="Arial" w:cs="Arial"/>
          <w:noProof/>
          <w:color w:val="000000"/>
          <w:vertAlign w:val="superscript"/>
        </w:rPr>
        <w:t>28</w:t>
      </w:r>
      <w:r w:rsidRPr="00000FF8">
        <w:rPr>
          <w:rFonts w:ascii="Arial" w:hAnsi="Arial" w:cs="Arial"/>
          <w:color w:val="000000"/>
        </w:rPr>
        <w:t xml:space="preserve">. </w:t>
      </w:r>
    </w:p>
    <w:p w14:paraId="0D604CD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En el caso de seleccionar un régimen basado en ABC, se debe realizar siempre la determinación del HLAB*5701 que, en el caso de resultar positivo, contraindicaría su uso. </w:t>
      </w:r>
    </w:p>
    <w:p w14:paraId="42714706"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Recomendaciones</w:t>
      </w:r>
    </w:p>
    <w:p w14:paraId="0EBE8660" w14:textId="2D5BC284" w:rsidR="001B5265" w:rsidRPr="00000FF8" w:rsidRDefault="001B5265" w:rsidP="001B5265">
      <w:pPr>
        <w:numPr>
          <w:ilvl w:val="0"/>
          <w:numId w:val="2"/>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Las combinaciones de ITIAN de elección para regímenes de inicio son FTC/TAF o ABC/3TC </w:t>
      </w:r>
      <w:r w:rsidRPr="00000FF8">
        <w:rPr>
          <w:rFonts w:ascii="Arial" w:hAnsi="Arial" w:cs="Arial"/>
          <w:b/>
          <w:i/>
          <w:lang w:val="es-ES_tradnl" w:eastAsia="en-US"/>
        </w:rPr>
        <w:t>(A-I).</w:t>
      </w:r>
      <w:r w:rsidRPr="00000FF8">
        <w:rPr>
          <w:rFonts w:ascii="Arial" w:hAnsi="Arial" w:cs="Arial"/>
          <w:lang w:val="es-ES_tradnl" w:eastAsia="en-US"/>
        </w:rPr>
        <w:t xml:space="preserve"> Se recomienda su uso en coformulación </w:t>
      </w:r>
      <w:r w:rsidRPr="00000FF8">
        <w:rPr>
          <w:rFonts w:ascii="Arial" w:hAnsi="Arial" w:cs="Arial"/>
          <w:b/>
          <w:i/>
          <w:lang w:val="es-ES_tradnl" w:eastAsia="en-US"/>
        </w:rPr>
        <w:t>(A-II)</w:t>
      </w:r>
      <w:r w:rsidR="00113BD9">
        <w:rPr>
          <w:rFonts w:ascii="Arial" w:hAnsi="Arial" w:cs="Arial"/>
          <w:b/>
          <w:i/>
          <w:lang w:val="es-ES_tradnl" w:eastAsia="en-US"/>
        </w:rPr>
        <w:t>.</w:t>
      </w:r>
    </w:p>
    <w:p w14:paraId="3E35D882" w14:textId="1AFDCABE" w:rsidR="001B5265" w:rsidRPr="00000FF8" w:rsidRDefault="001B5265" w:rsidP="001B5265">
      <w:pPr>
        <w:numPr>
          <w:ilvl w:val="0"/>
          <w:numId w:val="2"/>
        </w:numPr>
        <w:autoSpaceDE w:val="0"/>
        <w:autoSpaceDN w:val="0"/>
        <w:adjustRightInd w:val="0"/>
        <w:spacing w:before="120" w:after="120" w:line="276" w:lineRule="auto"/>
        <w:jc w:val="both"/>
        <w:rPr>
          <w:rFonts w:ascii="Arial" w:hAnsi="Arial" w:cs="Arial"/>
          <w:b/>
          <w:i/>
          <w:lang w:val="es-ES_tradnl" w:eastAsia="en-US"/>
        </w:rPr>
      </w:pPr>
      <w:r w:rsidRPr="00000FF8">
        <w:rPr>
          <w:rFonts w:ascii="Arial" w:hAnsi="Arial" w:cs="Arial"/>
          <w:lang w:val="es-ES_tradnl" w:eastAsia="en-US"/>
        </w:rPr>
        <w:t xml:space="preserve">TDx puede utilizarse como alternativa a TAF en regímenes que no incluyan un potenciador (RTV o COBI), siempre que se excluya la presencia de alteración renal o de osteopenia/osteoporosis </w:t>
      </w:r>
      <w:r w:rsidRPr="00000FF8">
        <w:rPr>
          <w:rFonts w:ascii="Arial" w:hAnsi="Arial" w:cs="Arial"/>
          <w:highlight w:val="yellow"/>
          <w:lang w:val="es-ES_tradnl" w:eastAsia="en-US"/>
        </w:rPr>
        <w:t xml:space="preserve">y no existan otros factores que aumenten el riesgo de </w:t>
      </w:r>
      <w:r w:rsidRPr="00113BD9">
        <w:rPr>
          <w:rFonts w:ascii="Arial" w:hAnsi="Arial" w:cs="Arial"/>
          <w:highlight w:val="yellow"/>
          <w:lang w:val="es-ES_tradnl" w:eastAsia="en-US"/>
        </w:rPr>
        <w:t xml:space="preserve">desarrollarlas </w:t>
      </w:r>
      <w:r w:rsidR="00113BD9" w:rsidRPr="00113BD9">
        <w:rPr>
          <w:rFonts w:ascii="Arial" w:hAnsi="Arial" w:cs="Arial"/>
          <w:b/>
          <w:i/>
          <w:highlight w:val="yellow"/>
          <w:lang w:val="es-ES_tradnl" w:eastAsia="en-US"/>
        </w:rPr>
        <w:t>(C-I</w:t>
      </w:r>
      <w:r w:rsidRPr="00113BD9">
        <w:rPr>
          <w:rFonts w:ascii="Arial" w:hAnsi="Arial" w:cs="Arial"/>
          <w:b/>
          <w:i/>
          <w:highlight w:val="yellow"/>
          <w:lang w:val="es-ES_tradnl" w:eastAsia="en-US"/>
        </w:rPr>
        <w:t>)</w:t>
      </w:r>
      <w:r w:rsidR="00113BD9">
        <w:rPr>
          <w:rFonts w:ascii="Arial" w:hAnsi="Arial" w:cs="Arial"/>
          <w:b/>
          <w:i/>
          <w:lang w:val="es-ES_tradnl" w:eastAsia="en-US"/>
        </w:rPr>
        <w:t>.</w:t>
      </w:r>
    </w:p>
    <w:p w14:paraId="32BFBF94" w14:textId="1557A0DC" w:rsidR="001B5265" w:rsidRPr="00000FF8" w:rsidRDefault="001B5265" w:rsidP="001B5265">
      <w:pPr>
        <w:numPr>
          <w:ilvl w:val="0"/>
          <w:numId w:val="2"/>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La combinación ABC/3TC, con un ITINN o un IP/p debe evitarse en pacientes con CVP elevada (más de 100.000 copias/mL) </w:t>
      </w:r>
      <w:r w:rsidRPr="00000FF8">
        <w:rPr>
          <w:rFonts w:ascii="Arial" w:hAnsi="Arial" w:cs="Arial"/>
          <w:b/>
          <w:i/>
          <w:lang w:val="es-ES_tradnl" w:eastAsia="en-US"/>
        </w:rPr>
        <w:t>(A-I)</w:t>
      </w:r>
      <w:r w:rsidR="00113BD9">
        <w:rPr>
          <w:rFonts w:ascii="Arial" w:hAnsi="Arial" w:cs="Arial"/>
          <w:b/>
          <w:i/>
          <w:lang w:val="es-ES_tradnl" w:eastAsia="en-US"/>
        </w:rPr>
        <w:t>.</w:t>
      </w:r>
    </w:p>
    <w:p w14:paraId="01256E2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i/>
          <w:iCs/>
          <w:color w:val="A10000"/>
        </w:rPr>
      </w:pPr>
    </w:p>
    <w:p w14:paraId="13FEA7E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i/>
          <w:iCs/>
          <w:color w:val="AE1C1F"/>
        </w:rPr>
      </w:pPr>
    </w:p>
    <w:p w14:paraId="2B7C207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i/>
          <w:iCs/>
          <w:color w:val="AE1C1F"/>
        </w:rPr>
      </w:pPr>
      <w:r w:rsidRPr="00000FF8">
        <w:rPr>
          <w:rFonts w:ascii="Arial" w:hAnsi="Arial" w:cs="Arial"/>
          <w:i/>
          <w:iCs/>
          <w:color w:val="AE1C1F"/>
        </w:rPr>
        <w:t xml:space="preserve">3.2.2. Inhibidores de la integrasa </w:t>
      </w:r>
    </w:p>
    <w:p w14:paraId="53F52DA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Existen cuatro INI con aprobación para su uso como TAR de inicio: RAL, EVG, DTG y BIC. </w:t>
      </w:r>
    </w:p>
    <w:p w14:paraId="7FE57AB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Las combinaciones recomendadas de forma preferente por este Panel, incluyen 3 INI (BIC, DTG y RAL). Estos pueden utilizarse en la mayoría de pacientes con una elevada eficacia y un riesgo bajo de toxicidad e interacciones en comparación con otras pautas. Además, </w:t>
      </w:r>
      <w:r w:rsidRPr="00000FF8">
        <w:rPr>
          <w:rFonts w:ascii="Arial" w:hAnsi="Arial" w:cs="Arial"/>
        </w:rPr>
        <w:t>se ha observado una mayor rapidez en la supresión virológica con las pautas que incluyen un INI en comparación con otras familias de FAR.</w:t>
      </w:r>
    </w:p>
    <w:p w14:paraId="21A2414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lastRenderedPageBreak/>
        <w:t>RAL fue el primer INI comercializado y con el que se tiene la mayor experiencia. Se puede utilizar en dosis de 400 mg administrado dos veces al día (400 mg BID), o en dosis de 1.200 mg una vez al día (2 comprimidos de 600 mg QD)</w:t>
      </w:r>
      <w:r w:rsidRPr="00000FF8">
        <w:rPr>
          <w:rFonts w:ascii="Arial" w:hAnsi="Arial" w:cs="Arial"/>
          <w:noProof/>
          <w:color w:val="000000"/>
          <w:vertAlign w:val="superscript"/>
        </w:rPr>
        <w:t>29</w:t>
      </w:r>
      <w:r w:rsidRPr="00000FF8">
        <w:rPr>
          <w:rFonts w:ascii="Arial" w:hAnsi="Arial" w:cs="Arial"/>
          <w:color w:val="000000"/>
        </w:rPr>
        <w:t xml:space="preserve">. </w:t>
      </w:r>
    </w:p>
    <w:p w14:paraId="68AF4FF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Combinado con FTC/TDF, RAL 400 BID ha demostrado superioridad frente a DRV/r y a ATV/r</w:t>
      </w:r>
      <w:r w:rsidRPr="00000FF8">
        <w:rPr>
          <w:rFonts w:ascii="Arial" w:hAnsi="Arial" w:cs="Arial"/>
          <w:noProof/>
          <w:color w:val="000000"/>
          <w:vertAlign w:val="superscript"/>
        </w:rPr>
        <w:t>30</w:t>
      </w:r>
      <w:r w:rsidRPr="00000FF8">
        <w:rPr>
          <w:rFonts w:ascii="Arial" w:hAnsi="Arial" w:cs="Arial"/>
          <w:color w:val="000000"/>
        </w:rPr>
        <w:t xml:space="preserve"> y no inferioridad frente EFV, alcanzando una eficacia superior a este al cuarto y quinto año de seguimiento</w:t>
      </w:r>
      <w:r w:rsidRPr="00000FF8">
        <w:rPr>
          <w:rFonts w:ascii="Arial" w:hAnsi="Arial" w:cs="Arial"/>
          <w:noProof/>
          <w:color w:val="000000"/>
          <w:vertAlign w:val="superscript"/>
        </w:rPr>
        <w:t>31</w:t>
      </w:r>
      <w:r w:rsidRPr="00000FF8">
        <w:rPr>
          <w:rFonts w:ascii="Arial" w:hAnsi="Arial" w:cs="Arial"/>
          <w:color w:val="000000"/>
        </w:rPr>
        <w:t>. Administrado en dosis de 1.200 mg una vez al día, RAL ha demostrado una eficacia no inferior y tolerancia similar a la de la dosis de 400 mg BID, ambas administradas junto a FTC/TDF</w:t>
      </w:r>
      <w:r w:rsidRPr="00000FF8">
        <w:rPr>
          <w:rFonts w:ascii="Arial" w:hAnsi="Arial" w:cs="Arial"/>
          <w:noProof/>
          <w:color w:val="000000"/>
          <w:vertAlign w:val="superscript"/>
        </w:rPr>
        <w:t>29</w:t>
      </w:r>
      <w:r w:rsidRPr="00000FF8">
        <w:rPr>
          <w:rFonts w:ascii="Arial" w:hAnsi="Arial" w:cs="Arial"/>
          <w:color w:val="000000"/>
        </w:rPr>
        <w:t>. Aunque no existe evidencia directa del uso de RAL con FTC/TAF, este Panel considera que las ventajas en seguridad mostradas en las comparaciones directas de TAF frente a TDF, junto con otros FAR, en pacientes sin tratamiento previo</w:t>
      </w:r>
      <w:r w:rsidRPr="00000FF8">
        <w:rPr>
          <w:rFonts w:ascii="Arial" w:hAnsi="Arial" w:cs="Arial"/>
          <w:noProof/>
          <w:color w:val="000000"/>
          <w:vertAlign w:val="superscript"/>
        </w:rPr>
        <w:t>16,32</w:t>
      </w:r>
      <w:r w:rsidRPr="00000FF8">
        <w:rPr>
          <w:rFonts w:ascii="Arial" w:hAnsi="Arial" w:cs="Arial"/>
          <w:color w:val="000000"/>
        </w:rPr>
        <w:t xml:space="preserve"> son suficientes para recomendar esta combinación de forma preferente. No existe suficiente evidencia para recomendar como preferente la utilización de RAL+ABC/3TC en el TAR de inicio. </w:t>
      </w:r>
    </w:p>
    <w:p w14:paraId="289C2E72"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RAL como TAR de inicio se comparó con EFV, ambos asociados con FTC/TDF, en el ensayo clínico aleatorizado STARTMRK</w:t>
      </w:r>
      <w:r w:rsidRPr="00000FF8">
        <w:rPr>
          <w:rFonts w:ascii="Arial" w:hAnsi="Arial" w:cs="Arial"/>
          <w:noProof/>
          <w:vertAlign w:val="superscript"/>
        </w:rPr>
        <w:t>31</w:t>
      </w:r>
      <w:r w:rsidRPr="00000FF8">
        <w:rPr>
          <w:rFonts w:ascii="Arial" w:hAnsi="Arial" w:cs="Arial"/>
        </w:rPr>
        <w:t xml:space="preserve">, que mantuvo el diseño doble ciego durante los cinco años de seguimiento. Este estudio mostró una eficacia de RAL no-inferior a EFV durante los tres primeros años de tratamiento, pero que resultó superior a partir del cuarto año. </w:t>
      </w:r>
    </w:p>
    <w:p w14:paraId="0AAE923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Respecto a IP/p, RAL se comparó con DRV/r y ATV/r (los tres combinados FTC/TDF) en el estudio ACTG 5257</w:t>
      </w:r>
      <w:r w:rsidRPr="00000FF8">
        <w:rPr>
          <w:rFonts w:ascii="Arial" w:hAnsi="Arial" w:cs="Arial"/>
          <w:noProof/>
          <w:vertAlign w:val="superscript"/>
        </w:rPr>
        <w:t>30</w:t>
      </w:r>
      <w:r w:rsidRPr="00000FF8">
        <w:rPr>
          <w:rFonts w:ascii="Arial" w:hAnsi="Arial" w:cs="Arial"/>
        </w:rPr>
        <w:t xml:space="preserve">, que incluyó 1809 pacientes sin TAR previo. Tras 96 semanas, los 3 regímenes fueron equivalentes en los porcentajes de fracaso virológico, pero tanto en el análisis conjunto de la respuesta virológica y la tolerabilidad, como en el análisis de CVP &lt;50 copias/mL </w:t>
      </w:r>
      <w:r w:rsidRPr="00000FF8">
        <w:rPr>
          <w:rFonts w:ascii="Arial" w:hAnsi="Arial" w:cs="Arial"/>
          <w:i/>
          <w:iCs/>
        </w:rPr>
        <w:t>snapshot</w:t>
      </w:r>
      <w:r w:rsidRPr="00000FF8">
        <w:rPr>
          <w:rFonts w:ascii="Arial" w:hAnsi="Arial" w:cs="Arial"/>
        </w:rPr>
        <w:t xml:space="preserve">, RAL fue superior a DRV/r y ATV/r. </w:t>
      </w:r>
    </w:p>
    <w:p w14:paraId="662C6122"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4F9739A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EVG requiere potenciación farmacológica. Se ha comercializado coformulado con el potenciador COBI +FTC/TDF o +FTC/TAF, en un solo comprimido para administrarse una vez al día. </w:t>
      </w:r>
    </w:p>
    <w:p w14:paraId="778CAA5D"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En el ensayo clínico aleatorizado y doble ciego GS-US-236-0102</w:t>
      </w:r>
      <w:r w:rsidRPr="00000FF8">
        <w:rPr>
          <w:rFonts w:ascii="Arial" w:hAnsi="Arial" w:cs="Arial"/>
          <w:noProof/>
          <w:vertAlign w:val="superscript"/>
        </w:rPr>
        <w:t>33</w:t>
      </w:r>
      <w:r w:rsidRPr="00000FF8">
        <w:rPr>
          <w:rFonts w:ascii="Arial" w:hAnsi="Arial" w:cs="Arial"/>
        </w:rPr>
        <w:t xml:space="preserve"> EVG/c/FTC/TDF </w:t>
      </w:r>
      <w:r w:rsidRPr="00000FF8">
        <w:rPr>
          <w:rFonts w:ascii="Arial" w:hAnsi="Arial" w:cs="Arial"/>
          <w:color w:val="000000"/>
        </w:rPr>
        <w:t xml:space="preserve">demostró no inferioridad con respecto a EFV/FTC/TDF </w:t>
      </w:r>
      <w:r w:rsidRPr="00000FF8">
        <w:rPr>
          <w:rFonts w:ascii="Arial" w:hAnsi="Arial" w:cs="Arial"/>
        </w:rPr>
        <w:t xml:space="preserve">a las 48 semanas, que se mantuvo después de 144 semanas de seguimiento. Es importante remarcar que en este estudio se excluyeron pacientes con un FGe inferior a 70 mL/min y también la baja proporción de pacientes en situación avanzada (12% con CD4+ &lt;200 células/μL), lo que limita la generalización de los resultados a estos subgrupos. </w:t>
      </w:r>
    </w:p>
    <w:p w14:paraId="6A70B00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EVG/c también se ha comparado con el IP/p ATV/r como TAR de inicio. El ensayo clínico aleatorizado y doble ciego GS-US-236-0103</w:t>
      </w:r>
      <w:r w:rsidRPr="00000FF8">
        <w:rPr>
          <w:rFonts w:ascii="Arial" w:hAnsi="Arial" w:cs="Arial"/>
          <w:noProof/>
          <w:vertAlign w:val="superscript"/>
        </w:rPr>
        <w:t>34</w:t>
      </w:r>
      <w:r w:rsidRPr="00000FF8">
        <w:rPr>
          <w:rFonts w:ascii="Arial" w:hAnsi="Arial" w:cs="Arial"/>
        </w:rPr>
        <w:t xml:space="preserve"> demostró la no inferioridad de EVG/c/FTC/TDF frente a ATV/r+FTC/TDF a las 48 y 144 semanas. La selección de mutaciones de resistencia fue poco frecuente pero mayor en el grupo de EVG/c/FTC/TDF. Como en el estudio anterior, también se </w:t>
      </w:r>
      <w:r w:rsidRPr="00000FF8">
        <w:rPr>
          <w:rFonts w:ascii="Arial" w:hAnsi="Arial" w:cs="Arial"/>
        </w:rPr>
        <w:lastRenderedPageBreak/>
        <w:t>excluyeron pacientes con FGe inferior a 70 mL/min.</w:t>
      </w:r>
    </w:p>
    <w:p w14:paraId="001E4C0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EVG/c/FTC/TDF se ha comparado también con ATV/r en un ensayo clínico aleatorizado exclusivamente en mujeres (WAVES</w:t>
      </w:r>
      <w:r w:rsidRPr="00000FF8">
        <w:rPr>
          <w:rFonts w:ascii="Arial" w:hAnsi="Arial" w:cs="Arial"/>
          <w:noProof/>
          <w:vertAlign w:val="superscript"/>
        </w:rPr>
        <w:t>35</w:t>
      </w:r>
      <w:r w:rsidRPr="00000FF8">
        <w:rPr>
          <w:rFonts w:ascii="Arial" w:hAnsi="Arial" w:cs="Arial"/>
        </w:rPr>
        <w:t xml:space="preserve">) que demostró una eficacia superior de EVG/c/FTC/TDF frente a ATV/r+FTC/TDF. </w:t>
      </w:r>
    </w:p>
    <w:p w14:paraId="2557343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color w:val="000000"/>
        </w:rPr>
        <w:t>La combinación EVG/c/FTC/TDF está contraindicada en pacientes con un FGe inferior a 70 mL/min y debe utilizarse con precaución en aquellos con un FGe entre 70 y 90 mL/min. Comparado con EVG/c/FTC/TDF, EVG/c/FTC/TAF ha demostrado la no inferioridad, y la superioridad al tercer año de seguimiento en un ensayo doble ciego, así como una mejoría en los marcadores subrogados indicativos de daño renal y óseo</w:t>
      </w:r>
      <w:r w:rsidRPr="00000FF8">
        <w:rPr>
          <w:rFonts w:ascii="Arial" w:hAnsi="Arial" w:cs="Arial"/>
          <w:noProof/>
          <w:color w:val="000000"/>
          <w:vertAlign w:val="superscript"/>
        </w:rPr>
        <w:t>16</w:t>
      </w:r>
      <w:r w:rsidRPr="00000FF8">
        <w:rPr>
          <w:rFonts w:ascii="Arial" w:hAnsi="Arial" w:cs="Arial"/>
          <w:color w:val="000000"/>
        </w:rPr>
        <w:t xml:space="preserve">. </w:t>
      </w:r>
      <w:r w:rsidRPr="00000FF8">
        <w:rPr>
          <w:rFonts w:ascii="Arial" w:hAnsi="Arial" w:cs="Arial"/>
        </w:rPr>
        <w:t xml:space="preserve">EVG/c/FTC/TAF se considera de elección respecto a EVG/c/FTC/TDF debido a su mayor eficacia, mejor perfil de tolerancia y la posibilidad de administrarse con FGe a partir de 30 ml/min. </w:t>
      </w:r>
      <w:r w:rsidRPr="00000FF8">
        <w:rPr>
          <w:rFonts w:ascii="Arial" w:hAnsi="Arial" w:cs="Arial"/>
          <w:color w:val="000000"/>
        </w:rPr>
        <w:t>Sin embargo,</w:t>
      </w:r>
      <w:r w:rsidRPr="00000FF8">
        <w:rPr>
          <w:rFonts w:ascii="Arial" w:hAnsi="Arial" w:cs="Arial"/>
        </w:rPr>
        <w:t xml:space="preserve"> no se incluye entre las pautas preferentes debido a su mayor potencial de interacciones con respecto a los otros INI no potenciados, que pueden también administrarse en combinación con FTC/TAF. </w:t>
      </w:r>
    </w:p>
    <w:p w14:paraId="2B08E83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DTG se </w:t>
      </w:r>
      <w:r w:rsidRPr="00000FF8">
        <w:rPr>
          <w:rFonts w:ascii="Arial" w:hAnsi="Arial" w:cs="Arial"/>
        </w:rPr>
        <w:t>administra como un comprimido de 50 mg una vez al día en pacientes sin TAR previo y no necesita potenciación. Se ha comparado en ensayos clínicos fase III con FAR de las tres familias que en algún momento han sido recomendados en el TAR de inicio</w:t>
      </w:r>
      <w:r w:rsidRPr="00000FF8">
        <w:rPr>
          <w:rFonts w:ascii="Arial" w:hAnsi="Arial" w:cs="Arial"/>
          <w:color w:val="000000"/>
        </w:rPr>
        <w:t xml:space="preserve">. </w:t>
      </w:r>
    </w:p>
    <w:p w14:paraId="0FC27B3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El ensayo clínico aleatorizado y doble ciego SINGLE</w:t>
      </w:r>
      <w:r w:rsidRPr="00000FF8">
        <w:rPr>
          <w:rFonts w:ascii="Arial" w:hAnsi="Arial" w:cs="Arial"/>
          <w:noProof/>
          <w:vertAlign w:val="superscript"/>
        </w:rPr>
        <w:t>25,36</w:t>
      </w:r>
      <w:r w:rsidRPr="00000FF8">
        <w:rPr>
          <w:rFonts w:ascii="Arial" w:hAnsi="Arial" w:cs="Arial"/>
        </w:rPr>
        <w:t xml:space="preserve"> demostró la superioridad de DTG/3TC/ABC frente a EFV/FTC/TDF a las 48 semanas que se mantuvo en la semana 144. La proporción de fracasos virológicos fue similar en ambos brazos de tratamiento, pero la proporción de interrupciones por efectos adversos fue mayor en el brazo de EFV/FTC/TDF. La proporción de pacientes en fase avanzada (cifra de CD4 &lt;200/µL) fue baja (14%). </w:t>
      </w:r>
    </w:p>
    <w:p w14:paraId="32FD23D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El ensayo clínico aleatorizado ADVANCE realizado en Sudáfrica comparó la eficacia de DTG+FTC/TAF, DTG+FTC/TDF y EFV/FTC/TDF</w:t>
      </w:r>
      <w:r w:rsidRPr="00000FF8">
        <w:rPr>
          <w:rFonts w:ascii="Arial" w:hAnsi="Arial" w:cs="Arial"/>
          <w:highlight w:val="yellow"/>
          <w:vertAlign w:val="superscript"/>
        </w:rPr>
        <w:t>17</w:t>
      </w:r>
      <w:r w:rsidRPr="00000FF8">
        <w:rPr>
          <w:rFonts w:ascii="Arial" w:hAnsi="Arial" w:cs="Arial"/>
          <w:highlight w:val="yellow"/>
        </w:rPr>
        <w:t xml:space="preserve">. El 60% de los pacientes incluidos eran mujeres, el 30% tenía una cifra de CD4 inicial &lt;200/µL y no se disponía de estudio de resistencias basal. A las 48 semanas el porcentaje de pacientes con CV &lt;50 copias/mL (análisis ITT </w:t>
      </w:r>
      <w:r w:rsidRPr="00000FF8">
        <w:rPr>
          <w:rFonts w:ascii="Arial" w:hAnsi="Arial" w:cs="Arial"/>
          <w:i/>
          <w:highlight w:val="yellow"/>
        </w:rPr>
        <w:t>snapshot</w:t>
      </w:r>
      <w:r w:rsidRPr="00000FF8">
        <w:rPr>
          <w:rFonts w:ascii="Arial" w:hAnsi="Arial" w:cs="Arial"/>
          <w:highlight w:val="yellow"/>
        </w:rPr>
        <w:t xml:space="preserve">) </w:t>
      </w:r>
      <w:r w:rsidRPr="00000FF8">
        <w:rPr>
          <w:rFonts w:ascii="Arial" w:hAnsi="Arial" w:cs="Arial"/>
          <w:color w:val="000000"/>
          <w:highlight w:val="yellow"/>
        </w:rPr>
        <w:t>fue 84%, 85% y 79%, respectivamente</w:t>
      </w:r>
      <w:r w:rsidRPr="00000FF8">
        <w:rPr>
          <w:rFonts w:ascii="Arial" w:hAnsi="Arial" w:cs="Arial"/>
          <w:highlight w:val="yellow"/>
        </w:rPr>
        <w:t>, demostrándose la no inferioridad de las pautas con DTG respecto a EFV. Las diferencias en la eficacia entre DTG y EFV se debieron fundamentalmente a un mayor número de discontinuaciones en el grupo de EFV.</w:t>
      </w:r>
      <w:r w:rsidRPr="00000FF8">
        <w:rPr>
          <w:rFonts w:ascii="Arial" w:hAnsi="Arial" w:cs="Arial"/>
        </w:rPr>
        <w:t xml:space="preserve"> </w:t>
      </w:r>
    </w:p>
    <w:p w14:paraId="3455313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El ensayo clínico aleatorizado abierto NAMSAL ANRS 12313</w:t>
      </w:r>
      <w:r w:rsidRPr="00000FF8">
        <w:rPr>
          <w:rFonts w:ascii="Arial" w:hAnsi="Arial" w:cs="Arial"/>
          <w:highlight w:val="yellow"/>
          <w:vertAlign w:val="superscript"/>
        </w:rPr>
        <w:t xml:space="preserve"> </w:t>
      </w:r>
      <w:r w:rsidRPr="00000FF8">
        <w:rPr>
          <w:rFonts w:ascii="Arial" w:hAnsi="Arial" w:cs="Arial"/>
          <w:highlight w:val="yellow"/>
        </w:rPr>
        <w:t>comparó la eficacia de DTG y EFV 400 mg, ambos en combinación con FTC/TDF, en pacientes sin TAR previo</w:t>
      </w:r>
      <w:r w:rsidRPr="00000FF8">
        <w:rPr>
          <w:rFonts w:ascii="Arial" w:hAnsi="Arial" w:cs="Arial"/>
          <w:highlight w:val="yellow"/>
          <w:vertAlign w:val="superscript"/>
        </w:rPr>
        <w:t>37</w:t>
      </w:r>
      <w:r w:rsidRPr="00000FF8">
        <w:rPr>
          <w:rFonts w:ascii="Arial" w:hAnsi="Arial" w:cs="Arial"/>
          <w:highlight w:val="yellow"/>
        </w:rPr>
        <w:t>. DTG demostró una eficacia no inferior a EFV 400 mg a las 48 semanas.</w:t>
      </w:r>
      <w:r w:rsidRPr="00000FF8">
        <w:rPr>
          <w:rFonts w:ascii="Arial" w:hAnsi="Arial" w:cs="Arial"/>
        </w:rPr>
        <w:t xml:space="preserve"> </w:t>
      </w:r>
    </w:p>
    <w:p w14:paraId="434F099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DTG ha demostrado eficacia superior al IP/p DRV/r, ambos en combinación con 2 ITIAN, en un ensayo clínico aleatorizado abierto (FLAMINGO)</w:t>
      </w:r>
      <w:r w:rsidRPr="00000FF8">
        <w:rPr>
          <w:rFonts w:ascii="Arial" w:hAnsi="Arial" w:cs="Arial"/>
          <w:noProof/>
          <w:vertAlign w:val="superscript"/>
        </w:rPr>
        <w:t>27,38</w:t>
      </w:r>
      <w:r w:rsidRPr="00000FF8">
        <w:rPr>
          <w:rFonts w:ascii="Arial" w:hAnsi="Arial" w:cs="Arial"/>
        </w:rPr>
        <w:t xml:space="preserve">. Aunque no se observaron diferencias en cuanto a fracasos virológicos, el porcentaje de efectos adversos y discontinuaciones por causas no relacionadas con el fármaco </w:t>
      </w:r>
      <w:r w:rsidRPr="00000FF8">
        <w:rPr>
          <w:rFonts w:ascii="Arial" w:hAnsi="Arial" w:cs="Arial"/>
        </w:rPr>
        <w:lastRenderedPageBreak/>
        <w:t xml:space="preserve">fue mayor en los tratados con DRV/r. </w:t>
      </w:r>
    </w:p>
    <w:p w14:paraId="4A2EC4A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rPr>
        <w:t xml:space="preserve">El ensayo clínico aleatorizado abierto </w:t>
      </w:r>
      <w:r w:rsidRPr="00000FF8">
        <w:rPr>
          <w:rFonts w:ascii="Arial" w:hAnsi="Arial" w:cs="Arial"/>
          <w:noProof/>
        </w:rPr>
        <w:t>ARIA</w:t>
      </w:r>
      <w:r w:rsidRPr="00000FF8">
        <w:rPr>
          <w:rFonts w:ascii="Arial" w:hAnsi="Arial" w:cs="Arial"/>
          <w:noProof/>
          <w:vertAlign w:val="superscript"/>
        </w:rPr>
        <w:t>39</w:t>
      </w:r>
      <w:r w:rsidRPr="00000FF8">
        <w:rPr>
          <w:rFonts w:ascii="Arial" w:hAnsi="Arial" w:cs="Arial"/>
        </w:rPr>
        <w:t xml:space="preserve"> en el que se incluyeron solamente mujeres </w:t>
      </w:r>
      <w:r w:rsidRPr="00000FF8">
        <w:rPr>
          <w:rFonts w:ascii="Arial" w:hAnsi="Arial" w:cs="Arial"/>
          <w:noProof/>
        </w:rPr>
        <w:t>mostró una eficacia superior de DTG/3TC/ABC frente a ATV/r+FTC/TDF</w:t>
      </w:r>
      <w:r w:rsidRPr="00000FF8">
        <w:rPr>
          <w:rFonts w:ascii="Arial" w:hAnsi="Arial" w:cs="Arial"/>
        </w:rPr>
        <w:t xml:space="preserve">. </w:t>
      </w:r>
    </w:p>
    <w:p w14:paraId="7F3C5293"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DTG también ha demostrado no inferioridad frente a al INI RAL en un estudio aleatorizado doble ciego (SPRING-2)</w:t>
      </w:r>
      <w:r w:rsidRPr="00000FF8">
        <w:rPr>
          <w:rFonts w:ascii="Arial" w:hAnsi="Arial" w:cs="Arial"/>
          <w:color w:val="000000"/>
          <w:vertAlign w:val="superscript"/>
        </w:rPr>
        <w:t>26</w:t>
      </w:r>
      <w:r w:rsidRPr="00000FF8">
        <w:rPr>
          <w:rFonts w:ascii="Arial" w:hAnsi="Arial" w:cs="Arial"/>
          <w:color w:val="000000"/>
        </w:rPr>
        <w:t xml:space="preserve">. </w:t>
      </w:r>
    </w:p>
    <w:p w14:paraId="4838CBE9"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highlight w:val="yellow"/>
        </w:rPr>
      </w:pPr>
      <w:r w:rsidRPr="00000FF8">
        <w:rPr>
          <w:rFonts w:ascii="Arial" w:hAnsi="Arial" w:cs="Arial"/>
          <w:bCs/>
          <w:color w:val="000000"/>
        </w:rPr>
        <w:t>Dos ensayos clínicos aleatorizados con el mismo diseño (GEMINI-1 y GEMINI-2)</w:t>
      </w:r>
      <w:r w:rsidRPr="00000FF8">
        <w:rPr>
          <w:rFonts w:ascii="Arial" w:hAnsi="Arial" w:cs="Arial"/>
          <w:bCs/>
          <w:color w:val="000000"/>
          <w:vertAlign w:val="superscript"/>
        </w:rPr>
        <w:t>40</w:t>
      </w:r>
      <w:r w:rsidRPr="00000FF8">
        <w:rPr>
          <w:rFonts w:ascii="Arial" w:hAnsi="Arial" w:cs="Arial"/>
          <w:bCs/>
          <w:color w:val="000000"/>
        </w:rPr>
        <w:t xml:space="preserve">, han comparado la biterapia DTG+3TC con el TAR triple DTG+TDF/FTC en un total de 1433 pacientes sin tratamiento previo y con CVP inferior a 500.000 copias/mL. DTG+3TC demostró la no inferioridad frente al tratamiento triple, manteniendo una alta eficacia a las 48 semanas (CVP &lt;50 copias/mL 91%, análisis </w:t>
      </w:r>
      <w:r w:rsidRPr="00000FF8">
        <w:rPr>
          <w:rFonts w:ascii="Arial" w:hAnsi="Arial" w:cs="Arial"/>
          <w:bCs/>
          <w:i/>
          <w:color w:val="000000"/>
        </w:rPr>
        <w:t>snapshot</w:t>
      </w:r>
      <w:r w:rsidRPr="00000FF8">
        <w:rPr>
          <w:rFonts w:ascii="Arial" w:hAnsi="Arial" w:cs="Arial"/>
          <w:bCs/>
          <w:color w:val="000000"/>
        </w:rPr>
        <w:t>). La no inferioridad de DTG+3TC se mantuvo en el análisis a las 96 semanas</w:t>
      </w:r>
      <w:r w:rsidRPr="00000FF8">
        <w:rPr>
          <w:rFonts w:ascii="Arial" w:hAnsi="Arial" w:cs="Arial"/>
          <w:bCs/>
          <w:color w:val="000000"/>
          <w:vertAlign w:val="superscript"/>
        </w:rPr>
        <w:t>41</w:t>
      </w:r>
      <w:r w:rsidRPr="00000FF8">
        <w:rPr>
          <w:rFonts w:ascii="Arial" w:hAnsi="Arial" w:cs="Arial"/>
          <w:bCs/>
          <w:color w:val="000000"/>
        </w:rPr>
        <w:t>. En el análisis planificado de subgrupos, no se observaron diferencias en función de la CVP basal mayor o menor de 100.000 copias/mL. En cambio, los pacientes que iniciaron DTG+3TC con una cifra basal de CD4+ inferior a 200</w:t>
      </w:r>
      <w:r w:rsidRPr="00000FF8">
        <w:rPr>
          <w:rFonts w:ascii="Arial" w:hAnsi="Arial" w:cs="Arial"/>
          <w:color w:val="252525"/>
        </w:rPr>
        <w:t>/µL</w:t>
      </w:r>
      <w:r w:rsidRPr="00000FF8">
        <w:rPr>
          <w:rFonts w:ascii="Arial" w:hAnsi="Arial" w:cs="Arial"/>
          <w:bCs/>
          <w:color w:val="000000"/>
        </w:rPr>
        <w:t xml:space="preserve"> mostraron una menor eficacia en el análisis por </w:t>
      </w:r>
      <w:r w:rsidRPr="00000FF8">
        <w:rPr>
          <w:rFonts w:ascii="Arial" w:hAnsi="Arial" w:cs="Arial"/>
          <w:bCs/>
          <w:i/>
          <w:color w:val="000000"/>
        </w:rPr>
        <w:t>snapshot</w:t>
      </w:r>
      <w:r w:rsidRPr="00000FF8">
        <w:rPr>
          <w:rFonts w:ascii="Arial" w:hAnsi="Arial" w:cs="Arial"/>
          <w:bCs/>
          <w:color w:val="000000"/>
        </w:rPr>
        <w:t xml:space="preserve">, </w:t>
      </w:r>
      <w:r w:rsidRPr="00000FF8">
        <w:rPr>
          <w:rFonts w:ascii="Arial" w:hAnsi="Arial" w:cs="Arial"/>
          <w:bCs/>
          <w:color w:val="000000"/>
          <w:highlight w:val="yellow"/>
        </w:rPr>
        <w:t xml:space="preserve">aunque la causa de esta menor eficacia no se debió a un mayor porcentaje de fracaso virológico, sino a discontinuaciones no relacionadas directamente con el tratamiento. Además, el número de pacientes en este subgrupo, como sucede en la mayoría de ensayos clínicos, fue pequeño (n=65, 9%) y no permite extraer conclusiones definitivas. </w:t>
      </w:r>
    </w:p>
    <w:p w14:paraId="45F382E2" w14:textId="5C72ACFB"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highlight w:val="yellow"/>
        </w:rPr>
      </w:pPr>
      <w:r w:rsidRPr="00000FF8">
        <w:rPr>
          <w:rFonts w:ascii="Arial" w:hAnsi="Arial" w:cs="Arial"/>
          <w:bCs/>
          <w:color w:val="000000"/>
          <w:highlight w:val="yellow"/>
        </w:rPr>
        <w:t>En un meta</w:t>
      </w:r>
      <w:r w:rsidR="00BF2F12">
        <w:rPr>
          <w:rFonts w:ascii="Arial" w:hAnsi="Arial" w:cs="Arial"/>
          <w:bCs/>
          <w:color w:val="000000"/>
          <w:highlight w:val="yellow"/>
        </w:rPr>
        <w:t>-</w:t>
      </w:r>
      <w:r w:rsidRPr="00000FF8">
        <w:rPr>
          <w:rFonts w:ascii="Arial" w:hAnsi="Arial" w:cs="Arial"/>
          <w:bCs/>
          <w:color w:val="000000"/>
          <w:highlight w:val="yellow"/>
        </w:rPr>
        <w:t>análisis en red de 14 ensayos clínicos aleatorizados y doble ciego con pautas de TAR de inicio ha mostrado que la eficacia y seguridad de DTG+3TC a las 48 semanas de tratamiento es comparable a las combinaciones de TAR triples analizadas</w:t>
      </w:r>
      <w:r w:rsidR="00BF2F12">
        <w:rPr>
          <w:rFonts w:ascii="Arial" w:hAnsi="Arial" w:cs="Arial"/>
          <w:bCs/>
          <w:color w:val="000000"/>
          <w:highlight w:val="yellow"/>
        </w:rPr>
        <w:t xml:space="preserve"> incluso en aquellos pacientes con CVP basal &gt; 100.copias/mL</w:t>
      </w:r>
      <w:r w:rsidR="00BF2F12" w:rsidRPr="00000FF8">
        <w:rPr>
          <w:rFonts w:ascii="Arial" w:hAnsi="Arial" w:cs="Arial"/>
          <w:bCs/>
          <w:color w:val="000000"/>
          <w:highlight w:val="yellow"/>
          <w:vertAlign w:val="superscript"/>
        </w:rPr>
        <w:t>42</w:t>
      </w:r>
      <w:r w:rsidR="00BF2F12" w:rsidRPr="00000FF8">
        <w:rPr>
          <w:rFonts w:ascii="Arial" w:hAnsi="Arial" w:cs="Arial"/>
          <w:bCs/>
          <w:color w:val="000000"/>
          <w:highlight w:val="yellow"/>
        </w:rPr>
        <w:t xml:space="preserve">. </w:t>
      </w:r>
    </w:p>
    <w:p w14:paraId="1D6A061C" w14:textId="33414E04" w:rsidR="001B5265" w:rsidRPr="00BF2F12" w:rsidRDefault="00BF2F12" w:rsidP="001B5265">
      <w:pPr>
        <w:widowControl w:val="0"/>
        <w:autoSpaceDE w:val="0"/>
        <w:autoSpaceDN w:val="0"/>
        <w:adjustRightInd w:val="0"/>
        <w:spacing w:before="120" w:after="120" w:line="276" w:lineRule="auto"/>
        <w:jc w:val="both"/>
        <w:rPr>
          <w:rFonts w:ascii="Arial" w:hAnsi="Arial" w:cs="Arial"/>
          <w:bCs/>
          <w:color w:val="000000"/>
        </w:rPr>
      </w:pPr>
      <w:r w:rsidRPr="00C26D36">
        <w:rPr>
          <w:rFonts w:ascii="Arial" w:hAnsi="Arial" w:cs="Arial"/>
          <w:bCs/>
          <w:color w:val="000000"/>
          <w:highlight w:val="yellow"/>
        </w:rPr>
        <w:t>Con la información disponible actualmente, el Panel considera que se necesita disponer de mayor información sobre la eficacia de DTG+3TC en pacientes con una cifra de CD4 &lt;200/µL antes de que pueda recomendarse en este escenario clínico.</w:t>
      </w:r>
      <w:r w:rsidRPr="00C84560">
        <w:rPr>
          <w:rFonts w:ascii="Arial" w:hAnsi="Arial" w:cs="Arial"/>
          <w:bCs/>
          <w:color w:val="000000"/>
        </w:rPr>
        <w:t xml:space="preserve"> </w:t>
      </w:r>
    </w:p>
    <w:p w14:paraId="07792B67"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Es importante destacar que no se ha observado la selección de mutaciones de resistencia a DTG en ninguno de los ensayos clínicos con DTG en TAR de inicio, incluidos los estudios con biterapia DTG+3TC, lo que indica que DTG presenta una barrera a las resistencias superior a la RAL y EVG. </w:t>
      </w:r>
    </w:p>
    <w:p w14:paraId="4E82CFF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rPr>
      </w:pPr>
      <w:r w:rsidRPr="00000FF8">
        <w:rPr>
          <w:rFonts w:ascii="Arial" w:hAnsi="Arial" w:cs="Arial"/>
          <w:bCs/>
          <w:color w:val="000000"/>
        </w:rPr>
        <w:t>En estudios observacionales en la vida real se ha descrito un mayor número de discontinuaciones debido a eventos neuropsiquiátricos en pacientes que recibían DTG no observados previamente en ensayos clínicos</w:t>
      </w:r>
      <w:r w:rsidRPr="00000FF8">
        <w:rPr>
          <w:rFonts w:ascii="Arial" w:hAnsi="Arial" w:cs="Arial"/>
          <w:bCs/>
          <w:noProof/>
          <w:color w:val="000000"/>
          <w:vertAlign w:val="superscript"/>
        </w:rPr>
        <w:t>57,58</w:t>
      </w:r>
      <w:r w:rsidRPr="00000FF8">
        <w:rPr>
          <w:rFonts w:ascii="Arial" w:hAnsi="Arial" w:cs="Arial"/>
          <w:bCs/>
          <w:color w:val="000000"/>
        </w:rPr>
        <w:t xml:space="preserve">. Estos resultados hay que interpretarlos con precaución ya que tienen las limitaciones de los estudios observacionales. </w:t>
      </w:r>
    </w:p>
    <w:p w14:paraId="0B71A78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highlight w:val="yellow"/>
        </w:rPr>
      </w:pPr>
      <w:r w:rsidRPr="00000FF8">
        <w:rPr>
          <w:rFonts w:ascii="Arial" w:hAnsi="Arial" w:cs="Arial"/>
          <w:bCs/>
          <w:color w:val="000000"/>
        </w:rPr>
        <w:t xml:space="preserve">Por otro lado, en mayo de 2018 las autoridades sanitarias emitieron una alerta </w:t>
      </w:r>
      <w:r w:rsidRPr="00000FF8">
        <w:rPr>
          <w:rFonts w:ascii="Arial" w:hAnsi="Arial" w:cs="Arial"/>
          <w:bCs/>
          <w:color w:val="000000"/>
        </w:rPr>
        <w:lastRenderedPageBreak/>
        <w:t>ante el hallazgo, en un análisis preliminar de un estudio observacional en Botswana, de una incidencia de malformaciones del tubo neural superior a la esperada en neonatos cuyas madres estaban recibiendo DTG en el momento de la concepción (0,67% frente al 0,12% en mujeres que recibían otros antirretrovirales, mayoritariamente EFV)</w:t>
      </w:r>
      <w:r w:rsidRPr="00000FF8">
        <w:rPr>
          <w:rFonts w:ascii="Arial" w:hAnsi="Arial" w:cs="Arial"/>
          <w:bCs/>
          <w:color w:val="000000"/>
          <w:highlight w:val="yellow"/>
          <w:vertAlign w:val="superscript"/>
        </w:rPr>
        <w:t>43</w:t>
      </w:r>
      <w:r w:rsidRPr="00000FF8">
        <w:rPr>
          <w:rFonts w:ascii="Arial" w:hAnsi="Arial" w:cs="Arial"/>
          <w:bCs/>
          <w:color w:val="000000"/>
        </w:rPr>
        <w:t xml:space="preserve">. </w:t>
      </w:r>
      <w:r w:rsidRPr="00000FF8">
        <w:rPr>
          <w:rFonts w:ascii="Arial" w:hAnsi="Arial" w:cs="Arial"/>
          <w:bCs/>
          <w:color w:val="000000"/>
          <w:highlight w:val="yellow"/>
        </w:rPr>
        <w:t>Los resultados finales del estudio con más de 119.000 nacimientos analizados (aproximadamente el 72% de los nacimientos del país) han mostrado un descenso en la prevalencia de malformaciones del tubo neural en niños nacidos de mujeres expuestas a DTG en la concepción al 0.3% (5/1683) aunque todavía ligeramente superior a los nacimientos de madres expuestas a otros FAR (0.1%, 15/</w:t>
      </w:r>
      <w:r w:rsidRPr="00000FF8">
        <w:rPr>
          <w:rFonts w:ascii="Arial" w:hAnsi="Arial" w:cs="Arial"/>
          <w:highlight w:val="yellow"/>
          <w:lang w:val="es-ES_tradnl"/>
        </w:rPr>
        <w:t>14.792</w:t>
      </w:r>
      <w:r w:rsidRPr="00000FF8">
        <w:rPr>
          <w:rFonts w:ascii="Arial" w:hAnsi="Arial" w:cs="Arial"/>
          <w:bCs/>
          <w:color w:val="000000"/>
          <w:highlight w:val="yellow"/>
        </w:rPr>
        <w:t>), a DTG durante el embarazo, pero no en la concepción (0.03%, 1/3.840) o VIH-negativas (0.08%, 70/89.372)</w:t>
      </w:r>
      <w:r w:rsidRPr="00000FF8">
        <w:rPr>
          <w:rFonts w:ascii="Arial" w:hAnsi="Arial" w:cs="Arial"/>
          <w:bCs/>
          <w:color w:val="000000"/>
          <w:highlight w:val="yellow"/>
          <w:vertAlign w:val="superscript"/>
        </w:rPr>
        <w:t>44</w:t>
      </w:r>
      <w:r w:rsidRPr="00000FF8">
        <w:rPr>
          <w:rFonts w:ascii="Arial" w:hAnsi="Arial" w:cs="Arial"/>
          <w:bCs/>
          <w:color w:val="000000"/>
          <w:highlight w:val="yellow"/>
        </w:rPr>
        <w:t>.</w:t>
      </w:r>
    </w:p>
    <w:p w14:paraId="7DFFD33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rPr>
      </w:pPr>
    </w:p>
    <w:p w14:paraId="5A55E70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highlight w:val="yellow"/>
        </w:rPr>
      </w:pPr>
      <w:r w:rsidRPr="00000FF8">
        <w:rPr>
          <w:rFonts w:ascii="Arial" w:hAnsi="Arial" w:cs="Arial"/>
          <w:bCs/>
          <w:color w:val="000000"/>
          <w:highlight w:val="yellow"/>
        </w:rPr>
        <w:t>BIC se encuentra disponible en coformulación con FTC y TAF en un único comprimido que se administra una vez al día (BIC/FTC/TAF).</w:t>
      </w:r>
    </w:p>
    <w:p w14:paraId="51C927A0" w14:textId="6E7AEEFE" w:rsidR="001B5265" w:rsidRPr="00943FC7" w:rsidRDefault="001B5265" w:rsidP="001B5265">
      <w:pPr>
        <w:widowControl w:val="0"/>
        <w:autoSpaceDE w:val="0"/>
        <w:autoSpaceDN w:val="0"/>
        <w:adjustRightInd w:val="0"/>
        <w:spacing w:before="120" w:after="120" w:line="276" w:lineRule="auto"/>
        <w:jc w:val="both"/>
        <w:rPr>
          <w:rFonts w:ascii="Arial" w:hAnsi="Arial" w:cs="Arial"/>
          <w:bCs/>
          <w:color w:val="000000"/>
        </w:rPr>
      </w:pPr>
      <w:r w:rsidRPr="00000FF8">
        <w:rPr>
          <w:rFonts w:ascii="Arial" w:hAnsi="Arial" w:cs="Arial"/>
          <w:bCs/>
          <w:color w:val="000000"/>
          <w:highlight w:val="yellow"/>
        </w:rPr>
        <w:t>BIC/FTC/TAF en pacientes sin TAR previo se ha estudiado en dos ensayos clínicos fase III aleatorizados y doble ciego, ambos en comparación con DTG. En el estudio GS-US-380-1489</w:t>
      </w:r>
      <w:r w:rsidRPr="00000FF8">
        <w:rPr>
          <w:rFonts w:ascii="Arial" w:hAnsi="Arial" w:cs="Arial"/>
          <w:bCs/>
          <w:noProof/>
          <w:color w:val="000000"/>
          <w:highlight w:val="yellow"/>
          <w:vertAlign w:val="superscript"/>
        </w:rPr>
        <w:t>20</w:t>
      </w:r>
      <w:r w:rsidRPr="00000FF8">
        <w:rPr>
          <w:rFonts w:ascii="Arial" w:hAnsi="Arial" w:cs="Arial"/>
          <w:bCs/>
          <w:color w:val="000000"/>
          <w:highlight w:val="yellow"/>
        </w:rPr>
        <w:t xml:space="preserve"> BIC/FTC/TAF demostró una eficacia no inferior a DTG/3TC/ABC y en el estudio GS-US-380-1490</w:t>
      </w:r>
      <w:r w:rsidRPr="00000FF8">
        <w:rPr>
          <w:rFonts w:ascii="Arial" w:hAnsi="Arial" w:cs="Arial"/>
          <w:bCs/>
          <w:noProof/>
          <w:color w:val="000000"/>
          <w:highlight w:val="yellow"/>
          <w:vertAlign w:val="superscript"/>
        </w:rPr>
        <w:t>45</w:t>
      </w:r>
      <w:r w:rsidRPr="00000FF8">
        <w:rPr>
          <w:rFonts w:ascii="Arial" w:hAnsi="Arial" w:cs="Arial"/>
          <w:bCs/>
          <w:color w:val="000000"/>
          <w:highlight w:val="yellow"/>
        </w:rPr>
        <w:t xml:space="preserve">, BIC/FTC/TAF se mostró no inferior a DTG+FTC/TAF. En ambos estudios, BIC/FTC/TAF ha mantenido la no inferioridad frente a las pautas con DTG a las 96 semanas </w:t>
      </w:r>
      <w:r w:rsidRPr="00000FF8">
        <w:rPr>
          <w:rFonts w:ascii="Arial" w:hAnsi="Arial" w:cs="Arial"/>
          <w:bCs/>
          <w:color w:val="000000"/>
          <w:highlight w:val="yellow"/>
          <w:vertAlign w:val="superscript"/>
        </w:rPr>
        <w:t>46-47</w:t>
      </w:r>
      <w:r w:rsidRPr="00000FF8">
        <w:rPr>
          <w:rFonts w:ascii="Arial" w:hAnsi="Arial" w:cs="Arial"/>
          <w:bCs/>
          <w:color w:val="000000"/>
          <w:highlight w:val="yellow"/>
        </w:rPr>
        <w:t xml:space="preserve">. El porcentaje de discontinuaciones por efectos adversos fue bajo (2%) y similar a los grupos de tratamiento con DTG. No se observó selección de </w:t>
      </w:r>
      <w:r w:rsidR="00BF2F12">
        <w:rPr>
          <w:rFonts w:ascii="Arial" w:hAnsi="Arial" w:cs="Arial"/>
          <w:bCs/>
          <w:color w:val="000000"/>
          <w:highlight w:val="yellow"/>
        </w:rPr>
        <w:t>MR</w:t>
      </w:r>
      <w:r w:rsidRPr="00000FF8">
        <w:rPr>
          <w:rFonts w:ascii="Arial" w:hAnsi="Arial" w:cs="Arial"/>
          <w:bCs/>
          <w:color w:val="000000"/>
          <w:highlight w:val="yellow"/>
        </w:rPr>
        <w:t xml:space="preserve"> a los fármacos utilizados en ningún paciente.</w:t>
      </w:r>
      <w:r w:rsidRPr="00000FF8">
        <w:rPr>
          <w:rFonts w:ascii="Arial" w:hAnsi="Arial" w:cs="Arial"/>
          <w:bCs/>
          <w:color w:val="000000"/>
        </w:rPr>
        <w:t xml:space="preserve">  </w:t>
      </w:r>
    </w:p>
    <w:p w14:paraId="2D01FFA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rPr>
      </w:pPr>
      <w:r w:rsidRPr="00000FF8">
        <w:rPr>
          <w:rFonts w:ascii="Arial" w:hAnsi="Arial" w:cs="Arial"/>
          <w:bCs/>
          <w:color w:val="000000"/>
        </w:rPr>
        <w:t>En un meta-análisis en red</w:t>
      </w:r>
      <w:r w:rsidRPr="00000FF8">
        <w:rPr>
          <w:rFonts w:ascii="Arial" w:hAnsi="Arial" w:cs="Arial"/>
          <w:bCs/>
          <w:noProof/>
          <w:color w:val="000000"/>
          <w:vertAlign w:val="superscript"/>
        </w:rPr>
        <w:t>48</w:t>
      </w:r>
      <w:r w:rsidRPr="00000FF8">
        <w:rPr>
          <w:rFonts w:ascii="Arial" w:hAnsi="Arial" w:cs="Arial"/>
          <w:bCs/>
          <w:color w:val="000000"/>
        </w:rPr>
        <w:t xml:space="preserve">, promovido por la Organización Mundial de la Salud (OMS), que comparó diversas pautas de TAR de inicio se evidenció una mayor eficacia a 48 semanas de los INI RAL, DTG y EVG que EFV, fármaco considerado por la OMS como referente en ese momento. Los resultados sugieren una jerarquía entre los INI estudiados, situando a DTG como el más eficaz, seguido de RAL, y después EVG/c. </w:t>
      </w:r>
      <w:r w:rsidRPr="00000FF8">
        <w:rPr>
          <w:rFonts w:ascii="Arial" w:hAnsi="Arial" w:cs="Arial"/>
          <w:bCs/>
          <w:color w:val="000000"/>
          <w:highlight w:val="yellow"/>
        </w:rPr>
        <w:t>No obstante, debe señalarse que en el meta-análisis no se incluyeron los ensayos clínicos con BIC y, en el caso de EVG/c, se tuvieron en cuenta los estudios con EVGc/FTC/TDF, pero no con EVG/c/FTC/TAF.</w:t>
      </w:r>
    </w:p>
    <w:p w14:paraId="40B8FA3D"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rPr>
      </w:pPr>
    </w:p>
    <w:p w14:paraId="1364D0D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rPr>
      </w:pPr>
      <w:r w:rsidRPr="00000FF8">
        <w:rPr>
          <w:rFonts w:ascii="Arial" w:hAnsi="Arial" w:cs="Arial"/>
          <w:bCs/>
          <w:color w:val="000000"/>
          <w:highlight w:val="yellow"/>
        </w:rPr>
        <w:t>Se ha descrito un aumento de peso en pacientes que inician TAR con un INI mayor que con otras clases de FAR y más asociado a DTG y BIC, en comparación con otros INI</w:t>
      </w:r>
      <w:r w:rsidRPr="00000FF8">
        <w:rPr>
          <w:rFonts w:ascii="Arial" w:hAnsi="Arial" w:cs="Arial"/>
          <w:bCs/>
          <w:color w:val="000000"/>
          <w:highlight w:val="yellow"/>
          <w:vertAlign w:val="superscript"/>
        </w:rPr>
        <w:t>17,19,37,49</w:t>
      </w:r>
      <w:r w:rsidRPr="00000FF8">
        <w:rPr>
          <w:rFonts w:ascii="Arial" w:hAnsi="Arial" w:cs="Arial"/>
          <w:bCs/>
          <w:color w:val="000000"/>
          <w:highlight w:val="yellow"/>
        </w:rPr>
        <w:t>.  En los estudios ADVANCE</w:t>
      </w:r>
      <w:r w:rsidRPr="00000FF8">
        <w:rPr>
          <w:rFonts w:ascii="Arial" w:hAnsi="Arial" w:cs="Arial"/>
          <w:bCs/>
          <w:color w:val="000000"/>
          <w:highlight w:val="yellow"/>
          <w:vertAlign w:val="superscript"/>
        </w:rPr>
        <w:t>17</w:t>
      </w:r>
      <w:r w:rsidRPr="00000FF8">
        <w:rPr>
          <w:rFonts w:ascii="Arial" w:hAnsi="Arial" w:cs="Arial"/>
          <w:bCs/>
          <w:color w:val="000000"/>
          <w:highlight w:val="yellow"/>
        </w:rPr>
        <w:t xml:space="preserve">, que comparó DTG+FTC/TAF </w:t>
      </w:r>
      <w:r w:rsidRPr="00000FF8">
        <w:rPr>
          <w:rFonts w:ascii="Arial" w:hAnsi="Arial" w:cs="Arial"/>
          <w:highlight w:val="yellow"/>
        </w:rPr>
        <w:t>con DTG+FTC/TDF y EFV/FTC/TDF, y NAMSAL ANRS 12313</w:t>
      </w:r>
      <w:r w:rsidRPr="00000FF8">
        <w:rPr>
          <w:rFonts w:ascii="Arial" w:hAnsi="Arial" w:cs="Arial"/>
          <w:highlight w:val="yellow"/>
          <w:vertAlign w:val="superscript"/>
        </w:rPr>
        <w:t>37</w:t>
      </w:r>
      <w:r w:rsidRPr="00000FF8">
        <w:rPr>
          <w:rFonts w:ascii="Arial" w:hAnsi="Arial" w:cs="Arial"/>
          <w:highlight w:val="yellow"/>
        </w:rPr>
        <w:t xml:space="preserve">, que comparó DTG+FTC/TDF y EFV 400 mg + FTC/TDF, el tratamiento con DTG se asoció con un aumento de peso superior al tratamiento con EFV. Sin embargo, en el ensayo clínico GS-US-380-1490, que comparó BIC/FTC/TAF con </w:t>
      </w:r>
      <w:r w:rsidRPr="00000FF8">
        <w:rPr>
          <w:rFonts w:ascii="Arial" w:hAnsi="Arial" w:cs="Arial"/>
          <w:highlight w:val="yellow"/>
        </w:rPr>
        <w:lastRenderedPageBreak/>
        <w:t>DTG+FTC/TAF se observó un aumento de peso similar en ambos grupos de tratamiento</w:t>
      </w:r>
      <w:r w:rsidRPr="00000FF8">
        <w:rPr>
          <w:rFonts w:ascii="Arial" w:hAnsi="Arial" w:cs="Arial"/>
          <w:bCs/>
          <w:color w:val="000000"/>
          <w:highlight w:val="yellow"/>
          <w:vertAlign w:val="superscript"/>
        </w:rPr>
        <w:t xml:space="preserve"> 45</w:t>
      </w:r>
      <w:r w:rsidRPr="00000FF8">
        <w:rPr>
          <w:rFonts w:ascii="Arial" w:hAnsi="Arial" w:cs="Arial"/>
          <w:highlight w:val="yellow"/>
        </w:rPr>
        <w:t>. Se han identificado otros factores asociados al aumento de peso en pacientes que inician TAR, como son el uso de TAF, el sexo femenino, la raza negra, el recuento de CD4 inferior a 200 células/µL o la CVP superior a 100.000 copias/mL</w:t>
      </w:r>
      <w:r w:rsidRPr="00000FF8">
        <w:rPr>
          <w:rFonts w:ascii="Arial" w:hAnsi="Arial" w:cs="Arial"/>
          <w:highlight w:val="yellow"/>
          <w:vertAlign w:val="superscript"/>
        </w:rPr>
        <w:t>19</w:t>
      </w:r>
      <w:r w:rsidRPr="00000FF8">
        <w:rPr>
          <w:rFonts w:ascii="Arial" w:hAnsi="Arial" w:cs="Arial"/>
          <w:highlight w:val="yellow"/>
        </w:rPr>
        <w:t xml:space="preserve">. No se conoce bien todavía el mecanismo por el que los INI se asocian con aumento de peso, así como el impacto clínico que ello pueda tener. </w:t>
      </w:r>
    </w:p>
    <w:p w14:paraId="1DAC004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bCs/>
          <w:color w:val="000000"/>
          <w:lang w:val="es-ES_tradnl"/>
        </w:rPr>
      </w:pPr>
    </w:p>
    <w:p w14:paraId="6A9269AB"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 xml:space="preserve">Recomendaciones </w:t>
      </w:r>
    </w:p>
    <w:p w14:paraId="0DECBDD5" w14:textId="1F6154DF" w:rsidR="001B5265" w:rsidRPr="00000FF8" w:rsidRDefault="001B5265" w:rsidP="001B5265">
      <w:pPr>
        <w:numPr>
          <w:ilvl w:val="0"/>
          <w:numId w:val="5"/>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Se </w:t>
      </w:r>
      <w:r w:rsidR="00943FC7">
        <w:rPr>
          <w:rFonts w:ascii="Arial" w:hAnsi="Arial" w:cs="Arial"/>
          <w:lang w:val="es-ES_tradnl" w:eastAsia="en-US"/>
        </w:rPr>
        <w:t>recomiendan como</w:t>
      </w:r>
      <w:r w:rsidRPr="00000FF8">
        <w:rPr>
          <w:rFonts w:ascii="Arial" w:hAnsi="Arial" w:cs="Arial"/>
          <w:lang w:val="es-ES_tradnl" w:eastAsia="en-US"/>
        </w:rPr>
        <w:t xml:space="preserve"> pautas preferentes de TAR de inicio las siguientes combinaciones: BIC/FTC/TAF </w:t>
      </w:r>
      <w:r w:rsidRPr="00000FF8">
        <w:rPr>
          <w:rFonts w:ascii="Arial" w:hAnsi="Arial" w:cs="Arial"/>
          <w:b/>
          <w:i/>
          <w:lang w:val="es-ES_tradnl" w:eastAsia="en-US"/>
        </w:rPr>
        <w:t>(A-I)</w:t>
      </w:r>
      <w:r w:rsidRPr="00000FF8">
        <w:rPr>
          <w:rFonts w:ascii="Arial" w:hAnsi="Arial" w:cs="Arial"/>
          <w:lang w:val="es-ES_tradnl" w:eastAsia="en-US"/>
        </w:rPr>
        <w:t xml:space="preserve">; DTG/ABC/3TC o DTG+FTC/TAF </w:t>
      </w:r>
      <w:r w:rsidRPr="00000FF8">
        <w:rPr>
          <w:rFonts w:ascii="Arial" w:hAnsi="Arial" w:cs="Arial"/>
          <w:b/>
          <w:i/>
          <w:lang w:val="es-ES_tradnl" w:eastAsia="en-US"/>
        </w:rPr>
        <w:t>(A-I)</w:t>
      </w:r>
      <w:r w:rsidRPr="00000FF8">
        <w:rPr>
          <w:rFonts w:ascii="Arial" w:hAnsi="Arial" w:cs="Arial"/>
          <w:lang w:val="es-ES_tradnl" w:eastAsia="en-US"/>
        </w:rPr>
        <w:t xml:space="preserve">, RAL (400 mg BID o 1200 mg QD) + FTC/TAF </w:t>
      </w:r>
      <w:r w:rsidRPr="00000FF8">
        <w:rPr>
          <w:rFonts w:ascii="Arial" w:hAnsi="Arial" w:cs="Arial"/>
          <w:b/>
          <w:i/>
          <w:lang w:val="es-ES_tradnl" w:eastAsia="en-US"/>
        </w:rPr>
        <w:t xml:space="preserve">(A-III) </w:t>
      </w:r>
      <w:r w:rsidRPr="00000FF8">
        <w:rPr>
          <w:rFonts w:ascii="Arial" w:hAnsi="Arial" w:cs="Arial"/>
          <w:i/>
          <w:highlight w:val="yellow"/>
          <w:lang w:val="es-ES_tradnl" w:eastAsia="en-US"/>
        </w:rPr>
        <w:t>o</w:t>
      </w:r>
      <w:r w:rsidRPr="00000FF8">
        <w:rPr>
          <w:rFonts w:ascii="Arial" w:hAnsi="Arial" w:cs="Arial"/>
          <w:b/>
          <w:i/>
          <w:highlight w:val="yellow"/>
          <w:lang w:val="es-ES_tradnl" w:eastAsia="en-US"/>
        </w:rPr>
        <w:t xml:space="preserve"> </w:t>
      </w:r>
      <w:r w:rsidRPr="00000FF8">
        <w:rPr>
          <w:rFonts w:ascii="Arial" w:hAnsi="Arial" w:cs="Arial"/>
          <w:i/>
          <w:highlight w:val="yellow"/>
          <w:lang w:val="es-ES_tradnl" w:eastAsia="en-US"/>
        </w:rPr>
        <w:t>DTG+3TC</w:t>
      </w:r>
      <w:r w:rsidRPr="00000FF8">
        <w:rPr>
          <w:rFonts w:ascii="Arial" w:hAnsi="Arial" w:cs="Arial"/>
          <w:b/>
          <w:i/>
          <w:highlight w:val="yellow"/>
          <w:lang w:val="es-ES_tradnl" w:eastAsia="en-US"/>
        </w:rPr>
        <w:t xml:space="preserve"> (A-I).</w:t>
      </w:r>
    </w:p>
    <w:p w14:paraId="56D564F9" w14:textId="61BEAB4C" w:rsidR="001B5265" w:rsidRPr="00000FF8" w:rsidRDefault="001B5265" w:rsidP="001B5265">
      <w:pPr>
        <w:numPr>
          <w:ilvl w:val="0"/>
          <w:numId w:val="5"/>
        </w:numPr>
        <w:autoSpaceDE w:val="0"/>
        <w:autoSpaceDN w:val="0"/>
        <w:adjustRightInd w:val="0"/>
        <w:spacing w:before="120" w:after="120" w:line="276" w:lineRule="auto"/>
        <w:jc w:val="both"/>
        <w:rPr>
          <w:rFonts w:ascii="Arial" w:hAnsi="Arial" w:cs="Arial"/>
          <w:b/>
          <w:i/>
          <w:lang w:val="es-ES_tradnl" w:eastAsia="en-US"/>
        </w:rPr>
      </w:pPr>
      <w:r w:rsidRPr="00000FF8">
        <w:rPr>
          <w:rFonts w:ascii="Arial" w:hAnsi="Arial" w:cs="Arial"/>
          <w:lang w:val="es-ES_tradnl" w:eastAsia="en-US"/>
        </w:rPr>
        <w:t xml:space="preserve">La combinación EVG/c/FTC/TAF se considera una alternativa a las pautas preferentes de TAR de inicio </w:t>
      </w:r>
      <w:r w:rsidRPr="00943FC7">
        <w:rPr>
          <w:rFonts w:ascii="Arial" w:hAnsi="Arial" w:cs="Arial"/>
          <w:b/>
          <w:i/>
          <w:highlight w:val="yellow"/>
          <w:lang w:val="es-ES_tradnl" w:eastAsia="en-US"/>
        </w:rPr>
        <w:t>(</w:t>
      </w:r>
      <w:r w:rsidR="00943FC7" w:rsidRPr="00943FC7">
        <w:rPr>
          <w:rFonts w:ascii="Arial" w:hAnsi="Arial" w:cs="Arial"/>
          <w:b/>
          <w:i/>
          <w:highlight w:val="yellow"/>
          <w:lang w:val="es-ES_tradnl" w:eastAsia="en-US"/>
        </w:rPr>
        <w:t>C</w:t>
      </w:r>
      <w:r w:rsidRPr="00943FC7">
        <w:rPr>
          <w:rFonts w:ascii="Arial" w:hAnsi="Arial" w:cs="Arial"/>
          <w:b/>
          <w:i/>
          <w:highlight w:val="yellow"/>
          <w:lang w:val="es-ES_tradnl" w:eastAsia="en-US"/>
        </w:rPr>
        <w:t>-I)</w:t>
      </w:r>
      <w:r w:rsidR="00943FC7">
        <w:rPr>
          <w:rFonts w:ascii="Arial" w:hAnsi="Arial" w:cs="Arial"/>
          <w:b/>
          <w:i/>
          <w:lang w:val="es-ES_tradnl" w:eastAsia="en-US"/>
        </w:rPr>
        <w:t>.</w:t>
      </w:r>
    </w:p>
    <w:p w14:paraId="538F99F2"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AE1C1F"/>
          <w:lang w:val="es-ES_tradnl"/>
        </w:rPr>
      </w:pPr>
    </w:p>
    <w:p w14:paraId="4711AB8F"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lang w:val="es-ES_tradnl"/>
        </w:rPr>
      </w:pPr>
      <w:r w:rsidRPr="00000FF8">
        <w:rPr>
          <w:rFonts w:ascii="Arial" w:hAnsi="Arial" w:cs="Arial"/>
          <w:i/>
          <w:iCs/>
          <w:color w:val="AE1C1F"/>
        </w:rPr>
        <w:t>3.2.3 Inhibidores de la transcriptasa inversa no nucleósidos (ITINN)</w:t>
      </w:r>
    </w:p>
    <w:p w14:paraId="0BEF7434"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En España hay cuatro ITINN comercializados (NVP, EFV, ETR y RPV), y uno, doravirina (DOR), aprobado pero pendiente de comercialización. NVP, EFV y ETR, son inductores de algunos isoenzimas del citocromo P450 y, por tanto, pueden interaccionar con otros fármacos metabolizados por esta vía. </w:t>
      </w:r>
    </w:p>
    <w:p w14:paraId="7C49ADE7"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EFV se administra QD (un comprimido de 600 mg/día, existiendo en presentación coformulada con FTC/TDx en un solo comprimido). Su principal limitación es la aparición frecuente de síntomas relacionados con el SNC al inicio del tratamiento y que, aunque suelen ser leves y transitorios, pueden ocasionar discontinuaciones del TAR. Por ello, EFV se debe evitar en algunas circunstancias tales como trabajos de riesgo que requieran concentración, turnos laborales cambiantes o trastornos psiquiátricos no controlados. </w:t>
      </w:r>
      <w:r w:rsidRPr="00000FF8">
        <w:rPr>
          <w:rFonts w:ascii="Arial" w:hAnsi="Arial" w:cs="Arial"/>
        </w:rPr>
        <w:t xml:space="preserve">En un análisis de cuatro grandes ensayos clínicos independientes se observó un mayor riesgo de presentar ideas de suicidio, intentos o suicidios consumados en los pacientes que recibían EFV (8,08 por 1,000 personas-año, </w:t>
      </w:r>
      <w:r w:rsidRPr="00000FF8">
        <w:rPr>
          <w:rFonts w:ascii="Arial" w:hAnsi="Arial" w:cs="Arial"/>
          <w:i/>
        </w:rPr>
        <w:t>vs</w:t>
      </w:r>
      <w:r w:rsidRPr="00000FF8">
        <w:rPr>
          <w:rFonts w:ascii="Arial" w:hAnsi="Arial" w:cs="Arial"/>
        </w:rPr>
        <w:t xml:space="preserve">. 3,66 por 1.000 personas-año; </w:t>
      </w:r>
      <w:r w:rsidRPr="00000FF8">
        <w:rPr>
          <w:rFonts w:ascii="Arial" w:hAnsi="Arial" w:cs="Arial"/>
          <w:i/>
        </w:rPr>
        <w:t>hazard ratio</w:t>
      </w:r>
      <w:r w:rsidRPr="00000FF8">
        <w:rPr>
          <w:rFonts w:ascii="Arial" w:hAnsi="Arial" w:cs="Arial"/>
        </w:rPr>
        <w:t xml:space="preserve"> 2,28, IC95% 1,27 a 4,1)</w:t>
      </w:r>
      <w:r w:rsidRPr="00000FF8">
        <w:rPr>
          <w:rFonts w:ascii="Arial" w:hAnsi="Arial" w:cs="Arial"/>
          <w:noProof/>
          <w:vertAlign w:val="superscript"/>
        </w:rPr>
        <w:t>50</w:t>
      </w:r>
      <w:r w:rsidRPr="00000FF8">
        <w:rPr>
          <w:rFonts w:ascii="Arial" w:hAnsi="Arial" w:cs="Arial"/>
        </w:rPr>
        <w:t>. También se ha comunicado un incremento de conductas suicidas en los pacientes en el ensayo clínico START que recibieron EFV, en comparación con sus controles no tratados</w:t>
      </w:r>
      <w:r w:rsidRPr="00000FF8">
        <w:rPr>
          <w:rFonts w:ascii="Arial" w:hAnsi="Arial" w:cs="Arial"/>
          <w:noProof/>
          <w:vertAlign w:val="superscript"/>
        </w:rPr>
        <w:t>51</w:t>
      </w:r>
      <w:r w:rsidRPr="00000FF8">
        <w:rPr>
          <w:rFonts w:ascii="Arial" w:hAnsi="Arial" w:cs="Arial"/>
        </w:rPr>
        <w:t>. Esta asociación no se ha encontrado en dos estudios de cohortes</w:t>
      </w:r>
      <w:r w:rsidRPr="00000FF8">
        <w:rPr>
          <w:rFonts w:ascii="Arial" w:hAnsi="Arial" w:cs="Arial"/>
          <w:noProof/>
          <w:vertAlign w:val="superscript"/>
        </w:rPr>
        <w:t>52-53</w:t>
      </w:r>
      <w:r w:rsidRPr="00000FF8">
        <w:rPr>
          <w:rFonts w:ascii="Arial" w:hAnsi="Arial" w:cs="Arial"/>
        </w:rPr>
        <w:t xml:space="preserve">. Con EFV también existe riesgo de exantema durante las primeras </w:t>
      </w:r>
      <w:r w:rsidRPr="00000FF8">
        <w:rPr>
          <w:rFonts w:ascii="Arial" w:hAnsi="Arial" w:cs="Arial"/>
          <w:color w:val="000000"/>
        </w:rPr>
        <w:t xml:space="preserve">semanas, lo que se debe advertir al paciente. </w:t>
      </w:r>
    </w:p>
    <w:p w14:paraId="31A16DE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strike/>
          <w:color w:val="FF0000"/>
        </w:rPr>
      </w:pPr>
      <w:r w:rsidRPr="00000FF8">
        <w:rPr>
          <w:rFonts w:ascii="Arial" w:hAnsi="Arial" w:cs="Arial"/>
          <w:color w:val="000000"/>
          <w:highlight w:val="yellow"/>
        </w:rPr>
        <w:t>EFV a dosis de 400 mg una vez al día se comparó con la dosis de 600 mg, ambos en combinación con FTC/TDF, en pacientes sin TAR previo, en el ensayo clínico aleatorizado y doble ciego ENCORE-1</w:t>
      </w:r>
      <w:r w:rsidRPr="00000FF8">
        <w:rPr>
          <w:rFonts w:ascii="Arial" w:hAnsi="Arial" w:cs="Arial"/>
          <w:color w:val="000000"/>
          <w:highlight w:val="yellow"/>
          <w:vertAlign w:val="superscript"/>
        </w:rPr>
        <w:t>54</w:t>
      </w:r>
      <w:r w:rsidRPr="00000FF8">
        <w:rPr>
          <w:rFonts w:ascii="Arial" w:hAnsi="Arial" w:cs="Arial"/>
          <w:color w:val="000000"/>
          <w:highlight w:val="yellow"/>
        </w:rPr>
        <w:t>. EFV 400 mg demostró una eficacia no inferior a la dosis de 600 mg tanto a las 48 como a las 96 semanas</w:t>
      </w:r>
      <w:r w:rsidRPr="00000FF8" w:rsidDel="00D35677">
        <w:rPr>
          <w:rFonts w:ascii="Arial" w:hAnsi="Arial" w:cs="Arial"/>
          <w:color w:val="000000"/>
          <w:highlight w:val="yellow"/>
        </w:rPr>
        <w:t xml:space="preserve"> </w:t>
      </w:r>
      <w:r w:rsidRPr="00000FF8">
        <w:rPr>
          <w:rFonts w:ascii="Arial" w:hAnsi="Arial" w:cs="Arial"/>
          <w:color w:val="000000"/>
          <w:highlight w:val="yellow"/>
        </w:rPr>
        <w:t xml:space="preserve">de tratamiento. Además, el porcentaje de pacientes con efectos adversos </w:t>
      </w:r>
      <w:r w:rsidRPr="00000FF8">
        <w:rPr>
          <w:rFonts w:ascii="Arial" w:hAnsi="Arial" w:cs="Arial"/>
          <w:color w:val="000000"/>
          <w:highlight w:val="yellow"/>
        </w:rPr>
        <w:lastRenderedPageBreak/>
        <w:t xml:space="preserve">relacionados con EFV fue significativamente menor en el grupo tratado con la dosis de 400 mg. </w:t>
      </w:r>
    </w:p>
    <w:p w14:paraId="190221D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RPV se administra QD (un comprimido de 25 mg/día, existiendo también la presentación coformulada con FTC/TDF o con FTC/TAF en un solo comprimido) siempre con alimentos (al menos 390 Kcal) y está contraindicado su uso con inhibidores de la bomba de protones. DOR, </w:t>
      </w:r>
      <w:r w:rsidRPr="00000FF8">
        <w:rPr>
          <w:rFonts w:ascii="Arial" w:hAnsi="Arial" w:cs="Arial"/>
        </w:rPr>
        <w:t xml:space="preserve">se </w:t>
      </w:r>
      <w:r w:rsidRPr="00000FF8">
        <w:rPr>
          <w:rFonts w:ascii="Arial" w:hAnsi="Arial" w:cs="Arial"/>
          <w:color w:val="000000"/>
        </w:rPr>
        <w:t>administra una vez al día (un comprimido de 100 mg), existiendo también la presentación coformulada con 3TC/TDF en un solo comprimido.</w:t>
      </w:r>
    </w:p>
    <w:p w14:paraId="00473E45" w14:textId="1A784F63"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Actualmente no se recomienda el uso de NVP en pautas de TAR de inicio debido a su mayor riesgo de toxicidad y a no haber demostrado la no-inferioridad con respecto a EFV</w:t>
      </w:r>
      <w:r w:rsidRPr="00000FF8">
        <w:rPr>
          <w:rFonts w:ascii="Arial" w:hAnsi="Arial" w:cs="Arial"/>
          <w:noProof/>
          <w:color w:val="000000"/>
          <w:vertAlign w:val="superscript"/>
        </w:rPr>
        <w:t>55</w:t>
      </w:r>
      <w:r w:rsidRPr="00000FF8">
        <w:rPr>
          <w:rFonts w:ascii="Arial" w:hAnsi="Arial" w:cs="Arial"/>
          <w:color w:val="000000"/>
        </w:rPr>
        <w:t xml:space="preserve">. ETR (1 comprimido de 200 mg/12 h), no está aprobada por la EMA para el TAR de inicio. </w:t>
      </w:r>
    </w:p>
    <w:p w14:paraId="7041F235" w14:textId="22D45876" w:rsidR="001B5265" w:rsidRPr="005B4E85" w:rsidRDefault="001B5265" w:rsidP="001B5265">
      <w:pPr>
        <w:widowControl w:val="0"/>
        <w:autoSpaceDE w:val="0"/>
        <w:autoSpaceDN w:val="0"/>
        <w:adjustRightInd w:val="0"/>
        <w:spacing w:before="120" w:after="120" w:line="276" w:lineRule="auto"/>
        <w:jc w:val="both"/>
        <w:rPr>
          <w:rFonts w:ascii="Arial" w:hAnsi="Arial" w:cs="Arial"/>
          <w:color w:val="FF0000"/>
        </w:rPr>
      </w:pPr>
      <w:r w:rsidRPr="00000FF8">
        <w:rPr>
          <w:rFonts w:ascii="Arial" w:hAnsi="Arial" w:cs="Arial"/>
        </w:rPr>
        <w:t>EFV se ha comparado con IP/p como TAR de inicio, demostrando una eficacia superior a LPV/r</w:t>
      </w:r>
      <w:r w:rsidRPr="00000FF8">
        <w:rPr>
          <w:rFonts w:ascii="Arial" w:hAnsi="Arial" w:cs="Arial"/>
          <w:noProof/>
          <w:vertAlign w:val="superscript"/>
        </w:rPr>
        <w:t>56</w:t>
      </w:r>
      <w:r w:rsidRPr="00000FF8">
        <w:rPr>
          <w:rFonts w:ascii="Arial" w:hAnsi="Arial" w:cs="Arial"/>
        </w:rPr>
        <w:t>, SQV/r</w:t>
      </w:r>
      <w:r w:rsidRPr="00000FF8">
        <w:rPr>
          <w:rFonts w:ascii="Arial" w:hAnsi="Arial" w:cs="Arial"/>
          <w:noProof/>
          <w:vertAlign w:val="superscript"/>
        </w:rPr>
        <w:t>57</w:t>
      </w:r>
      <w:r w:rsidRPr="00000FF8">
        <w:rPr>
          <w:rFonts w:ascii="Arial" w:hAnsi="Arial" w:cs="Arial"/>
        </w:rPr>
        <w:t xml:space="preserve"> o APV/r</w:t>
      </w:r>
      <w:r w:rsidRPr="00000FF8">
        <w:rPr>
          <w:rFonts w:ascii="Arial" w:hAnsi="Arial" w:cs="Arial"/>
          <w:noProof/>
          <w:vertAlign w:val="superscript"/>
        </w:rPr>
        <w:t>58</w:t>
      </w:r>
      <w:r w:rsidRPr="00000FF8">
        <w:rPr>
          <w:rFonts w:ascii="Arial" w:hAnsi="Arial" w:cs="Arial"/>
        </w:rPr>
        <w:t>. El único IP/p que hasta el momento ha mostrado una eficacia equiparable a EFV es ATV/r. En el estudio ACTG 5202</w:t>
      </w:r>
      <w:r w:rsidRPr="00000FF8">
        <w:rPr>
          <w:rFonts w:ascii="Arial" w:hAnsi="Arial" w:cs="Arial"/>
          <w:noProof/>
          <w:vertAlign w:val="superscript"/>
        </w:rPr>
        <w:t>23</w:t>
      </w:r>
      <w:r w:rsidRPr="00000FF8">
        <w:rPr>
          <w:rFonts w:ascii="Arial" w:hAnsi="Arial" w:cs="Arial"/>
        </w:rPr>
        <w:t xml:space="preserve">, la eficacia virológica resultó similar en los tratados con ATV/r que en los tratados con EFV independientemente de que se combinaran con ABC/3TC o FTC/TDF. Entre los pacientes que experimentaron </w:t>
      </w:r>
      <w:r w:rsidR="005B4E85">
        <w:rPr>
          <w:rFonts w:ascii="Arial" w:hAnsi="Arial" w:cs="Arial"/>
        </w:rPr>
        <w:t>FV</w:t>
      </w:r>
      <w:r w:rsidRPr="00000FF8">
        <w:rPr>
          <w:rFonts w:ascii="Arial" w:hAnsi="Arial" w:cs="Arial"/>
        </w:rPr>
        <w:t>, la emergencia de mutaciones de resistencia fue significativamente menor en los pacientes tratados con ATV/r que entre los tratados con EFV. El tiempo hasta el primer evento de seguridad y el primer evento de tolerabilidad fue significativamente más largo para los pacientes con ATV/r que para los pacientes con EFV cuando la pareja de ITIAN era ABC/3TC, pero no hubo diferencias en seguridad ni tolerabilidad entre ATV/r y EFV cuando la pareja de ITIAN era FTC/TDF. Un subanálisis de este estudio mostró una menor eficacia de ATV/r respecto a EFV en mujeres</w:t>
      </w:r>
      <w:r w:rsidRPr="00000FF8">
        <w:rPr>
          <w:rFonts w:ascii="Arial" w:hAnsi="Arial" w:cs="Arial"/>
          <w:noProof/>
          <w:vertAlign w:val="superscript"/>
        </w:rPr>
        <w:t>59</w:t>
      </w:r>
      <w:r w:rsidRPr="00000FF8">
        <w:rPr>
          <w:rFonts w:ascii="Arial" w:hAnsi="Arial" w:cs="Arial"/>
        </w:rPr>
        <w:t>.</w:t>
      </w:r>
    </w:p>
    <w:p w14:paraId="2CF5C8F3"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strike/>
          <w:color w:val="FF0000"/>
        </w:rPr>
      </w:pPr>
      <w:r w:rsidRPr="00000FF8">
        <w:rPr>
          <w:rFonts w:ascii="Arial" w:hAnsi="Arial" w:cs="Arial"/>
          <w:highlight w:val="yellow"/>
        </w:rPr>
        <w:t>EFV ha sido comparado con INI en diversos ensayos clínicos aleatorizados de TAR de inicio que han puesto en evidencia una menor eficacia de EFV respecto a RAL (estudio STARTMRK</w:t>
      </w:r>
      <w:r w:rsidRPr="00000FF8">
        <w:rPr>
          <w:rFonts w:ascii="Arial" w:hAnsi="Arial" w:cs="Arial"/>
          <w:noProof/>
          <w:highlight w:val="yellow"/>
          <w:vertAlign w:val="superscript"/>
        </w:rPr>
        <w:t>31</w:t>
      </w:r>
      <w:r w:rsidRPr="00000FF8">
        <w:rPr>
          <w:rFonts w:ascii="Arial" w:hAnsi="Arial" w:cs="Arial"/>
          <w:highlight w:val="yellow"/>
        </w:rPr>
        <w:t>) y DTG (estudio SINGLE</w:t>
      </w:r>
      <w:r w:rsidRPr="00000FF8">
        <w:rPr>
          <w:rFonts w:ascii="Arial" w:hAnsi="Arial" w:cs="Arial"/>
          <w:noProof/>
          <w:highlight w:val="yellow"/>
          <w:vertAlign w:val="superscript"/>
        </w:rPr>
        <w:t>25,36</w:t>
      </w:r>
      <w:r w:rsidRPr="00000FF8">
        <w:rPr>
          <w:rFonts w:ascii="Arial" w:hAnsi="Arial" w:cs="Arial"/>
          <w:highlight w:val="yellow"/>
        </w:rPr>
        <w:t>) y la no inferioridad respecto a EVG/c/FTC/TDF (estudio GS-US-236-0102</w:t>
      </w:r>
      <w:r w:rsidRPr="00000FF8">
        <w:rPr>
          <w:rFonts w:ascii="Arial" w:hAnsi="Arial" w:cs="Arial"/>
          <w:noProof/>
          <w:highlight w:val="yellow"/>
          <w:vertAlign w:val="superscript"/>
        </w:rPr>
        <w:t>33</w:t>
      </w:r>
      <w:r w:rsidRPr="00000FF8">
        <w:rPr>
          <w:rFonts w:ascii="Arial" w:hAnsi="Arial" w:cs="Arial"/>
          <w:highlight w:val="yellow"/>
        </w:rPr>
        <w:t xml:space="preserve">). </w:t>
      </w:r>
      <w:r w:rsidRPr="00000FF8">
        <w:rPr>
          <w:rFonts w:ascii="Arial" w:hAnsi="Arial" w:cs="Arial"/>
          <w:color w:val="000000"/>
          <w:highlight w:val="yellow"/>
        </w:rPr>
        <w:t>En comparación con EFV 400 mg DTG demostró una eficacia no inferior a las 48 semanas de tratamiento.</w:t>
      </w:r>
      <w:r w:rsidRPr="00000FF8">
        <w:rPr>
          <w:rFonts w:ascii="Arial" w:hAnsi="Arial" w:cs="Arial"/>
          <w:color w:val="000000"/>
        </w:rPr>
        <w:t xml:space="preserve">    </w:t>
      </w:r>
    </w:p>
    <w:p w14:paraId="6C2AE91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 xml:space="preserve"> (ver detalles en el apartado de INI).</w:t>
      </w:r>
      <w:r w:rsidRPr="00000FF8">
        <w:rPr>
          <w:rFonts w:ascii="Arial" w:hAnsi="Arial" w:cs="Arial"/>
        </w:rPr>
        <w:t xml:space="preserve">   </w:t>
      </w:r>
    </w:p>
    <w:p w14:paraId="453E11B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793B8AF3" w14:textId="41DE7FE9"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RPV se ha comparado con EFV en tres ensayos clínicos aleatorizados en pacientes sin TAR previo </w:t>
      </w:r>
      <w:r w:rsidRPr="00000FF8">
        <w:rPr>
          <w:rFonts w:ascii="Arial" w:hAnsi="Arial" w:cs="Arial"/>
          <w:noProof/>
          <w:color w:val="000000"/>
          <w:vertAlign w:val="superscript"/>
        </w:rPr>
        <w:t>60-63</w:t>
      </w:r>
      <w:r w:rsidRPr="00000FF8">
        <w:rPr>
          <w:rFonts w:ascii="Arial" w:hAnsi="Arial" w:cs="Arial"/>
          <w:color w:val="000000"/>
        </w:rPr>
        <w:t>. Los estudios ECHO</w:t>
      </w:r>
      <w:r w:rsidRPr="00000FF8">
        <w:rPr>
          <w:rFonts w:ascii="Arial" w:hAnsi="Arial" w:cs="Arial"/>
          <w:noProof/>
          <w:color w:val="000000"/>
          <w:vertAlign w:val="superscript"/>
        </w:rPr>
        <w:t>60</w:t>
      </w:r>
      <w:r w:rsidRPr="00000FF8">
        <w:rPr>
          <w:rFonts w:ascii="Arial" w:hAnsi="Arial" w:cs="Arial"/>
          <w:color w:val="000000"/>
        </w:rPr>
        <w:t xml:space="preserve"> y THRIVE</w:t>
      </w:r>
      <w:r w:rsidRPr="00000FF8">
        <w:rPr>
          <w:rFonts w:ascii="Arial" w:hAnsi="Arial" w:cs="Arial"/>
          <w:noProof/>
          <w:color w:val="000000"/>
          <w:vertAlign w:val="superscript"/>
        </w:rPr>
        <w:t>61</w:t>
      </w:r>
      <w:r w:rsidRPr="00000FF8">
        <w:rPr>
          <w:rFonts w:ascii="Arial" w:hAnsi="Arial" w:cs="Arial"/>
          <w:color w:val="000000"/>
        </w:rPr>
        <w:t xml:space="preserve"> </w:t>
      </w:r>
      <w:r w:rsidRPr="00000FF8">
        <w:rPr>
          <w:rFonts w:ascii="Arial" w:hAnsi="Arial" w:cs="Arial"/>
        </w:rPr>
        <w:t xml:space="preserve">incluyeron pacientes adultos sin TAR previo y sin </w:t>
      </w:r>
      <w:r w:rsidR="005B4E85">
        <w:rPr>
          <w:rFonts w:ascii="Arial" w:hAnsi="Arial" w:cs="Arial"/>
        </w:rPr>
        <w:t>MR</w:t>
      </w:r>
      <w:r w:rsidRPr="00000FF8">
        <w:rPr>
          <w:rFonts w:ascii="Arial" w:hAnsi="Arial" w:cs="Arial"/>
        </w:rPr>
        <w:t xml:space="preserve"> en el estudio genotípico basal. Los participantes </w:t>
      </w:r>
      <w:r w:rsidRPr="00000FF8">
        <w:rPr>
          <w:rFonts w:ascii="Arial" w:hAnsi="Arial" w:cs="Arial"/>
          <w:color w:val="000000"/>
        </w:rPr>
        <w:t xml:space="preserve">fueron aleatorizados a recibir de forma ciega RPV o EFV junto a dos ITIAN (FTC/TDF coformulado en el estudio ECHO y una pareja de ITIAN seleccionada por los investigadores en el estudio THRIVE, que en el 60% de los casos fue también FTC/TDF). El análisis combinado de ambos estudios a las 96 semanas demostró la no-inferioridad de RPV con respecto a EFV. La </w:t>
      </w:r>
      <w:r w:rsidRPr="00000FF8">
        <w:rPr>
          <w:rFonts w:ascii="Arial" w:hAnsi="Arial" w:cs="Arial"/>
          <w:color w:val="000000"/>
        </w:rPr>
        <w:lastRenderedPageBreak/>
        <w:t>tolerabilidad fue mejor con RPV, con un menor número de discontinuaciones por efectos adversos y sobre todo los relacionados con el SNC</w:t>
      </w:r>
      <w:r w:rsidRPr="00000FF8">
        <w:rPr>
          <w:rFonts w:ascii="Arial" w:hAnsi="Arial" w:cs="Arial"/>
          <w:noProof/>
          <w:color w:val="000000"/>
          <w:vertAlign w:val="superscript"/>
        </w:rPr>
        <w:t>62</w:t>
      </w:r>
      <w:r w:rsidRPr="00000FF8">
        <w:rPr>
          <w:rFonts w:ascii="Arial" w:hAnsi="Arial" w:cs="Arial"/>
          <w:color w:val="000000"/>
        </w:rPr>
        <w:t xml:space="preserve">. Sin embargo, en el subgrupo de pacientes con CVP inicial mayor de 100.000 copias/mL, la frecuencia de fracaso virológico fue superior con RPV (17,6 </w:t>
      </w:r>
      <w:r w:rsidRPr="00000FF8">
        <w:rPr>
          <w:rFonts w:ascii="Arial" w:hAnsi="Arial" w:cs="Arial"/>
          <w:i/>
          <w:iCs/>
          <w:color w:val="000000"/>
        </w:rPr>
        <w:t xml:space="preserve">vs. </w:t>
      </w:r>
      <w:r w:rsidRPr="00000FF8">
        <w:rPr>
          <w:rFonts w:ascii="Arial" w:hAnsi="Arial" w:cs="Arial"/>
          <w:color w:val="000000"/>
        </w:rPr>
        <w:t xml:space="preserve">7,6%), por lo que no se recomienda el uso de RPV/FTC/TDF en estos pacientes. El fallo virológico con RPV se asoció, además, con mayor frecuencia a resistencia genotípica a otros ITINN y a ITIAN (especialmente por la selección de las mutaciones M184I y M184V). </w:t>
      </w:r>
    </w:p>
    <w:p w14:paraId="7C4E7FD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color w:val="000000"/>
        </w:rPr>
        <w:t>En el ensayo clínico (STaR)</w:t>
      </w:r>
      <w:r w:rsidRPr="00000FF8">
        <w:rPr>
          <w:rFonts w:ascii="Arial" w:hAnsi="Arial" w:cs="Arial"/>
          <w:noProof/>
          <w:color w:val="000000"/>
          <w:vertAlign w:val="superscript"/>
        </w:rPr>
        <w:t>63</w:t>
      </w:r>
      <w:r w:rsidRPr="00000FF8">
        <w:rPr>
          <w:rFonts w:ascii="Arial" w:hAnsi="Arial" w:cs="Arial"/>
          <w:b/>
          <w:color w:val="FF0000"/>
        </w:rPr>
        <w:t xml:space="preserve"> </w:t>
      </w:r>
      <w:r w:rsidRPr="00000FF8">
        <w:rPr>
          <w:rFonts w:ascii="Arial" w:hAnsi="Arial" w:cs="Arial"/>
          <w:color w:val="000000"/>
        </w:rPr>
        <w:t>se compararon de forma abierta las combinaciones en un comprimido único de RPV/FTC/TDF frente a EFV/FTC/TDF</w:t>
      </w:r>
      <w:r w:rsidRPr="00000FF8" w:rsidDel="008B304D">
        <w:rPr>
          <w:rFonts w:ascii="Arial" w:hAnsi="Arial" w:cs="Arial"/>
          <w:color w:val="000000"/>
        </w:rPr>
        <w:t xml:space="preserve"> </w:t>
      </w:r>
      <w:r w:rsidRPr="00000FF8">
        <w:rPr>
          <w:rFonts w:ascii="Arial" w:hAnsi="Arial" w:cs="Arial"/>
          <w:color w:val="000000"/>
        </w:rPr>
        <w:t xml:space="preserve">como pautas de TAR de inicio en pacientes sin TAR previo. Se demostró la no inferioridad de RPV/FTC/TDF frente a EFV/FTC/TDF tanto a las 48 como a las 96 semanas. En el análisis de subgrupos la eficacia de RPV/FTC/TDF fue superior a EFV/FTC/TDF en los pacientes con CVP basal igual o menor de 100.000 copias/mL, no inferior en los pacientes con CVP mayor de 100.000 copias/mL e inferior en pacientes con CVP mayor de 500.000 copias/mL. La retirada del tratamiento por efectos adversos, así como la incidencia de </w:t>
      </w:r>
      <w:r w:rsidRPr="00000FF8">
        <w:rPr>
          <w:rFonts w:ascii="Arial" w:hAnsi="Arial" w:cs="Arial"/>
        </w:rPr>
        <w:t>efectos adversos neuro-psiquiátricos</w:t>
      </w:r>
      <w:r w:rsidRPr="00000FF8">
        <w:rPr>
          <w:rFonts w:ascii="Arial" w:hAnsi="Arial" w:cs="Arial"/>
          <w:color w:val="000000"/>
        </w:rPr>
        <w:t xml:space="preserve"> fue menor en los pacientes tratados con RPV en comparación con los tratados con EFV</w:t>
      </w:r>
      <w:r w:rsidRPr="00000FF8">
        <w:rPr>
          <w:rFonts w:ascii="Arial" w:hAnsi="Arial" w:cs="Arial"/>
        </w:rPr>
        <w:t xml:space="preserve">. </w:t>
      </w:r>
    </w:p>
    <w:p w14:paraId="6A8A525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No existen ensayos clínicos que hayan comparado RPV con otros FAR en TAR de inicio</w:t>
      </w:r>
      <w:r w:rsidRPr="00000FF8">
        <w:rPr>
          <w:rFonts w:ascii="Arial" w:hAnsi="Arial" w:cs="Arial"/>
        </w:rPr>
        <w:t xml:space="preserve">. </w:t>
      </w:r>
    </w:p>
    <w:p w14:paraId="5E05D363" w14:textId="0FDDE83C" w:rsidR="001B5265" w:rsidRPr="005B4E85"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highlight w:val="yellow"/>
        </w:rPr>
        <w:t>La combinación RPV/FTC/TAF no ha sido evaluada de forma específica como TAR de inicio. Sin embargo, este Panel considera que las ventajas en seguridad mostradas en las comparaciones directas de TAF con TDF en pacientes sin tratamiento previo</w:t>
      </w:r>
      <w:r w:rsidRPr="00000FF8">
        <w:rPr>
          <w:rFonts w:ascii="Arial" w:hAnsi="Arial" w:cs="Arial"/>
          <w:noProof/>
          <w:color w:val="000000"/>
          <w:highlight w:val="yellow"/>
          <w:vertAlign w:val="superscript"/>
        </w:rPr>
        <w:t>16,32</w:t>
      </w:r>
      <w:r w:rsidRPr="00000FF8">
        <w:rPr>
          <w:rFonts w:ascii="Arial" w:hAnsi="Arial" w:cs="Arial"/>
          <w:color w:val="000000"/>
          <w:highlight w:val="yellow"/>
        </w:rPr>
        <w:t>, así como en los ensayos clínicos que han comparado la eficacia y seguridad del cambio a RPV/FTC/TAF en pacientes pretratados</w:t>
      </w:r>
      <w:r w:rsidRPr="00000FF8">
        <w:rPr>
          <w:rFonts w:ascii="Arial" w:hAnsi="Arial" w:cs="Arial"/>
          <w:color w:val="000000"/>
          <w:highlight w:val="yellow"/>
          <w:vertAlign w:val="superscript"/>
        </w:rPr>
        <w:t>64</w:t>
      </w:r>
      <w:r w:rsidRPr="00000FF8">
        <w:rPr>
          <w:rFonts w:ascii="Arial" w:hAnsi="Arial" w:cs="Arial"/>
          <w:color w:val="000000"/>
          <w:highlight w:val="yellow"/>
        </w:rPr>
        <w:t xml:space="preserve"> son suficientes para recomendar esta combinación como alternativa a las pautas preferentes.</w:t>
      </w:r>
      <w:r w:rsidRPr="00000FF8">
        <w:rPr>
          <w:rFonts w:ascii="Arial" w:hAnsi="Arial" w:cs="Arial"/>
          <w:color w:val="000000"/>
        </w:rPr>
        <w:t xml:space="preserve"> </w:t>
      </w:r>
    </w:p>
    <w:p w14:paraId="208B590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Doravirina (DOR) es un nuevo ITINN, autorizado en España para el uso como tratamiento de inicio (aunque no se ha iniciado su comercialización en el momento de redactar estas guías). DOR se ha estudiado como tratamiento de inicio en ensayos clínicos aleatorizados comparándose con EFV, ambos en coformulación con 3TC/TDF (Estudio DRIVE-AHEAD)</w:t>
      </w:r>
      <w:r w:rsidRPr="00000FF8">
        <w:rPr>
          <w:rFonts w:ascii="Arial" w:hAnsi="Arial" w:cs="Arial"/>
          <w:vertAlign w:val="superscript"/>
        </w:rPr>
        <w:t>65</w:t>
      </w:r>
      <w:r w:rsidRPr="00000FF8">
        <w:rPr>
          <w:rFonts w:ascii="Arial" w:hAnsi="Arial" w:cs="Arial"/>
        </w:rPr>
        <w:t>, y con DRV/r, en combinación con 3TC/TDF o 3TC/ABC (Estudio DRIVE-FORWARD)</w:t>
      </w:r>
      <w:r w:rsidRPr="00000FF8">
        <w:rPr>
          <w:rFonts w:ascii="Arial" w:hAnsi="Arial" w:cs="Arial"/>
          <w:vertAlign w:val="superscript"/>
        </w:rPr>
        <w:t>66</w:t>
      </w:r>
      <w:r w:rsidRPr="00000FF8">
        <w:rPr>
          <w:rFonts w:ascii="Arial" w:hAnsi="Arial" w:cs="Arial"/>
        </w:rPr>
        <w:t>. En ambos estudios, DOR ha mostrado una eficacia no inferior a sus comparadores en el análisis primario a las 48 semanas. El porcentaje de pacientes con efectos adversos sobre el SNC fue significativamente inferior en los tratados con DOR en comparación con EFV. En un análisis con 96 semanas de seguimiento ciego</w:t>
      </w:r>
      <w:r w:rsidRPr="00000FF8">
        <w:rPr>
          <w:rFonts w:ascii="Arial" w:hAnsi="Arial" w:cs="Arial"/>
          <w:vertAlign w:val="superscript"/>
        </w:rPr>
        <w:t>67</w:t>
      </w:r>
      <w:r w:rsidRPr="00000FF8">
        <w:rPr>
          <w:rFonts w:ascii="Arial" w:hAnsi="Arial" w:cs="Arial"/>
        </w:rPr>
        <w:t>, DOR ha demostrado eficacia superior a DRV/r con mejor evolución del perfil lipídico.</w:t>
      </w:r>
    </w:p>
    <w:p w14:paraId="1CE42AA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Hasta el momento DOR no se ha comparado con INI en ensayos clínicos.</w:t>
      </w:r>
    </w:p>
    <w:p w14:paraId="78443355"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color w:val="000000"/>
          <w:highlight w:val="yellow"/>
        </w:rPr>
        <w:lastRenderedPageBreak/>
        <w:t>Aunque no existe evidencia directa del uso de DOR con FTC/TAF, este Panel considera que las ventajas en seguridad mostradas en las comparaciones directas de TAF frente a TDF, junto con otros FAR, en pacientes sin tratamiento previo</w:t>
      </w:r>
      <w:r w:rsidRPr="00000FF8">
        <w:rPr>
          <w:rFonts w:ascii="Arial" w:hAnsi="Arial" w:cs="Arial"/>
          <w:noProof/>
          <w:color w:val="000000"/>
          <w:highlight w:val="yellow"/>
          <w:vertAlign w:val="superscript"/>
        </w:rPr>
        <w:t>16,32</w:t>
      </w:r>
      <w:r w:rsidRPr="00000FF8">
        <w:rPr>
          <w:rFonts w:ascii="Arial" w:hAnsi="Arial" w:cs="Arial"/>
          <w:color w:val="000000"/>
          <w:highlight w:val="yellow"/>
        </w:rPr>
        <w:t xml:space="preserve"> son suficientes para recomendar el uso de esta combinación como alternativa a las pautas preferentes.</w:t>
      </w:r>
      <w:r w:rsidRPr="00000FF8">
        <w:rPr>
          <w:rFonts w:ascii="Arial" w:hAnsi="Arial" w:cs="Arial"/>
          <w:color w:val="000000"/>
        </w:rPr>
        <w:t xml:space="preserve">  </w:t>
      </w:r>
    </w:p>
    <w:p w14:paraId="199C4C1A" w14:textId="3E8AC30D"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p>
    <w:p w14:paraId="1C2030BA"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Recomendaciones</w:t>
      </w:r>
    </w:p>
    <w:p w14:paraId="19FA1AA7" w14:textId="15A6F364" w:rsidR="001B5265" w:rsidRPr="00000FF8" w:rsidRDefault="001B5265" w:rsidP="001B5265">
      <w:pPr>
        <w:numPr>
          <w:ilvl w:val="0"/>
          <w:numId w:val="3"/>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Actualmente no se considera preferente ninguna pauta basada en ITINN </w:t>
      </w:r>
      <w:r w:rsidRPr="00220F39">
        <w:rPr>
          <w:rFonts w:ascii="Arial" w:hAnsi="Arial" w:cs="Arial"/>
          <w:b/>
          <w:i/>
          <w:highlight w:val="yellow"/>
          <w:lang w:val="es-ES_tradnl" w:eastAsia="en-US"/>
        </w:rPr>
        <w:t>(A-</w:t>
      </w:r>
      <w:r w:rsidR="00220F39" w:rsidRPr="00220F39">
        <w:rPr>
          <w:rFonts w:ascii="Arial" w:hAnsi="Arial" w:cs="Arial"/>
          <w:b/>
          <w:i/>
          <w:highlight w:val="yellow"/>
          <w:lang w:val="es-ES_tradnl" w:eastAsia="en-US"/>
        </w:rPr>
        <w:t>II</w:t>
      </w:r>
      <w:r w:rsidRPr="00220F39">
        <w:rPr>
          <w:rFonts w:ascii="Arial" w:hAnsi="Arial" w:cs="Arial"/>
          <w:b/>
          <w:i/>
          <w:highlight w:val="yellow"/>
          <w:lang w:val="es-ES_tradnl" w:eastAsia="en-US"/>
        </w:rPr>
        <w:t>I).</w:t>
      </w:r>
    </w:p>
    <w:p w14:paraId="2ADD2C4C" w14:textId="61236972" w:rsidR="001B5265" w:rsidRPr="00000FF8" w:rsidRDefault="001B5265" w:rsidP="001B5265">
      <w:pPr>
        <w:numPr>
          <w:ilvl w:val="0"/>
          <w:numId w:val="3"/>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DOR+FTC/TAF o DOR/3TC/TDF se considera una alternativa a las pautas preferentes en el TAR de inicio </w:t>
      </w:r>
      <w:r w:rsidRPr="00220F39">
        <w:rPr>
          <w:rFonts w:ascii="Arial" w:hAnsi="Arial" w:cs="Arial"/>
          <w:b/>
          <w:i/>
          <w:highlight w:val="yellow"/>
          <w:lang w:val="es-ES_tradnl" w:eastAsia="en-US"/>
        </w:rPr>
        <w:t>(</w:t>
      </w:r>
      <w:r w:rsidR="00220F39" w:rsidRPr="00220F39">
        <w:rPr>
          <w:rFonts w:ascii="Arial" w:hAnsi="Arial" w:cs="Arial"/>
          <w:b/>
          <w:i/>
          <w:highlight w:val="yellow"/>
          <w:lang w:val="es-ES_tradnl" w:eastAsia="en-US"/>
        </w:rPr>
        <w:t>C</w:t>
      </w:r>
      <w:r w:rsidRPr="00220F39">
        <w:rPr>
          <w:rFonts w:ascii="Arial" w:hAnsi="Arial" w:cs="Arial"/>
          <w:b/>
          <w:i/>
          <w:highlight w:val="yellow"/>
          <w:lang w:val="es-ES_tradnl" w:eastAsia="en-US"/>
        </w:rPr>
        <w:t>-I)</w:t>
      </w:r>
      <w:r w:rsidR="00220F39" w:rsidRPr="00220F39">
        <w:rPr>
          <w:rFonts w:ascii="Arial" w:hAnsi="Arial" w:cs="Arial"/>
          <w:b/>
          <w:i/>
          <w:highlight w:val="yellow"/>
          <w:lang w:val="es-ES_tradnl" w:eastAsia="en-US"/>
        </w:rPr>
        <w:t>.</w:t>
      </w:r>
    </w:p>
    <w:p w14:paraId="01F918DC" w14:textId="4C704E00" w:rsidR="001B5265" w:rsidRPr="00000FF8" w:rsidRDefault="001B5265" w:rsidP="001B5265">
      <w:pPr>
        <w:numPr>
          <w:ilvl w:val="0"/>
          <w:numId w:val="3"/>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En pacientes con CVP inferior a 100.000 copias/mL la combinación RPV/FTC/TAF se considera una alternativa a las pautas preferentes en el TAR de inicio </w:t>
      </w:r>
      <w:r w:rsidRPr="00220F39">
        <w:rPr>
          <w:rFonts w:ascii="Arial" w:hAnsi="Arial" w:cs="Arial"/>
          <w:b/>
          <w:i/>
          <w:highlight w:val="yellow"/>
          <w:lang w:val="es-ES_tradnl" w:eastAsia="en-US"/>
        </w:rPr>
        <w:t>(</w:t>
      </w:r>
      <w:r w:rsidR="00220F39" w:rsidRPr="00220F39">
        <w:rPr>
          <w:rFonts w:ascii="Arial" w:hAnsi="Arial" w:cs="Arial"/>
          <w:b/>
          <w:i/>
          <w:highlight w:val="yellow"/>
          <w:lang w:val="es-ES_tradnl" w:eastAsia="en-US"/>
        </w:rPr>
        <w:t>C-I</w:t>
      </w:r>
      <w:r w:rsidRPr="00220F39">
        <w:rPr>
          <w:rFonts w:ascii="Arial" w:hAnsi="Arial" w:cs="Arial"/>
          <w:b/>
          <w:i/>
          <w:highlight w:val="yellow"/>
          <w:lang w:val="es-ES_tradnl" w:eastAsia="en-US"/>
        </w:rPr>
        <w:t>)</w:t>
      </w:r>
      <w:r w:rsidR="00220F39" w:rsidRPr="00220F39">
        <w:rPr>
          <w:rFonts w:ascii="Arial" w:hAnsi="Arial" w:cs="Arial"/>
          <w:b/>
          <w:i/>
          <w:highlight w:val="yellow"/>
          <w:lang w:val="es-ES_tradnl" w:eastAsia="en-US"/>
        </w:rPr>
        <w:t>.</w:t>
      </w:r>
    </w:p>
    <w:p w14:paraId="4C3B5AB5" w14:textId="77777777" w:rsidR="001B5265" w:rsidRPr="00000FF8" w:rsidRDefault="001B5265" w:rsidP="001B5265">
      <w:pPr>
        <w:numPr>
          <w:ilvl w:val="0"/>
          <w:numId w:val="3"/>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RPV no debe utilizarse en pacientes con CVP &gt;100.000 copias/mL </w:t>
      </w:r>
      <w:r w:rsidRPr="00000FF8">
        <w:rPr>
          <w:rFonts w:ascii="Arial" w:hAnsi="Arial" w:cs="Arial"/>
          <w:b/>
          <w:i/>
          <w:lang w:val="es-ES_tradnl" w:eastAsia="en-US"/>
        </w:rPr>
        <w:t>(A-I)</w:t>
      </w:r>
    </w:p>
    <w:p w14:paraId="1C13A0B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960000"/>
        </w:rPr>
      </w:pPr>
    </w:p>
    <w:p w14:paraId="380A01A6"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i/>
          <w:iCs/>
          <w:color w:val="AE1C1F"/>
        </w:rPr>
        <w:t xml:space="preserve">3.2.4. Inhibidores de la proteasa potenciados </w:t>
      </w:r>
    </w:p>
    <w:p w14:paraId="72EDFD5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En el TAR de inicio sólo se pueden usar IP cuando van potenciados con RTV o COBI. En la actualidad existen seis IP/p disponibles para el uso en la práctica clínica: ATV, DRV, LPV, FPV, SQV y TPV, aunque este último está aprobado solamente para pacientes pre-tratados. Los IP son inductores e inhibidores del citocromo P450 y frecuentemente pueden originar interacciones farmacológicas. </w:t>
      </w:r>
    </w:p>
    <w:p w14:paraId="28D7BFB0" w14:textId="0B6D46D8"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color w:val="000000"/>
        </w:rPr>
        <w:t xml:space="preserve">COBI está aprobado como potenciador de ATV o DRV, existiendo presentaciones coformuladas de DRV/c y ATV/c. </w:t>
      </w:r>
      <w:r w:rsidRPr="00000FF8">
        <w:rPr>
          <w:rFonts w:ascii="Arial" w:hAnsi="Arial" w:cs="Arial"/>
        </w:rPr>
        <w:t>La utilización de COBI como potenciador de los IP se evaluó en el estudio 114</w:t>
      </w:r>
      <w:r w:rsidRPr="00000FF8">
        <w:rPr>
          <w:rFonts w:ascii="Arial" w:hAnsi="Arial" w:cs="Arial"/>
          <w:noProof/>
          <w:vertAlign w:val="superscript"/>
        </w:rPr>
        <w:t>68</w:t>
      </w:r>
      <w:r w:rsidRPr="00000FF8">
        <w:rPr>
          <w:rFonts w:ascii="Arial" w:hAnsi="Arial" w:cs="Arial"/>
        </w:rPr>
        <w:t xml:space="preserve"> en el que se comparó de forma ciega COBI frente a RTV como potenciador de ATV+FTC/TDF, en 692 pacientes sin TAR previo y con un FGe igual o superior a 70 mL/min. Se demostró la no inferioridad del tratamiento potenciado con COBI, aunque el estudio no demostró ventajas significativas de tolerabilidad con el nuevo potenciador. El uso de COBI se asocia con elevación de niveles de creatinina sérica, debido a cambios en la secreción tubular de creatinina y no comporta un efecto directo sobre el FGe</w:t>
      </w:r>
      <w:r w:rsidRPr="00000FF8">
        <w:rPr>
          <w:rFonts w:ascii="Arial" w:hAnsi="Arial" w:cs="Arial"/>
          <w:vertAlign w:val="superscript"/>
        </w:rPr>
        <w:t>33</w:t>
      </w:r>
      <w:r w:rsidRPr="00000FF8">
        <w:rPr>
          <w:rFonts w:ascii="Arial" w:hAnsi="Arial" w:cs="Arial"/>
        </w:rPr>
        <w:t xml:space="preserve">. </w:t>
      </w:r>
    </w:p>
    <w:p w14:paraId="77E1914F"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000000"/>
        </w:rPr>
      </w:pPr>
      <w:r w:rsidRPr="00000FF8">
        <w:rPr>
          <w:rFonts w:ascii="Arial" w:hAnsi="Arial" w:cs="Arial"/>
          <w:color w:val="000000"/>
        </w:rPr>
        <w:t xml:space="preserve">Los IP se caracterizan por una elevada barrera genética que dificulta la selección de mutaciones de resistencia aun en situaciones desfavorables como la baja adherencia. Por otra parte, son los FAR con peor perfil metabólico, asociándose a hiperlipidemia, aunque en menor medida en el caso de ATV y DRV. </w:t>
      </w:r>
    </w:p>
    <w:p w14:paraId="239083C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 xml:space="preserve">LPV/r, SQV/r y FPV/r no se recomiendan en la actualidad como TAR de inicio debido a que no aportan ventajas significativas en cuanto a eficacia, simplicidad o tolerabilidad. </w:t>
      </w:r>
    </w:p>
    <w:p w14:paraId="7A1B46EC"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lastRenderedPageBreak/>
        <w:t>DRV/r puede utilizarse en el TAR de inicio en dosis QD, bien en forma de un comprimido de 800 mg/día potenciado con 100 mg de RTV, coformulado con 150 mg de COBI (DRV/c) o en un comprimido único con FTC/TAF (</w:t>
      </w:r>
      <w:r w:rsidRPr="00000FF8">
        <w:rPr>
          <w:rFonts w:ascii="Arial" w:hAnsi="Arial" w:cs="Arial"/>
          <w:color w:val="000000"/>
        </w:rPr>
        <w:t>DRV/c/FTC/TAF</w:t>
      </w:r>
      <w:r w:rsidRPr="00000FF8">
        <w:rPr>
          <w:rFonts w:ascii="Arial" w:hAnsi="Arial" w:cs="Arial"/>
        </w:rPr>
        <w:t xml:space="preserve">). </w:t>
      </w:r>
    </w:p>
    <w:p w14:paraId="037CB457"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El estudio ARTEMIS</w:t>
      </w:r>
      <w:r w:rsidRPr="00000FF8">
        <w:rPr>
          <w:rFonts w:ascii="Arial" w:hAnsi="Arial" w:cs="Arial"/>
          <w:noProof/>
          <w:vertAlign w:val="superscript"/>
        </w:rPr>
        <w:t>69</w:t>
      </w:r>
      <w:r w:rsidRPr="00000FF8">
        <w:rPr>
          <w:rFonts w:ascii="Arial" w:hAnsi="Arial" w:cs="Arial"/>
        </w:rPr>
        <w:t xml:space="preserve"> comparó DRV/r (800/100 mg, QD) frente a LPV/r en 689 pacientes que recibieron además FTC/TDF coformulados. A las 48 semanas DRV/r resultó no inferior a LPV/r. Un menor porcentaje de pacientes tratados con DRV/r presentó diarrea de grado 2-4 y se observaron menores elevaciones de colesterol y triglicéridos que en los tratados con LPV/r. A las 96 semanas, DRV/r resultó superior a LPV/r (en el análisis TLOVR, aunque no en el </w:t>
      </w:r>
      <w:r w:rsidRPr="00000FF8">
        <w:rPr>
          <w:rFonts w:ascii="Arial" w:hAnsi="Arial" w:cs="Arial"/>
          <w:i/>
          <w:iCs/>
        </w:rPr>
        <w:t>snapshot</w:t>
      </w:r>
      <w:r w:rsidRPr="00000FF8">
        <w:rPr>
          <w:rFonts w:ascii="Arial" w:hAnsi="Arial" w:cs="Arial"/>
        </w:rPr>
        <w:t xml:space="preserve">). Un 4% de los pacientes de la rama de DRV/r y un 9% de la rama de LPV/r abandonaron el tratamiento asignado. </w:t>
      </w:r>
    </w:p>
    <w:p w14:paraId="621F1098"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ATV/r se comparó con EFV en el estudio ACTG 5202</w:t>
      </w:r>
      <w:r w:rsidRPr="00000FF8">
        <w:rPr>
          <w:rFonts w:ascii="Arial" w:hAnsi="Arial" w:cs="Arial"/>
          <w:noProof/>
          <w:highlight w:val="yellow"/>
          <w:vertAlign w:val="superscript"/>
        </w:rPr>
        <w:t>23</w:t>
      </w:r>
      <w:r w:rsidRPr="00000FF8">
        <w:rPr>
          <w:rFonts w:ascii="Arial" w:hAnsi="Arial" w:cs="Arial"/>
          <w:highlight w:val="yellow"/>
        </w:rPr>
        <w:t>, demostrando una eficacia no inferior (ver apartado de ITINN)</w:t>
      </w:r>
    </w:p>
    <w:p w14:paraId="5CCC90C0"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p>
    <w:p w14:paraId="2EDA076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highlight w:val="yellow"/>
        </w:rPr>
      </w:pPr>
      <w:r w:rsidRPr="00000FF8">
        <w:rPr>
          <w:rFonts w:ascii="Arial" w:hAnsi="Arial" w:cs="Arial"/>
          <w:highlight w:val="yellow"/>
        </w:rPr>
        <w:t>En comparación con INI, DRV/r y ATV/r se compararon con RAL en el estudio ACTG 5257</w:t>
      </w:r>
      <w:r w:rsidRPr="00000FF8">
        <w:rPr>
          <w:rFonts w:ascii="Arial" w:hAnsi="Arial" w:cs="Arial"/>
          <w:noProof/>
          <w:highlight w:val="yellow"/>
          <w:vertAlign w:val="superscript"/>
        </w:rPr>
        <w:t>30</w:t>
      </w:r>
      <w:r w:rsidRPr="00000FF8">
        <w:rPr>
          <w:rFonts w:ascii="Arial" w:hAnsi="Arial" w:cs="Arial"/>
          <w:highlight w:val="yellow"/>
        </w:rPr>
        <w:t xml:space="preserve">. Aunque no hubo diferencias en el porcentaje de fracasos virológicos, en el análisis conjunto de la respuesta virológica y la tolerabilidad, así como en el análisis </w:t>
      </w:r>
      <w:r w:rsidRPr="00000FF8">
        <w:rPr>
          <w:rFonts w:ascii="Arial" w:hAnsi="Arial" w:cs="Arial"/>
          <w:i/>
          <w:iCs/>
          <w:highlight w:val="yellow"/>
        </w:rPr>
        <w:t>snapshot</w:t>
      </w:r>
      <w:r w:rsidRPr="00000FF8">
        <w:rPr>
          <w:rFonts w:ascii="Arial" w:hAnsi="Arial" w:cs="Arial"/>
          <w:highlight w:val="yellow"/>
        </w:rPr>
        <w:t xml:space="preserve"> DRV/r fue superior a ATV/r y ambos IP/p inferiores a RAL. </w:t>
      </w:r>
    </w:p>
    <w:p w14:paraId="7D5B5C6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highlight w:val="yellow"/>
        </w:rPr>
      </w:pPr>
      <w:r w:rsidRPr="00000FF8">
        <w:rPr>
          <w:rFonts w:ascii="Arial" w:hAnsi="Arial" w:cs="Arial"/>
          <w:highlight w:val="yellow"/>
        </w:rPr>
        <w:t>DRV/r también se mostró inferior a DTG en el ensayo clínico (FLAMINGO)</w:t>
      </w:r>
      <w:r w:rsidRPr="00000FF8">
        <w:rPr>
          <w:rFonts w:ascii="Arial" w:hAnsi="Arial" w:cs="Arial"/>
          <w:noProof/>
          <w:highlight w:val="yellow"/>
          <w:vertAlign w:val="superscript"/>
        </w:rPr>
        <w:t>27</w:t>
      </w:r>
      <w:r w:rsidRPr="00000FF8">
        <w:rPr>
          <w:rFonts w:ascii="Arial" w:hAnsi="Arial" w:cs="Arial"/>
          <w:highlight w:val="yellow"/>
        </w:rPr>
        <w:t xml:space="preserve">, debido fundamentalmente a una mayor tasa de efectos adversos y discontinuaciones por causas no relacionadas con el fármaco. </w:t>
      </w:r>
    </w:p>
    <w:p w14:paraId="34F4AEAA"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FF0000"/>
        </w:rPr>
      </w:pPr>
      <w:r w:rsidRPr="00000FF8">
        <w:rPr>
          <w:rFonts w:ascii="Arial" w:hAnsi="Arial" w:cs="Arial"/>
          <w:highlight w:val="yellow"/>
        </w:rPr>
        <w:t>ATV/r se comparó con EVG/c en el estudio GS-US-236-0103</w:t>
      </w:r>
      <w:r w:rsidRPr="00000FF8">
        <w:rPr>
          <w:rFonts w:ascii="Arial" w:hAnsi="Arial" w:cs="Arial"/>
          <w:noProof/>
          <w:highlight w:val="yellow"/>
          <w:vertAlign w:val="superscript"/>
        </w:rPr>
        <w:t>34</w:t>
      </w:r>
      <w:r w:rsidRPr="00000FF8">
        <w:rPr>
          <w:rFonts w:ascii="Arial" w:hAnsi="Arial" w:cs="Arial"/>
          <w:highlight w:val="yellow"/>
        </w:rPr>
        <w:t xml:space="preserve"> que mostró la no inferioridad de EVG/c/FTC/TDF frente a ATV/r+FTC/TDF. Sin embargo ATV/r se ha mostrado inferior a dos pautas con INI (EVG/c/FTC/TDF y con DTG/ABC/3TC) en dos ensayos clínicos aleatorizados en los que únicamente se incluyeron mujeres</w:t>
      </w:r>
      <w:r w:rsidRPr="00000FF8">
        <w:rPr>
          <w:rFonts w:ascii="Arial" w:hAnsi="Arial" w:cs="Arial"/>
          <w:noProof/>
          <w:highlight w:val="yellow"/>
          <w:vertAlign w:val="superscript"/>
        </w:rPr>
        <w:t>35,38</w:t>
      </w:r>
      <w:r w:rsidRPr="00000FF8">
        <w:rPr>
          <w:rFonts w:ascii="Arial" w:hAnsi="Arial" w:cs="Arial"/>
          <w:noProof/>
          <w:highlight w:val="yellow"/>
        </w:rPr>
        <w:t xml:space="preserve"> (ver apartado de INI)</w:t>
      </w:r>
      <w:r w:rsidRPr="00000FF8">
        <w:rPr>
          <w:rFonts w:ascii="Arial" w:hAnsi="Arial" w:cs="Arial"/>
          <w:highlight w:val="yellow"/>
        </w:rPr>
        <w:t xml:space="preserve">. </w:t>
      </w:r>
    </w:p>
    <w:p w14:paraId="29DD821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p>
    <w:p w14:paraId="56012DEF" w14:textId="7A439512"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En el ensayo clínico aleatorizado y doble ciego AMBER se comparó DRV/c administrado junto con FTC/TDF o coformulado con FTC/TAF en comprimido único, en pacientes sin tratamiento previo</w:t>
      </w:r>
      <w:r w:rsidRPr="00000FF8">
        <w:rPr>
          <w:rFonts w:ascii="Arial" w:hAnsi="Arial" w:cs="Arial"/>
          <w:noProof/>
          <w:vertAlign w:val="superscript"/>
        </w:rPr>
        <w:t>32</w:t>
      </w:r>
      <w:r w:rsidRPr="00000FF8">
        <w:rPr>
          <w:rFonts w:ascii="Arial" w:hAnsi="Arial" w:cs="Arial"/>
        </w:rPr>
        <w:t xml:space="preserve">. La combinación </w:t>
      </w:r>
      <w:r w:rsidRPr="00000FF8">
        <w:rPr>
          <w:rFonts w:ascii="Arial" w:hAnsi="Arial" w:cs="Arial"/>
          <w:color w:val="000000"/>
        </w:rPr>
        <w:t xml:space="preserve">DRV/c/FTC/TAF demostró una eficacia no inferior a las 48 semanas, aunque el estudio incluyó muy pocos pacientes con infección en fase avanzada (sólo 6% con </w:t>
      </w:r>
      <w:r w:rsidRPr="00000FF8">
        <w:rPr>
          <w:rFonts w:ascii="Arial" w:hAnsi="Arial" w:cs="Arial"/>
        </w:rPr>
        <w:t xml:space="preserve">linfocitos CD4+ &lt;200 células/μL). La tolerancia de ambas pautas fue buena, con pocas discontinuaciones por efectos adversos (4,4% y 2,2% respectivamente). La evolución de los marcadores de toxicidad renal, ósea y niveles de lípidos fue consistente con lo ya descrito cuando se utiliza TAF y/o COBI. </w:t>
      </w:r>
    </w:p>
    <w:p w14:paraId="064C1F5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highlight w:val="yellow"/>
        </w:rPr>
        <w:t>El mayor riesgo de interacciones farmacológicas y de alteraciones metabólicas respecto a otras combinaciones de TAR hace que las combinaciones con IP/p no se recomienden como pautas de inicio.</w:t>
      </w:r>
      <w:r w:rsidRPr="00000FF8">
        <w:rPr>
          <w:rFonts w:ascii="Arial" w:hAnsi="Arial" w:cs="Arial"/>
        </w:rPr>
        <w:t xml:space="preserve"> </w:t>
      </w:r>
    </w:p>
    <w:p w14:paraId="315A12B6"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lastRenderedPageBreak/>
        <w:t>Los IP/p DRV/r y LPV/r se han evaluado en pautas de TAR de inicio con dos fármacos (biterapia). DRV/r + RAL demostró la no inferioridad con respecto a la triple terapia con DRV/r+FTC/TDF</w:t>
      </w:r>
      <w:r w:rsidRPr="00000FF8">
        <w:rPr>
          <w:rFonts w:ascii="Arial" w:hAnsi="Arial" w:cs="Arial"/>
          <w:noProof/>
          <w:vertAlign w:val="superscript"/>
        </w:rPr>
        <w:t>70</w:t>
      </w:r>
      <w:r w:rsidRPr="00000FF8">
        <w:rPr>
          <w:rFonts w:ascii="Arial" w:hAnsi="Arial" w:cs="Arial"/>
        </w:rPr>
        <w:t xml:space="preserve"> en un estudio independiente con 805 pacientes. Sin embargo, en el subgrupo de pacientes con una cifra de linfocitos T CD4+ basal inferior a 200 células/μL DRV/r+RAL presentó menor eficacia que el TAR triple. También se apreció una tendencia a la menor eficacia de DRV/r+RAL en pacientes con carga viral basal superior a 100.000 copias/mL. Estas limitaciones y el hecho de que sea improbable que no se pueda utilizar de inicio ninguna de las combinaciones de ITIAN actualmente disponibles, han llevado a que esta combinación no se encuentre entre las pautas recomendadas para el tratamiento inicial.</w:t>
      </w:r>
    </w:p>
    <w:p w14:paraId="678C9101"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r w:rsidRPr="00000FF8">
        <w:rPr>
          <w:rFonts w:ascii="Arial" w:hAnsi="Arial" w:cs="Arial"/>
        </w:rPr>
        <w:t>Dos ensayos clínicos aleatorizados han evaluado la terapia doble con un IP/p más 3TC como TAR de inicio. El estudio GARDEL comparó LPV/r+3TC frente a LPV/r + 2ITIAN</w:t>
      </w:r>
      <w:r w:rsidRPr="00000FF8">
        <w:rPr>
          <w:rFonts w:ascii="Arial" w:hAnsi="Arial" w:cs="Arial"/>
          <w:vertAlign w:val="superscript"/>
        </w:rPr>
        <w:t>71</w:t>
      </w:r>
      <w:r w:rsidRPr="00000FF8">
        <w:rPr>
          <w:rFonts w:ascii="Arial" w:hAnsi="Arial" w:cs="Arial"/>
        </w:rPr>
        <w:t xml:space="preserve"> y el estudio ANDES comparó DRV/r+3TC con DRV/r+FTC/TDF</w:t>
      </w:r>
      <w:r w:rsidRPr="00000FF8">
        <w:rPr>
          <w:rFonts w:ascii="Arial" w:hAnsi="Arial" w:cs="Arial"/>
          <w:vertAlign w:val="superscript"/>
        </w:rPr>
        <w:t>72</w:t>
      </w:r>
      <w:r w:rsidRPr="00000FF8">
        <w:rPr>
          <w:rFonts w:ascii="Arial" w:hAnsi="Arial" w:cs="Arial"/>
        </w:rPr>
        <w:t>. Aunque ambas pautas dobles han confirmado la no inferioridad respecto a la terapia triple basada en el mismo IP/r, no se consideran entre las pautas recomendadas ya que la experiencia con DRV/r+3TC en este escenario es limitada (n=75) y LPV/r no aporta ventajas en cuanto a simplicidad ni tolerabilidad respecto a otras opciones.</w:t>
      </w:r>
    </w:p>
    <w:p w14:paraId="16A3B8BE"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rPr>
      </w:pPr>
    </w:p>
    <w:p w14:paraId="21F321A6" w14:textId="77777777" w:rsidR="001B5265" w:rsidRPr="00000FF8" w:rsidRDefault="001B5265" w:rsidP="001B5265">
      <w:pPr>
        <w:widowControl w:val="0"/>
        <w:autoSpaceDE w:val="0"/>
        <w:autoSpaceDN w:val="0"/>
        <w:adjustRightInd w:val="0"/>
        <w:spacing w:before="120" w:after="120" w:line="276" w:lineRule="auto"/>
        <w:jc w:val="both"/>
        <w:outlineLvl w:val="0"/>
        <w:rPr>
          <w:rFonts w:ascii="Arial" w:hAnsi="Arial" w:cs="Arial"/>
          <w:color w:val="AE1C1F"/>
        </w:rPr>
      </w:pPr>
      <w:r w:rsidRPr="00000FF8">
        <w:rPr>
          <w:rFonts w:ascii="Arial" w:hAnsi="Arial" w:cs="Arial"/>
          <w:b/>
          <w:bCs/>
          <w:color w:val="AE1C1F"/>
        </w:rPr>
        <w:t xml:space="preserve">Recomendaciones </w:t>
      </w:r>
    </w:p>
    <w:p w14:paraId="075EA1DE" w14:textId="0DBAD41F" w:rsidR="001B5265" w:rsidRPr="00000FF8" w:rsidRDefault="001B5265" w:rsidP="001B5265">
      <w:pPr>
        <w:numPr>
          <w:ilvl w:val="0"/>
          <w:numId w:val="4"/>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Actualmente no se considera preferente para TAR de inicio ninguna pauta basada en IP/p </w:t>
      </w:r>
      <w:r w:rsidRPr="00220F39">
        <w:rPr>
          <w:rFonts w:ascii="Arial" w:hAnsi="Arial" w:cs="Arial"/>
          <w:b/>
          <w:i/>
          <w:highlight w:val="yellow"/>
          <w:lang w:val="es-ES_tradnl" w:eastAsia="en-US"/>
        </w:rPr>
        <w:t>(A-I</w:t>
      </w:r>
      <w:r w:rsidR="00220F39" w:rsidRPr="00220F39">
        <w:rPr>
          <w:rFonts w:ascii="Arial" w:hAnsi="Arial" w:cs="Arial"/>
          <w:b/>
          <w:i/>
          <w:highlight w:val="yellow"/>
          <w:lang w:val="es-ES_tradnl" w:eastAsia="en-US"/>
        </w:rPr>
        <w:t>II</w:t>
      </w:r>
      <w:r w:rsidRPr="00220F39">
        <w:rPr>
          <w:rFonts w:ascii="Arial" w:hAnsi="Arial" w:cs="Arial"/>
          <w:b/>
          <w:i/>
          <w:highlight w:val="yellow"/>
          <w:lang w:val="es-ES_tradnl" w:eastAsia="en-US"/>
        </w:rPr>
        <w:t>)</w:t>
      </w:r>
      <w:r w:rsidRPr="00220F39">
        <w:rPr>
          <w:rFonts w:ascii="Arial" w:hAnsi="Arial" w:cs="Arial"/>
          <w:highlight w:val="yellow"/>
          <w:lang w:val="es-ES_tradnl" w:eastAsia="en-US"/>
        </w:rPr>
        <w:t>.</w:t>
      </w:r>
    </w:p>
    <w:p w14:paraId="54747CD7" w14:textId="77777777" w:rsidR="001B5265" w:rsidRPr="00000FF8" w:rsidRDefault="001B5265" w:rsidP="001B5265">
      <w:pPr>
        <w:numPr>
          <w:ilvl w:val="0"/>
          <w:numId w:val="4"/>
        </w:numPr>
        <w:autoSpaceDE w:val="0"/>
        <w:autoSpaceDN w:val="0"/>
        <w:adjustRightInd w:val="0"/>
        <w:spacing w:before="120" w:after="120" w:line="276" w:lineRule="auto"/>
        <w:jc w:val="both"/>
        <w:rPr>
          <w:rFonts w:ascii="Arial" w:hAnsi="Arial" w:cs="Arial"/>
          <w:lang w:val="es-ES_tradnl" w:eastAsia="en-US"/>
        </w:rPr>
      </w:pPr>
      <w:r w:rsidRPr="00000FF8">
        <w:rPr>
          <w:rFonts w:ascii="Arial" w:hAnsi="Arial" w:cs="Arial"/>
          <w:lang w:val="es-ES_tradnl" w:eastAsia="en-US"/>
        </w:rPr>
        <w:t xml:space="preserve">Cuando se considere conveniente iniciar un tratamiento basado en IP se recomienda utilizar DRV/c/FTC/TAF </w:t>
      </w:r>
      <w:r w:rsidRPr="00220F39">
        <w:rPr>
          <w:rFonts w:ascii="Arial" w:hAnsi="Arial" w:cs="Arial"/>
          <w:b/>
          <w:highlight w:val="yellow"/>
          <w:lang w:val="es-ES_tradnl" w:eastAsia="en-US"/>
        </w:rPr>
        <w:t>(</w:t>
      </w:r>
      <w:r w:rsidRPr="00220F39">
        <w:rPr>
          <w:rFonts w:ascii="Arial" w:hAnsi="Arial" w:cs="Arial"/>
          <w:b/>
          <w:i/>
          <w:highlight w:val="yellow"/>
          <w:lang w:val="es-ES_tradnl" w:eastAsia="en-US"/>
        </w:rPr>
        <w:t>A-I</w:t>
      </w:r>
      <w:r w:rsidRPr="00000FF8">
        <w:rPr>
          <w:rFonts w:ascii="Arial" w:hAnsi="Arial" w:cs="Arial"/>
          <w:b/>
          <w:i/>
          <w:lang w:val="es-ES_tradnl" w:eastAsia="en-US"/>
        </w:rPr>
        <w:t xml:space="preserve">) </w:t>
      </w:r>
      <w:r w:rsidRPr="00000FF8">
        <w:rPr>
          <w:rFonts w:ascii="Arial" w:hAnsi="Arial" w:cs="Arial"/>
          <w:lang w:val="es-ES_tradnl" w:eastAsia="en-US"/>
        </w:rPr>
        <w:t xml:space="preserve">o DRV/r+FTC/TAF (QD) </w:t>
      </w:r>
      <w:r w:rsidRPr="00000FF8">
        <w:rPr>
          <w:rFonts w:ascii="Arial" w:hAnsi="Arial" w:cs="Arial"/>
          <w:b/>
          <w:lang w:val="es-ES_tradnl" w:eastAsia="en-US"/>
        </w:rPr>
        <w:t>(</w:t>
      </w:r>
      <w:r w:rsidRPr="00220F39">
        <w:rPr>
          <w:rFonts w:ascii="Arial" w:hAnsi="Arial" w:cs="Arial"/>
          <w:b/>
          <w:i/>
          <w:highlight w:val="yellow"/>
          <w:lang w:val="es-ES_tradnl" w:eastAsia="en-US"/>
        </w:rPr>
        <w:t>A-III</w:t>
      </w:r>
      <w:r w:rsidRPr="00000FF8">
        <w:rPr>
          <w:rFonts w:ascii="Arial" w:hAnsi="Arial" w:cs="Arial"/>
          <w:b/>
          <w:i/>
          <w:lang w:val="es-ES_tradnl" w:eastAsia="en-US"/>
        </w:rPr>
        <w:t xml:space="preserve">). </w:t>
      </w:r>
    </w:p>
    <w:p w14:paraId="13E630FB" w14:textId="77777777" w:rsidR="001B5265" w:rsidRPr="00000FF8" w:rsidRDefault="001B5265" w:rsidP="001B5265">
      <w:pPr>
        <w:widowControl w:val="0"/>
        <w:autoSpaceDE w:val="0"/>
        <w:autoSpaceDN w:val="0"/>
        <w:adjustRightInd w:val="0"/>
        <w:spacing w:before="120" w:after="120" w:line="276" w:lineRule="auto"/>
        <w:jc w:val="both"/>
        <w:rPr>
          <w:rFonts w:ascii="Arial" w:hAnsi="Arial" w:cs="Arial"/>
          <w:color w:val="960000"/>
        </w:rPr>
      </w:pPr>
    </w:p>
    <w:p w14:paraId="00F1BDBE" w14:textId="77777777" w:rsidR="001B5265" w:rsidRPr="00000FF8" w:rsidRDefault="001B5265" w:rsidP="001B5265">
      <w:pPr>
        <w:spacing w:after="200" w:line="276" w:lineRule="auto"/>
        <w:jc w:val="center"/>
        <w:outlineLvl w:val="0"/>
        <w:rPr>
          <w:rFonts w:ascii="Arial" w:hAnsi="Arial" w:cs="Arial"/>
          <w:color w:val="AE1C1F"/>
        </w:rPr>
      </w:pPr>
      <w:r w:rsidRPr="00000FF8">
        <w:rPr>
          <w:rFonts w:ascii="Arial" w:hAnsi="Arial" w:cs="Arial"/>
          <w:b/>
          <w:noProof/>
          <w:color w:val="AE1C1F"/>
        </w:rPr>
        <w:t>Referencias bibliográficas</w:t>
      </w:r>
    </w:p>
    <w:p w14:paraId="5508CA1C" w14:textId="77777777" w:rsidR="001B5265" w:rsidRPr="00000FF8" w:rsidRDefault="001B5265" w:rsidP="001B5265">
      <w:pPr>
        <w:pStyle w:val="EndNoteBibliography"/>
        <w:spacing w:before="120" w:after="120"/>
        <w:jc w:val="both"/>
        <w:rPr>
          <w:rFonts w:cs="Arial"/>
          <w:sz w:val="18"/>
        </w:rPr>
      </w:pPr>
    </w:p>
    <w:p w14:paraId="4D3E74D4" w14:textId="77777777" w:rsidR="001B5265" w:rsidRPr="00000FF8" w:rsidRDefault="001B5265" w:rsidP="001B5265">
      <w:pPr>
        <w:pStyle w:val="EndNoteBibliography"/>
        <w:spacing w:before="120" w:after="120"/>
        <w:jc w:val="both"/>
        <w:rPr>
          <w:rFonts w:cs="Arial"/>
          <w:sz w:val="18"/>
        </w:rPr>
        <w:sectPr w:rsidR="001B5265" w:rsidRPr="00000FF8" w:rsidSect="002C1648">
          <w:footerReference w:type="default" r:id="rId23"/>
          <w:pgSz w:w="11906" w:h="16838"/>
          <w:pgMar w:top="1417" w:right="1701" w:bottom="1417" w:left="1701" w:header="708" w:footer="708" w:gutter="0"/>
          <w:cols w:space="708"/>
          <w:docGrid w:linePitch="360"/>
        </w:sectPr>
      </w:pPr>
    </w:p>
    <w:p w14:paraId="7014DA74"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rPr>
        <w:t xml:space="preserve">1. Sterne JA, May M, Costagliola D, et al. </w:t>
      </w:r>
      <w:r w:rsidRPr="00000FF8">
        <w:rPr>
          <w:rFonts w:cs="Arial"/>
          <w:sz w:val="18"/>
          <w:lang w:val="en-US"/>
        </w:rPr>
        <w:t>Timing of initiation of antiretroviral therapy in AIDS-free HIV-1-infected patients: a collaborative analysis of 18 HIV cohort studies. Lancet 2009;373:1352-63.</w:t>
      </w:r>
    </w:p>
    <w:p w14:paraId="6B0D947E"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 Cain LE, Logan R, Robins JM, et al. When to initiate combined antiretroviral therapy to reduce mortality and AIDS-defining illness in HIV-infected persons in developed countries: an observational study. Ann Intern Med 2011;154:509-15.</w:t>
      </w:r>
    </w:p>
    <w:p w14:paraId="03068576"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3. CASCADE collaboration. Determinants of survival following HIV-1 seroconversion after the introduction of HAART. Lancet 2003;362:1267-74.</w:t>
      </w:r>
    </w:p>
    <w:p w14:paraId="2C3AB1B2"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 xml:space="preserve">4. Kitahata MM, Gange SJ, Abraham AG, et al. Effect of early versus deferred antiretroviral </w:t>
      </w:r>
      <w:r w:rsidRPr="00000FF8">
        <w:rPr>
          <w:rFonts w:cs="Arial"/>
          <w:sz w:val="18"/>
          <w:lang w:val="en-US"/>
        </w:rPr>
        <w:t>therapy for HIV on survival. N Engl J Med 2009;360:1815-26.</w:t>
      </w:r>
    </w:p>
    <w:p w14:paraId="62BFCB7C"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 Emery S, Neuhaus JA, Phillips AN, et al. Major clinical outcomes in antiretroviral therapy (ART)-naive participants and in those not receiving ART at baseline in the SMART study. J Infect Dis 2008;197:1133-44.</w:t>
      </w:r>
    </w:p>
    <w:p w14:paraId="72EE5260"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6. Cohen MS, Chen YQ, McCauley M, et al. Antiretroviral therapy for the prevention of HIV-1 transmission. N Engl J Med 2016;375:830-9.</w:t>
      </w:r>
    </w:p>
    <w:p w14:paraId="3BDB1028"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7. Lundgren JD, Babiker AG, Gordin F, et al. Initiation of antiretroviral therapy in early asymptomatic HIV infection. N Engl J Med 2015;373:795-807.</w:t>
      </w:r>
    </w:p>
    <w:p w14:paraId="5E079BEE"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8.</w:t>
      </w:r>
      <w:r w:rsidRPr="00000FF8">
        <w:rPr>
          <w:rFonts w:cs="Arial"/>
          <w:highlight w:val="yellow"/>
          <w:lang w:val="en-US"/>
        </w:rPr>
        <w:t xml:space="preserve"> </w:t>
      </w:r>
      <w:r w:rsidRPr="00000FF8">
        <w:rPr>
          <w:rFonts w:cs="Arial"/>
          <w:sz w:val="18"/>
          <w:highlight w:val="yellow"/>
          <w:lang w:val="en-US"/>
        </w:rPr>
        <w:t xml:space="preserve">Sharma S, Schlusser KE, de la Torre P, et al, for the INSIGHT START Study Group. The </w:t>
      </w:r>
      <w:r w:rsidRPr="00000FF8">
        <w:rPr>
          <w:rFonts w:cs="Arial"/>
          <w:sz w:val="18"/>
          <w:highlight w:val="yellow"/>
          <w:lang w:val="en-US"/>
        </w:rPr>
        <w:lastRenderedPageBreak/>
        <w:t>benefit of immediate compared with deferred antiretroviral therapy on CD4R cell count recovery in early HIV infection. AIDS 2019, 33:1335-44.</w:t>
      </w:r>
    </w:p>
    <w:p w14:paraId="64F5EBA6"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9. Danel C, Moh R, Gabillard D, et al. A trial of early antiretrovirals and isoniazid preventive therapy in Africa. N Engl J Med 2015;373:808-22.</w:t>
      </w:r>
    </w:p>
    <w:p w14:paraId="495E389D"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10. Ford N, Migone C, Calmy A, et al. Benefits and risks of rapid initiation of antiretroviral therapy. AIDS. 2018;32:17-23.</w:t>
      </w:r>
    </w:p>
    <w:p w14:paraId="3EAEBBCC"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11. Girometti N, Nwokolo N, McOwan A, Whitlock G. Outcomes of acutely HIV-1- infected individuals following rapid antiretroviral therapy initiation. Antivir Ther 2016.</w:t>
      </w:r>
    </w:p>
    <w:p w14:paraId="5067560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12. Hoenigl M, Chaillon A, Moore DJ, et al. Rapid HIV Viral Load Suppression in those Initiating Antiretroviral Therapy at First Visit after HIV Diagnosis. Sci Rep 2016; 6: 32947.</w:t>
      </w:r>
    </w:p>
    <w:p w14:paraId="275B367D"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13. Pilcher CD, Ospina-Norvell C, Dasgupta A, Jones D, Hartogensis W, Torres S, et al. The Effect of Same-Day Observed Initiation of Antiretroviral Therapy on HIV Viral Load and Treatment Outcomes in a US Public Health Setting. J Acquir Immune Defic Syndr 2017; 74:44-51.</w:t>
      </w:r>
    </w:p>
    <w:p w14:paraId="71460FE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14 Huhn GD, Crofoot G, Ramgopal M, et al.</w:t>
      </w:r>
      <w:r w:rsidRPr="00000FF8">
        <w:rPr>
          <w:rFonts w:cs="Arial"/>
          <w:strike/>
          <w:sz w:val="18"/>
          <w:highlight w:val="yellow"/>
          <w:lang w:val="en-US"/>
        </w:rPr>
        <w:t xml:space="preserve"> </w:t>
      </w:r>
      <w:r w:rsidRPr="00000FF8">
        <w:rPr>
          <w:rFonts w:cs="Arial"/>
          <w:sz w:val="18"/>
          <w:highlight w:val="yellow"/>
          <w:lang w:val="en-US"/>
        </w:rPr>
        <w:t>Darunavir/cobicistat/emtricitabine/tenofovir alafenamide rapid initiation for HIV-1 infection. Primary analysis of the DIAMOND study. Presented at: American Conference for the Treatment of HIV; April 11-13, 2019. Miami.</w:t>
      </w:r>
    </w:p>
    <w:p w14:paraId="27DC2CF7"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15. Molina JM, Grund B, Gordin F, et al. Which HIV-infected adults with high CD4 T-cell counts benefit most from immediate initiation of antiretroviral therapy? A post-hoc subgroup analysis of the START trial.Lancet HIV. 2018;5:e172-e180</w:t>
      </w:r>
    </w:p>
    <w:p w14:paraId="44B5CDE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s-ES_tradnl"/>
        </w:rPr>
        <w:t xml:space="preserve">16. Arribas JR, Thompson M, Sax PE, et al. </w:t>
      </w:r>
      <w:r w:rsidRPr="00000FF8">
        <w:rPr>
          <w:rFonts w:cs="Arial"/>
          <w:sz w:val="18"/>
          <w:lang w:val="en-US"/>
        </w:rPr>
        <w:t>Randomized, double-blind comparison of tenofovir alafenamide (TAF) vs tenofovir disoproxil fumarate (TDF), each coformulated with elvitegravir, cobicistat, and emtricitabine (E/C/F) for initial HIV-1 treatment: week 144 results. J Acquir Immune Defic Syndr 2017;75:211-8.</w:t>
      </w:r>
    </w:p>
    <w:p w14:paraId="0DA81BE4"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17. Venter WDF, Moorhouse M, Sokhela S, et al. Dolutegravir plus Two Different Prodrugs of Tenofovir to Treat HIV. N Engl J Med. 2019 Aug 29;381:803-15</w:t>
      </w:r>
    </w:p>
    <w:p w14:paraId="0542A391" w14:textId="77777777" w:rsidR="001B5265" w:rsidRPr="00000FF8" w:rsidRDefault="001B5265" w:rsidP="001B5265">
      <w:pPr>
        <w:pStyle w:val="EndNoteBibliography"/>
        <w:spacing w:before="120" w:after="120"/>
        <w:jc w:val="both"/>
        <w:rPr>
          <w:rFonts w:cs="Arial"/>
          <w:sz w:val="18"/>
        </w:rPr>
      </w:pPr>
      <w:r w:rsidRPr="00000FF8">
        <w:rPr>
          <w:rFonts w:cs="Arial"/>
          <w:sz w:val="18"/>
          <w:lang w:val="en-US"/>
        </w:rPr>
        <w:t xml:space="preserve">18. Hill A, Hughes SL, Gotham D, Pozniak AL. Tenofovir alafenamide versus tenofovir disoproxil fumarate: is there a true difference in efficacy and safety? </w:t>
      </w:r>
      <w:r w:rsidRPr="00000FF8">
        <w:rPr>
          <w:rFonts w:cs="Arial"/>
          <w:sz w:val="18"/>
        </w:rPr>
        <w:t>J Virus Erad. 2018;4:72-79.</w:t>
      </w:r>
    </w:p>
    <w:p w14:paraId="6889ABD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rPr>
        <w:t xml:space="preserve">19. Sax PE, Erlandson KM, Lake JE, et al. </w:t>
      </w:r>
      <w:r w:rsidRPr="00000FF8">
        <w:rPr>
          <w:rFonts w:cs="Arial"/>
          <w:sz w:val="18"/>
          <w:highlight w:val="yellow"/>
          <w:lang w:val="en-US"/>
        </w:rPr>
        <w:t>Weight Gain Following Initiation of Antiretroviral Therapy: Risk Factors in Randomized Comparative Clinical Trials.Clin Infect Dis. 2019 Oct 14. pii: ciz999. doi: 10.1093/cid/ciz999. [Epub ahead of print]</w:t>
      </w:r>
    </w:p>
    <w:p w14:paraId="04916F55"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 xml:space="preserve">20. Gallant J, Lazzarin A, Mills A, et al. Bictegravir, emtricitabine, and tenofovir </w:t>
      </w:r>
      <w:r w:rsidRPr="00000FF8">
        <w:rPr>
          <w:rFonts w:cs="Arial"/>
          <w:sz w:val="18"/>
          <w:lang w:val="en-US"/>
        </w:rPr>
        <w:t>alafenamide versus dolutegravir, abacavir, and lamivudine for initial treatment of HIV-1 infection (GS-US-380-1489): a double-blind, multicentre, phase 3, randomised controlled non-inferiority trial. Lancet 2017;390:2063-72.</w:t>
      </w:r>
    </w:p>
    <w:p w14:paraId="5A68D3C3"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21. Sax PE, Tierney C, Collier AC, et al. Abacavir-lamivudine versus tenofovir-emtricitabine for initial HIV-1 therapy. N Engl J Med 2009;361:2230-40.</w:t>
      </w:r>
    </w:p>
    <w:p w14:paraId="0290CF6A" w14:textId="77777777" w:rsidR="001B5265" w:rsidRPr="00000FF8" w:rsidRDefault="001B5265" w:rsidP="001B5265">
      <w:pPr>
        <w:pStyle w:val="EndNoteBibliography"/>
        <w:spacing w:before="120" w:after="120"/>
        <w:jc w:val="both"/>
        <w:rPr>
          <w:rFonts w:cs="Arial"/>
          <w:sz w:val="18"/>
        </w:rPr>
      </w:pPr>
      <w:r w:rsidRPr="00000FF8">
        <w:rPr>
          <w:rFonts w:cs="Arial"/>
          <w:sz w:val="18"/>
          <w:lang w:val="en-US"/>
        </w:rPr>
        <w:t xml:space="preserve">22. Sax PE, Tierney C, Collier AC, et al. Abacavir/lamivudine versus tenofovir DF/emtricitabine as part of combination regimens for initial treatment of HIV: final results. </w:t>
      </w:r>
      <w:r w:rsidRPr="00000FF8">
        <w:rPr>
          <w:rFonts w:cs="Arial"/>
          <w:sz w:val="18"/>
        </w:rPr>
        <w:t>J Infect Dis 2011;204:1191-201.</w:t>
      </w:r>
    </w:p>
    <w:p w14:paraId="0871B462"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rPr>
        <w:t xml:space="preserve">23. Daar ES, Tierney C, Fischl MA, et al. </w:t>
      </w:r>
      <w:r w:rsidRPr="00000FF8">
        <w:rPr>
          <w:rFonts w:cs="Arial"/>
          <w:sz w:val="18"/>
          <w:lang w:val="en-US"/>
        </w:rPr>
        <w:t>Atazanavir plus ritonavir or efavirenz as part of a 3-drug regimen for initial treatment of HIV-1. Ann Intern Med 2011;154:445-56.</w:t>
      </w:r>
    </w:p>
    <w:p w14:paraId="0D21C0CA"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24. Post FA, Moyle GJ, Stellbrink HJ, et al. Randomized comparison of renal effects, efficacy, and safety with once-daily abacavir/lamivudine versus tenofovir/ emtricitabine, administered with efavirenz, in antiretroviral-naive, HIV-1-infected adults: 48-week results from the ASSERT study. J Acquir Immune Defic Syndr 2010;55:49-57.</w:t>
      </w:r>
    </w:p>
    <w:p w14:paraId="62EDBDCB"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25. Walmsley SL, Antela A, Clumeck N, et al. Dolutegravir plus abacavir-lamivudine for the treatment of HIV-1 infection. N Engl J Med 2013;369:1807-18.</w:t>
      </w:r>
    </w:p>
    <w:p w14:paraId="5596FD13"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26. Raffi F, Rachlis A, Stellbrink HJ, et al. Once-daily dolutegravir versus raltegravir in antiretroviral-naive adults with HIV-1 infection: 48 week results from the randomised, double-blind, non-inferiority SPRING-2 study. Lancet 2013;381:735-43.</w:t>
      </w:r>
    </w:p>
    <w:p w14:paraId="1C779D2B"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27. Clotet B, Feinberg J, van Lunzen J, et al. Once-daily dolutegravir versus darunavir plus ritonavir in antiretroviral-naive adults with HIV-1 infection (FLAMINGO): 48 week results from the randomised open-label phase 3b study. Lancet 2014;383:2222-31.</w:t>
      </w:r>
    </w:p>
    <w:p w14:paraId="33D5373D"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28. Cruciani M, Mengoli C, Malena M, et al. Virological efficacy of abacavir: systematic review and meta-analysis. J Antimicrob Chemother 2014;69:3169-80.</w:t>
      </w:r>
    </w:p>
    <w:p w14:paraId="15B4F6FB" w14:textId="77777777" w:rsidR="001B5265" w:rsidRPr="00000FF8" w:rsidRDefault="001B5265" w:rsidP="001B5265">
      <w:pPr>
        <w:pStyle w:val="EndNoteBibliography"/>
        <w:spacing w:before="120" w:after="120"/>
        <w:jc w:val="both"/>
        <w:rPr>
          <w:rFonts w:cs="Arial"/>
          <w:sz w:val="18"/>
        </w:rPr>
      </w:pPr>
      <w:r w:rsidRPr="00000FF8">
        <w:rPr>
          <w:rFonts w:cs="Arial"/>
          <w:sz w:val="18"/>
          <w:lang w:val="en-US"/>
        </w:rPr>
        <w:t xml:space="preserve">29. Cahn P, Kaplan R, Sax PE, et al. Raltegravir 1200 mg once daily versus raltegravir 400 mg twice daily, with tenofovir disoproxil fumarate and emtricitabine, for previously untreated HIV-1 infection: a randomised, double-blind, parallel-group, phase 3, non-inferiority trial. </w:t>
      </w:r>
      <w:r w:rsidRPr="00000FF8">
        <w:rPr>
          <w:rFonts w:cs="Arial"/>
          <w:sz w:val="18"/>
        </w:rPr>
        <w:t>The lancet HIV 2017;4:e486-e94.</w:t>
      </w:r>
    </w:p>
    <w:p w14:paraId="5A73AA2A"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s-ES_tradnl"/>
        </w:rPr>
        <w:t xml:space="preserve">30. Lennox JL, Landovitz RJ, Ribaudo HJ, et al. </w:t>
      </w:r>
      <w:r w:rsidRPr="00000FF8">
        <w:rPr>
          <w:rFonts w:cs="Arial"/>
          <w:sz w:val="18"/>
          <w:lang w:val="en-US"/>
        </w:rPr>
        <w:t>Efficacy and tolerability of 3 nonnucleoside reverse transcriptase inhibitor-sparing antiretroviral regimens for treatment-naive volunteers infected with HIV-1: A randomized, controlled equivalence trial. Ann Intern Med 2014;161:461-71.</w:t>
      </w:r>
    </w:p>
    <w:p w14:paraId="2253E2D4" w14:textId="77777777" w:rsidR="001B5265" w:rsidRPr="00000FF8" w:rsidRDefault="001B5265" w:rsidP="001B5265">
      <w:pPr>
        <w:pStyle w:val="EndNoteBibliography"/>
        <w:spacing w:before="120" w:after="120"/>
        <w:jc w:val="both"/>
        <w:rPr>
          <w:rFonts w:cs="Arial"/>
          <w:sz w:val="18"/>
        </w:rPr>
      </w:pPr>
      <w:r w:rsidRPr="00000FF8">
        <w:rPr>
          <w:rFonts w:cs="Arial"/>
          <w:sz w:val="18"/>
          <w:lang w:val="en-US"/>
        </w:rPr>
        <w:lastRenderedPageBreak/>
        <w:t xml:space="preserve">31. Rockstroh JK, DeJesus E, Lennox JL, et al. Durable efficacy and safety of raltegravir versus efavirenz when combined with tenofovir/emtricitabine in treatment-naive HIV-1-infected patients: final 5-year results from STARTMRK. </w:t>
      </w:r>
      <w:r w:rsidRPr="00000FF8">
        <w:rPr>
          <w:rFonts w:cs="Arial"/>
          <w:sz w:val="18"/>
        </w:rPr>
        <w:t>J Acquir Immune Defic Syndr 2013;63:77-85.</w:t>
      </w:r>
    </w:p>
    <w:p w14:paraId="0731A32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s-ES_tradnl"/>
        </w:rPr>
        <w:t xml:space="preserve">32. Eron JJ, Orkin C, Gallant J, Molina JM, Negredo E, Antinori A, et al. </w:t>
      </w:r>
      <w:r w:rsidRPr="00000FF8">
        <w:rPr>
          <w:rFonts w:cs="Arial"/>
          <w:sz w:val="18"/>
          <w:lang w:val="en-US"/>
        </w:rPr>
        <w:t>A week-48 ran-domized phase-3 trial of darunavir/cobicistat/ emtricitabine/tenofovir alafenamide in treatment-naive HIV-1 patients. AIDS 2018; 32:1431-1442.</w:t>
      </w:r>
    </w:p>
    <w:p w14:paraId="164BE0BD"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33. Wohl DA, Cohen C, Gallant JE, et al. A randomized, double-blind comparison of single-tablet regimen elvitegravir / cobicistat / emtricitabine / tenofovir DF versus single-tablet regimen efavirenz/emtricitabine/tenofovir DF for initial treatment of HIV-1 infection: analysis of week 144 results. J Acquir Immune Defic Syndr 2014;65:e118-20.</w:t>
      </w:r>
      <w:r w:rsidRPr="00000FF8">
        <w:rPr>
          <w:rFonts w:cs="Arial"/>
          <w:sz w:val="18"/>
          <w:lang w:val="en-US"/>
        </w:rPr>
        <w:tab/>
      </w:r>
    </w:p>
    <w:p w14:paraId="77F96B87"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34. Clumeck N, Molina JM, Henry K, et al. A randomized, double-blind comparison of single-tablet regimen elvitegravir / cobicistat / emtricitabine / tenofovir DF vs ritonavir-boosted atazanavir plus emtricitabine/tenofovir DF for initial treatment of HIV-1 infection: analysis of week 144 results. J Acquir Immune Defic Syndr 2014;65:e121-4.</w:t>
      </w:r>
    </w:p>
    <w:p w14:paraId="369F1513"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35. Squires K, Kityo C, Hodder S, et al. Integrase inhibitor versus protease inhibitor based regimen for HIV-1 infected women (WAVES): a randomised, controlled, double-blind, phase 3 study. The Lancet HIV 2016;3:e410-20.</w:t>
      </w:r>
    </w:p>
    <w:p w14:paraId="0FF85DA3"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36. 41. Walmsley S, Baumgarten A, Berenguer J, et al. Dolutegravir plus abacavir/lamivudine for the treatment of HIV-1 infection in antiretroviral therapy-naive patients: week 96 and week 144 results from the SINGLE randomized clinical trial. J Acquir Immune Defic Syndr 2015;70:515-9.</w:t>
      </w:r>
    </w:p>
    <w:p w14:paraId="462CE0A0" w14:textId="77777777" w:rsidR="001B5265" w:rsidRPr="00000FF8" w:rsidRDefault="001B5265" w:rsidP="001B5265">
      <w:pPr>
        <w:pStyle w:val="EndNoteBibliography"/>
        <w:spacing w:before="120" w:after="120"/>
        <w:jc w:val="both"/>
        <w:rPr>
          <w:rFonts w:cs="Arial"/>
          <w:sz w:val="18"/>
          <w:lang w:val="es-ES_tradnl"/>
        </w:rPr>
      </w:pPr>
      <w:r w:rsidRPr="00000FF8">
        <w:rPr>
          <w:rFonts w:cs="Arial"/>
          <w:sz w:val="18"/>
          <w:highlight w:val="yellow"/>
          <w:lang w:val="en-US"/>
        </w:rPr>
        <w:t xml:space="preserve">37. NAMSAL ANRS 12313 Study Group, Kouanfack C, Mpoudi-Etame M, Omgba Bassega P, et al. Dolutegravir-Based or Low-Dose Efavirenz-Based Regimen for the Treatment of HIV-1. </w:t>
      </w:r>
      <w:r w:rsidRPr="00000FF8">
        <w:rPr>
          <w:rFonts w:cs="Arial"/>
          <w:sz w:val="18"/>
          <w:highlight w:val="yellow"/>
          <w:lang w:val="es-ES_tradnl"/>
        </w:rPr>
        <w:t>N Engl J Med. 2019;381:816-26.</w:t>
      </w:r>
    </w:p>
    <w:p w14:paraId="42B22C9F" w14:textId="77777777" w:rsidR="001B5265" w:rsidRPr="00000FF8" w:rsidRDefault="001B5265" w:rsidP="001B5265">
      <w:pPr>
        <w:pStyle w:val="EndNoteBibliography"/>
        <w:spacing w:before="120" w:after="120"/>
        <w:jc w:val="both"/>
        <w:rPr>
          <w:rFonts w:cs="Arial"/>
          <w:sz w:val="18"/>
        </w:rPr>
      </w:pPr>
      <w:r w:rsidRPr="00000FF8">
        <w:rPr>
          <w:rFonts w:cs="Arial"/>
          <w:sz w:val="18"/>
          <w:lang w:val="es-ES_tradnl"/>
        </w:rPr>
        <w:t xml:space="preserve">38. Molina JM, Clotet B, van Lunzen J, et al. </w:t>
      </w:r>
      <w:r w:rsidRPr="00000FF8">
        <w:rPr>
          <w:rFonts w:cs="Arial"/>
          <w:sz w:val="18"/>
          <w:lang w:val="en-US"/>
        </w:rPr>
        <w:t xml:space="preserve">Once-daily dolutegravir versus darunavir plus ritonavir for treatment-naive adults with HIV-1 infection (FLAMINGO): 96 week results from a randomised, open-label, phase 3b study. </w:t>
      </w:r>
      <w:r w:rsidRPr="00000FF8">
        <w:rPr>
          <w:rFonts w:cs="Arial"/>
          <w:sz w:val="18"/>
        </w:rPr>
        <w:t xml:space="preserve">Lancet HIV. 2015;2:e127-36.  </w:t>
      </w:r>
    </w:p>
    <w:p w14:paraId="4866A913" w14:textId="77777777" w:rsidR="001B5265" w:rsidRPr="00000FF8" w:rsidRDefault="001B5265" w:rsidP="001B5265">
      <w:pPr>
        <w:pStyle w:val="EndNoteBibliography"/>
        <w:spacing w:before="120" w:after="120"/>
        <w:jc w:val="both"/>
        <w:rPr>
          <w:rFonts w:cs="Arial"/>
          <w:sz w:val="18"/>
          <w:lang w:val="es-ES_tradnl"/>
        </w:rPr>
      </w:pPr>
      <w:r w:rsidRPr="00000FF8">
        <w:rPr>
          <w:rFonts w:cs="Arial"/>
          <w:sz w:val="18"/>
          <w:lang w:val="es-ES_tradnl"/>
        </w:rPr>
        <w:t xml:space="preserve">39. Orrell C, Hagins DP, Belonosova E, et al. </w:t>
      </w:r>
      <w:r w:rsidRPr="00000FF8">
        <w:rPr>
          <w:rFonts w:cs="Arial"/>
          <w:sz w:val="18"/>
          <w:lang w:val="en-US"/>
        </w:rPr>
        <w:t xml:space="preserve">Fixed-dose combination dolutegravir, abacavir, and lamivudine versus ritonavir-boosted atazanavir plus tenofovir disoproxil fumarate and emtricitabine in previously untreated women with HIV-1 infection (ARIA): week 48 results from a randomised, open-label, non-inferiority, phase 3b study. </w:t>
      </w:r>
      <w:r w:rsidRPr="00000FF8">
        <w:rPr>
          <w:rFonts w:cs="Arial"/>
          <w:sz w:val="18"/>
          <w:lang w:val="es-ES_tradnl"/>
        </w:rPr>
        <w:t>The Lancet HIV 2017; 4:e536-e546.</w:t>
      </w:r>
    </w:p>
    <w:p w14:paraId="25712B86" w14:textId="77777777" w:rsidR="001B5265" w:rsidRPr="00000FF8" w:rsidRDefault="001B5265" w:rsidP="001B5265">
      <w:pPr>
        <w:pStyle w:val="EndNoteBibliography"/>
        <w:spacing w:before="120" w:after="120"/>
        <w:jc w:val="both"/>
        <w:rPr>
          <w:rFonts w:cs="Arial"/>
          <w:sz w:val="18"/>
          <w:lang w:val="es-ES_tradnl"/>
        </w:rPr>
      </w:pPr>
      <w:r w:rsidRPr="00000FF8">
        <w:rPr>
          <w:rFonts w:cs="Arial"/>
          <w:sz w:val="18"/>
          <w:lang w:val="es-ES_tradnl"/>
        </w:rPr>
        <w:t xml:space="preserve">40. Cahn P, Sierra Madero J, Arribas JR, et al. </w:t>
      </w:r>
      <w:r w:rsidRPr="00000FF8">
        <w:rPr>
          <w:rFonts w:cs="Arial"/>
          <w:sz w:val="18"/>
          <w:lang w:val="en-US"/>
        </w:rPr>
        <w:t xml:space="preserve">Dolutegravir plus lamivudine versus dolutegravir plus tenofovir disoproxil fumarate and emtricitabine in antiretroviral-naive adults with </w:t>
      </w:r>
      <w:r w:rsidRPr="00000FF8">
        <w:rPr>
          <w:rFonts w:cs="Arial"/>
          <w:sz w:val="18"/>
          <w:lang w:val="en-US"/>
        </w:rPr>
        <w:t xml:space="preserve">HIV-1 infection (GEMINI-1 and GEMINI-2): week 48 results from two multicentre, double-blind, randomised, non-inferiority, phase 3 trials. </w:t>
      </w:r>
      <w:r w:rsidRPr="00000FF8">
        <w:rPr>
          <w:rFonts w:cs="Arial"/>
          <w:sz w:val="18"/>
          <w:lang w:val="es-ES_tradnl"/>
        </w:rPr>
        <w:t>Lancet 2019; 393: 143–55</w:t>
      </w:r>
    </w:p>
    <w:p w14:paraId="019F838F"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s-ES_tradnl"/>
        </w:rPr>
        <w:t xml:space="preserve">41. Cahn P, Sierra Madero J, Arribas J, et al. </w:t>
      </w:r>
      <w:r w:rsidRPr="00000FF8">
        <w:rPr>
          <w:rFonts w:cs="Arial"/>
          <w:sz w:val="18"/>
          <w:lang w:val="en-US"/>
        </w:rPr>
        <w:t>Durable efficacy of dolutegravir (DTG) plus lamivudine (3TC) in antiretroviral treatment-naive adults with HIV-1 infection--96-week results from the GEMINI studies. 10th IAS Conference on HIV Science (IAS 2019), July 21-24, 2019, Mexico City. Abstract WEAB0404LB.</w:t>
      </w:r>
    </w:p>
    <w:p w14:paraId="5F86AA30"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42. Radford M, Parks DC, Ferrante S, Punekar Y. Comparative efficacy and safety and dolutegravir  and lamivudine in treatment naive HIV patients. AIDS. 2019; 33:1739-49</w:t>
      </w:r>
    </w:p>
    <w:p w14:paraId="4C3BD7D8" w14:textId="77777777" w:rsidR="001B5265" w:rsidRPr="00000FF8" w:rsidRDefault="001B5265" w:rsidP="001B5265">
      <w:pPr>
        <w:pStyle w:val="EndNoteBibliography"/>
        <w:spacing w:before="120" w:after="120"/>
        <w:jc w:val="both"/>
        <w:rPr>
          <w:rFonts w:cs="Arial"/>
          <w:sz w:val="18"/>
          <w:highlight w:val="yellow"/>
          <w:lang w:val="en-US"/>
        </w:rPr>
      </w:pPr>
      <w:r w:rsidRPr="00000FF8">
        <w:rPr>
          <w:rFonts w:cs="Arial"/>
          <w:sz w:val="18"/>
          <w:highlight w:val="yellow"/>
          <w:lang w:val="en-US"/>
        </w:rPr>
        <w:t>43. Zash R, Makhema J, Shapiro RL.Neural-Tube Defects with Dolutegravir Treatment from the Time of Conception. N Engl J Med. 2018;379:979-81.</w:t>
      </w:r>
    </w:p>
    <w:p w14:paraId="2ED447B2"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44. Zash R, Holmes L, Diseko M, et al. Neural-Tube Defects and Antiretroviral Treatment Regimens in Botswana. N Engl J Med. 2019;381:827-40.</w:t>
      </w:r>
    </w:p>
    <w:p w14:paraId="20CF436B"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45. Sax PE, Pozniak A, Montes ML, et al. </w:t>
      </w:r>
      <w:r w:rsidRPr="00000FF8">
        <w:rPr>
          <w:rFonts w:cs="Arial"/>
          <w:sz w:val="18"/>
          <w:lang w:val="en-US"/>
        </w:rPr>
        <w:t>Coformulated bictegravir, emtricitabine, and tenofovir alafenamide versus dolutegravir with emtricitabine and tenofovir alafenamide, for initial treatment of HIV-1 infection (GS-US-380-1490): a randomised, double-blind, multicentre, phase 3, non-inferiority trial. Lancet 2017;390:20</w:t>
      </w:r>
    </w:p>
    <w:p w14:paraId="4A5A2BD9" w14:textId="77777777" w:rsidR="001B5265" w:rsidRPr="00000FF8" w:rsidRDefault="001B5265" w:rsidP="001B5265">
      <w:pPr>
        <w:pStyle w:val="EndNoteBibliography"/>
        <w:spacing w:before="120" w:after="120"/>
        <w:jc w:val="both"/>
        <w:rPr>
          <w:rFonts w:cs="Arial"/>
          <w:sz w:val="18"/>
          <w:highlight w:val="yellow"/>
          <w:lang w:val="en-US"/>
        </w:rPr>
      </w:pPr>
      <w:r w:rsidRPr="00000FF8">
        <w:rPr>
          <w:rFonts w:cs="Arial"/>
          <w:sz w:val="18"/>
          <w:highlight w:val="yellow"/>
          <w:lang w:val="en-US"/>
        </w:rPr>
        <w:t>46. Stellbrink HJ, Arribas JR, Stephens JL, et al.Co-formulated bictegravir, emtricitabine, and tenofovir alafenamide versus dolutegravir with emtricitabine and tenofovir alafenamide for initial treatment of HIV-1 infection: week 96 results from a randomised, double-blind, multicentre,phase 3, non-inferiority trial. Lancet HIV. 2019;6:e364-e372.</w:t>
      </w:r>
    </w:p>
    <w:p w14:paraId="005104B8"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47. Wohl DA, Yazdanpanah Y, Baumgarten A, et al.Bictegravir combined with emtricitabine and tenofovir alafenamide versus dolutegravir, abacavir, and lamivudine for initial treatment of HIV-1 infection: week 96 results from a randomised, double-blind, multicentre, phase 3, non-inferiority trial. Lancet HIV. 2019;6:e355-e363.</w:t>
      </w:r>
    </w:p>
    <w:p w14:paraId="3F2EB500"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48. Kanters S, Vitoria M, Doherty M, et al. Comparative efficacy and safety of first-line antiretroviral therapy for the treatment of HIV infection: a systematic review and network meta-analysis. The Lancet HIV 2016;3:e510-e20.</w:t>
      </w:r>
    </w:p>
    <w:p w14:paraId="7DE296A4"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49. Bourgi K, Rebeiro PF, Turner M, et al. Greater Weight Gain in Treatment Naïve Persons Starting Dolutegravir-Based Antiretroviral Therapy. Clin Infect Dis. 2019 May 17. Pii: ciz407. Doi: 10.1093/cid/ciz407. [Epub ahead of print].</w:t>
      </w:r>
    </w:p>
    <w:p w14:paraId="78BA1167"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s-ES_tradnl"/>
        </w:rPr>
        <w:t xml:space="preserve">50. Mollan KR, Smurzynski M, Eron JJ, et al. </w:t>
      </w:r>
      <w:r w:rsidRPr="00000FF8">
        <w:rPr>
          <w:rFonts w:cs="Arial"/>
          <w:sz w:val="18"/>
          <w:lang w:val="en-US"/>
        </w:rPr>
        <w:t>Association between efavirenz as initial therapy for HIV-1 infection and increased risk for suicidal ideation or attempted or completed sicide: An aalysis of tial dta. Ann Intern Med 2014;161:1-10.</w:t>
      </w:r>
    </w:p>
    <w:p w14:paraId="153A9821"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lastRenderedPageBreak/>
        <w:t>51. Arenas-Pinto A, Grund B, Sharma S, et al. Risk of Suicidal Behavior With Use of Efavirenz: Results from the Strategic Timing of Antiretroviral Treatment Trial. Clin Infect Dis. 2018;67:420-429.</w:t>
      </w:r>
    </w:p>
    <w:p w14:paraId="03EAD946"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52. Smith C, Ryom L, Monforte A, et al. Lack of association between use of efavirenz and death from suicide: evidence from the D:A:D study. J Int AIDS Soc 2014;17:19512.</w:t>
      </w:r>
    </w:p>
    <w:p w14:paraId="639DF725"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53. Napoli AA, Wood JJ, Coumbis JJ, Soitkar AM, Seekins DW, Tilson HH. No evident association between efavirenz use and suicidality was identified from a disproportionality analysis using the FAERS database. J Int AIDS Soc 2014;17:19214.</w:t>
      </w:r>
    </w:p>
    <w:p w14:paraId="3E1F206E"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highlight w:val="yellow"/>
          <w:lang w:val="en-US"/>
        </w:rPr>
        <w:t>54. ENCORE1 Study Group, Carey D, Puls R, Amin J, et al. Efficacy and safety of efavirenz 400 mg daily versus 600 mg daily: 96-week data from the randomised, double-blind, placebo-controlled, non-inferiority ENCORE1 study. Lancet Infect Dis. 2015;15:793-802</w:t>
      </w:r>
    </w:p>
    <w:p w14:paraId="4B2BFB92" w14:textId="77777777" w:rsidR="001B5265" w:rsidRPr="00000FF8" w:rsidRDefault="001B5265" w:rsidP="001B5265">
      <w:pPr>
        <w:pStyle w:val="EndNoteBibliography"/>
        <w:spacing w:before="120" w:after="120"/>
        <w:jc w:val="both"/>
        <w:rPr>
          <w:rFonts w:cs="Arial"/>
          <w:sz w:val="18"/>
        </w:rPr>
      </w:pPr>
      <w:r w:rsidRPr="00000FF8">
        <w:rPr>
          <w:rFonts w:cs="Arial"/>
          <w:sz w:val="18"/>
          <w:lang w:val="en-US"/>
        </w:rPr>
        <w:t xml:space="preserve">55. van Leth F, Phanuphak P, Stroes E, et al. Nevirapine and efavirenz elicit different changes in lipid profiles in antiretroviral-therapy-naive patients infected with HIV-1. </w:t>
      </w:r>
      <w:r w:rsidRPr="00000FF8">
        <w:rPr>
          <w:rFonts w:cs="Arial"/>
          <w:sz w:val="18"/>
        </w:rPr>
        <w:t>PLoS medicine 2004;1:e19.</w:t>
      </w:r>
    </w:p>
    <w:p w14:paraId="715EE12F"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rPr>
        <w:t xml:space="preserve">56. Riddler SA, Haubrich R, DiRienzo AG, et al. </w:t>
      </w:r>
      <w:r w:rsidRPr="00000FF8">
        <w:rPr>
          <w:rFonts w:cs="Arial"/>
          <w:sz w:val="18"/>
          <w:lang w:val="en-US"/>
        </w:rPr>
        <w:t>Class-sparing regimens for initial treatment of HIV-1 infection. N Engl J Med 2008;358:2095-106.</w:t>
      </w:r>
    </w:p>
    <w:p w14:paraId="5FF1BD69"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57. Montaner JS, Schutz M, Schwartz R, et al. Efficacy, safety and pharmacokinetics of once-daily saquinavir soft-gelatin capsule/ritonavir in antiretroviral-naive, HIV-infected patients. MedGenMed : Medscape general medicine 2006;8:36.</w:t>
      </w:r>
    </w:p>
    <w:p w14:paraId="57FC505E"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58. Bartlett JA, Johnson J, Herrera G, et al. Long-term results of initial therapy with abacavir and lamivudine combined with efavirenz, amprenavir/ritonavir, or stavudine. J Acquir Immune Defic Syndr 2006;43:284-92.</w:t>
      </w:r>
    </w:p>
    <w:p w14:paraId="05A3FD38"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59. Smith KY, Tierney C, Mollan K, et al. Outcomes by sex following treatment initiation with atazanavir plus ritonavir or efavirenz with abacavir/lamivudine or tenofovir/emtricitabine. Clin Infect Dis 2014;58:555-63.</w:t>
      </w:r>
    </w:p>
    <w:p w14:paraId="7F36035D"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60. Molina JM, Cahn P, Grinsztejn B, et al. </w:t>
      </w:r>
      <w:r w:rsidRPr="00000FF8">
        <w:rPr>
          <w:rFonts w:cs="Arial"/>
          <w:sz w:val="18"/>
          <w:lang w:val="en-US"/>
        </w:rPr>
        <w:t>Rilpivirine versus efavirenz with tenofovir and emtricitabine in treatment-naive adults infected with HIV-1 (ECHO): a phase 3 randomised double-blind active-controlled trial. Lancet 2011;378:238-46.</w:t>
      </w:r>
    </w:p>
    <w:p w14:paraId="562C0590"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61. Cohen CJ, Andrade-Villanueva J, Clotet B, et al. </w:t>
      </w:r>
      <w:r w:rsidRPr="00000FF8">
        <w:rPr>
          <w:rFonts w:cs="Arial"/>
          <w:sz w:val="18"/>
          <w:lang w:val="en-US"/>
        </w:rPr>
        <w:t>Rilpivirine versus efavirenz with two background nucleoside or nucleotide reverse transcriptase inhibitors in treatment-naive adults infected with HIV-1 (THRIVE): a phase 3, randomised, non-inferiority trial. Lancet 2011;378:229-37.</w:t>
      </w:r>
    </w:p>
    <w:p w14:paraId="71DE4C09"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 xml:space="preserve">62. Nelson MR, Elion RA, Cohen CJ, et al. Rilpivirine versus efavirenz in HIV-1-infected subjects receiving emtricitabine/tenofovir DF: </w:t>
      </w:r>
      <w:r w:rsidRPr="00000FF8">
        <w:rPr>
          <w:rFonts w:cs="Arial"/>
          <w:sz w:val="18"/>
          <w:lang w:val="en-US"/>
        </w:rPr>
        <w:t>pooled 96-week data from ECHO and THRIVE Studies. HIV Clin Trials 2013;14:81-91.</w:t>
      </w:r>
    </w:p>
    <w:p w14:paraId="7817F698"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63. Cohen C, Wohl D, Arribas JR, et al. </w:t>
      </w:r>
      <w:r w:rsidRPr="00000FF8">
        <w:rPr>
          <w:rFonts w:cs="Arial"/>
          <w:sz w:val="18"/>
          <w:lang w:val="en-US"/>
        </w:rPr>
        <w:t>Week 48 results from a randomized clinical trial of rilpivirine/emtricitabine/tenofovir disoproxil fumarate vs. efavirenz/emtricitabine/tenofovir disoproxil fumarate in treatment-naive HIV-1-infected adults. AIDS 2014;28:989-97.</w:t>
      </w:r>
    </w:p>
    <w:p w14:paraId="4A5C12D7"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highlight w:val="yellow"/>
          <w:lang w:val="en-US"/>
        </w:rPr>
        <w:t xml:space="preserve">64. Hagins D, Orkin C, Daar ES, et al. </w:t>
      </w:r>
      <w:r w:rsidRPr="00000FF8">
        <w:rPr>
          <w:rFonts w:cs="Arial"/>
          <w:sz w:val="18"/>
          <w:highlight w:val="yellow"/>
          <w:lang w:val="en-US"/>
        </w:rPr>
        <w:t>Switching to coformulated rilpivirine (RPV), emtricitabine (FTC) and tenofovir alafenamide from either RPV,FTC and tenofovir disoproxil fumarate (TDF) or efavirenz, FTC and TDF: 96-week results from two randomized clinical trials. HIV Med. 2018;19:724-733.</w:t>
      </w:r>
    </w:p>
    <w:p w14:paraId="494B920E"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65. Orkin C, Squires KE, Molina JM, et al. Doravirine/Lamivudine/Tenofovir Disoproxil Fuma-rate is Non-inferior to Efavirenz/Emtricitabine/ Tenofovir Disoproxil Fumarate in Treatment-naive Adults With Human Immunodeficiency Virus-1 Infection: Week 48 Results of the DRIVE-AHEAD Trial. Clin Infect Dis. 2019;68:535-544.</w:t>
      </w:r>
    </w:p>
    <w:p w14:paraId="732EF5A7"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66. Molina JM, Squires K, Sax PE, et al. </w:t>
      </w:r>
      <w:r w:rsidRPr="00000FF8">
        <w:rPr>
          <w:rFonts w:cs="Arial"/>
          <w:sz w:val="18"/>
          <w:lang w:val="en-US"/>
        </w:rPr>
        <w:t>Doravirine versus ritonavir-boosted darunavir in antiretroviral-naive adults with HIV-1 (DRIVE-FORWARD): 48-week results of a randomised, double-blind, phase 3, non-inferiority trial. The Lancet HIV. 2018;5:e211-e220</w:t>
      </w:r>
    </w:p>
    <w:p w14:paraId="6B930E50"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67. Molina JM, Squires K, Sax PE, et al. </w:t>
      </w:r>
      <w:r w:rsidRPr="00000FF8">
        <w:rPr>
          <w:rFonts w:cs="Arial"/>
          <w:sz w:val="18"/>
          <w:lang w:val="en-US"/>
        </w:rPr>
        <w:t xml:space="preserve">Doravirine versus ritonavir-boosted darunavir: 96-week results of the randomised, double-blind, phase 3 DRIVE-FORWARD, non-inferiority trial. In: International AIDS Conference (AIDS2018), Amsterdam, The Netherlands, 23-27 July 2018. </w:t>
      </w:r>
    </w:p>
    <w:p w14:paraId="0398FCA4"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68. Gallant JE, Koenig E, Andrade-Villanueva J, et al. </w:t>
      </w:r>
      <w:r w:rsidRPr="00000FF8">
        <w:rPr>
          <w:rFonts w:cs="Arial"/>
          <w:sz w:val="18"/>
          <w:lang w:val="en-US"/>
        </w:rPr>
        <w:t>Cobicistat versus ritonavir as a pharmacoenhancer of atazanavir plus emtricitabine/tenofovir disoproxil fumarate in treatment-naive HIV type 1-infected patients: week 48 results. J Infect Dis 2013;208:32-9.</w:t>
      </w:r>
    </w:p>
    <w:p w14:paraId="1F20D082"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69. Orkin C, DeJesus E, Khanlou H, et al. </w:t>
      </w:r>
      <w:r w:rsidRPr="00000FF8">
        <w:rPr>
          <w:rFonts w:cs="Arial"/>
          <w:sz w:val="18"/>
          <w:lang w:val="en-US"/>
        </w:rPr>
        <w:t>Final 192-week efficacy and safety of once-daily darunavir/ritonavir compared with lopinavir/ritonavir in HIV-1-infected treatment-naive patients in the ARTEMIS trial. HIV Med 2013;14:49-59.</w:t>
      </w:r>
    </w:p>
    <w:p w14:paraId="48EBD628" w14:textId="77777777" w:rsidR="001B5265" w:rsidRPr="00000FF8" w:rsidRDefault="001B5265" w:rsidP="001B5265">
      <w:pPr>
        <w:pStyle w:val="EndNoteBibliography"/>
        <w:spacing w:before="120" w:after="120"/>
        <w:jc w:val="both"/>
        <w:rPr>
          <w:rFonts w:cs="Arial"/>
          <w:sz w:val="18"/>
          <w:lang w:val="en-US"/>
        </w:rPr>
      </w:pPr>
      <w:r w:rsidRPr="00000FF8">
        <w:rPr>
          <w:rFonts w:cs="Arial"/>
          <w:sz w:val="18"/>
          <w:lang w:val="en-US"/>
        </w:rPr>
        <w:t>70. Raffi F, Babiker AG, Richert L, et al. Ritonavir-boosted darunavir combined with raltegravir or tenofovir-emtricitabine in antiretroviral-naive adults infected with HIV-1: 96 week results from the NEAT001/ANRS143 randomised non-inferiority trial. Lancet 2014;384:1942-51.</w:t>
      </w:r>
    </w:p>
    <w:p w14:paraId="1A838896" w14:textId="77777777" w:rsidR="001B5265" w:rsidRPr="00000FF8" w:rsidRDefault="001B5265" w:rsidP="001B5265">
      <w:pPr>
        <w:pStyle w:val="EndNoteBibliography"/>
        <w:spacing w:before="120" w:after="120"/>
        <w:jc w:val="both"/>
        <w:rPr>
          <w:rFonts w:cs="Arial"/>
          <w:sz w:val="18"/>
          <w:lang w:val="en-US"/>
        </w:rPr>
      </w:pPr>
      <w:r w:rsidRPr="00095ECF">
        <w:rPr>
          <w:rFonts w:cs="Arial"/>
          <w:sz w:val="18"/>
          <w:lang w:val="en-US"/>
        </w:rPr>
        <w:t xml:space="preserve">71. Cahn P, Andrade-Villanueva J, Arribas JR, Gatell JM, Lama JR, Norton M, et al. </w:t>
      </w:r>
      <w:r w:rsidRPr="00000FF8">
        <w:rPr>
          <w:rFonts w:cs="Arial"/>
          <w:sz w:val="18"/>
          <w:lang w:val="en-US"/>
        </w:rPr>
        <w:t xml:space="preserve">Dual therapy with lopinavir and ritonavir plus lamivudine versus triple therapy with lopinavir and ritonavir plus two nucleoside reverse transcriptase inhibitors in antiretroviral-therapy-naive adults with HIV-1 infection: 48 week results of the randomised, open label, non-inferiority GARDEL trial. Lancet Infectious Diseases 2014;14:572-80 </w:t>
      </w:r>
    </w:p>
    <w:p w14:paraId="431BA3FB" w14:textId="77777777" w:rsidR="001B5265" w:rsidRPr="003D6321" w:rsidRDefault="001B5265" w:rsidP="001B5265">
      <w:pPr>
        <w:pStyle w:val="EndNoteBibliography"/>
        <w:spacing w:before="120" w:after="120"/>
        <w:jc w:val="both"/>
        <w:rPr>
          <w:rFonts w:cs="Arial"/>
        </w:rPr>
        <w:sectPr w:rsidR="001B5265" w:rsidRPr="003D6321" w:rsidSect="002C1648">
          <w:headerReference w:type="default" r:id="rId24"/>
          <w:footerReference w:type="default" r:id="rId25"/>
          <w:type w:val="continuous"/>
          <w:pgSz w:w="11906" w:h="16838"/>
          <w:pgMar w:top="1417" w:right="1701" w:bottom="1417" w:left="1701" w:header="708" w:footer="708" w:gutter="0"/>
          <w:cols w:num="2" w:sep="1" w:space="709"/>
          <w:docGrid w:linePitch="360"/>
        </w:sectPr>
      </w:pPr>
      <w:r w:rsidRPr="00000FF8">
        <w:rPr>
          <w:rFonts w:cs="Arial"/>
          <w:sz w:val="18"/>
          <w:lang w:val="en-US"/>
        </w:rPr>
        <w:lastRenderedPageBreak/>
        <w:t xml:space="preserve">72. Figueroa MI, Sued OG, Gun AM, Belloso W, Cecchini DM, Lopardo G, et al. DRV/R/3TC FDC for HIV-1 treatment naïve patients: week 48 results of the ANDES study. </w:t>
      </w:r>
      <w:r w:rsidRPr="003D6321">
        <w:rPr>
          <w:rFonts w:cs="Arial"/>
          <w:sz w:val="18"/>
          <w:szCs w:val="18"/>
        </w:rPr>
        <w:t>25th CROI, March 4-7, 2018, Boston. Abstract #489.</w:t>
      </w:r>
    </w:p>
    <w:p w14:paraId="11B18C4E" w14:textId="77777777" w:rsidR="00D61AB2" w:rsidRPr="00287DD7" w:rsidRDefault="00D61AB2" w:rsidP="00D61AB2">
      <w:pPr>
        <w:widowControl w:val="0"/>
        <w:autoSpaceDE w:val="0"/>
        <w:autoSpaceDN w:val="0"/>
        <w:adjustRightInd w:val="0"/>
        <w:spacing w:before="120" w:after="120" w:line="276" w:lineRule="auto"/>
        <w:jc w:val="both"/>
        <w:rPr>
          <w:rFonts w:ascii="Arial" w:hAnsi="Arial" w:cs="Arial"/>
          <w:color w:val="C00000"/>
          <w:lang w:val="es-ES_tradnl" w:eastAsia="en-US"/>
        </w:rPr>
      </w:pPr>
      <w:r w:rsidRPr="00287DD7">
        <w:rPr>
          <w:rFonts w:ascii="Arial" w:eastAsia="Yu Mincho" w:hAnsi="Arial" w:cs="Arial"/>
          <w:b/>
          <w:bCs/>
          <w:color w:val="C00000"/>
        </w:rPr>
        <w:lastRenderedPageBreak/>
        <w:t>4. CAMBIO DEL TAR EN PACIENTES CON REPLICACIÓN VIRAL SUPRIMIDA</w:t>
      </w:r>
      <w:r w:rsidRPr="00287DD7">
        <w:rPr>
          <w:rFonts w:ascii="Arial" w:hAnsi="Arial" w:cs="Arial"/>
          <w:color w:val="C00000"/>
          <w:lang w:val="es-ES_tradnl" w:eastAsia="en-US"/>
        </w:rPr>
        <w:br/>
      </w:r>
    </w:p>
    <w:p w14:paraId="636053F7"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En este capítulo se revisan las opciones de cambio del TAR en pacientes que tienen la CVP indetectable.</w:t>
      </w:r>
    </w:p>
    <w:p w14:paraId="01821D73" w14:textId="77777777" w:rsidR="00D61AB2" w:rsidRPr="003F3B0A" w:rsidRDefault="00D61AB2" w:rsidP="00D61AB2">
      <w:pPr>
        <w:spacing w:before="120" w:after="120" w:line="276" w:lineRule="auto"/>
        <w:rPr>
          <w:rFonts w:ascii="Arial" w:hAnsi="Arial" w:cs="Arial"/>
          <w:b/>
          <w:color w:val="006600"/>
          <w:lang w:val="es-ES_tradnl" w:eastAsia="en-US"/>
        </w:rPr>
      </w:pPr>
    </w:p>
    <w:p w14:paraId="77B07BC6" w14:textId="77777777" w:rsidR="00D61AB2" w:rsidRPr="003F3B0A" w:rsidRDefault="00D61AB2" w:rsidP="00D61AB2">
      <w:pPr>
        <w:spacing w:before="120" w:after="120" w:line="276" w:lineRule="auto"/>
        <w:rPr>
          <w:rFonts w:ascii="Arial" w:hAnsi="Arial" w:cs="Arial"/>
          <w:b/>
          <w:color w:val="AE1C1F"/>
          <w:lang w:val="es-ES_tradnl" w:eastAsia="en-US"/>
        </w:rPr>
      </w:pPr>
      <w:r w:rsidRPr="003F3B0A">
        <w:rPr>
          <w:rFonts w:ascii="Arial" w:hAnsi="Arial" w:cs="Arial"/>
          <w:b/>
          <w:color w:val="AE1C1F"/>
          <w:lang w:val="es-ES_tradnl" w:eastAsia="en-US"/>
        </w:rPr>
        <w:t>Motivos para cambiar un TAR eficaz</w:t>
      </w:r>
    </w:p>
    <w:p w14:paraId="48894135"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Existen muchos motivos para cambiar un TAR eficaz: intolerabilidad, toxicidad, nuevas comorbilidades, interacciones farmacológicas, disminución del número de comprimidos</w:t>
      </w:r>
      <w:r>
        <w:rPr>
          <w:rFonts w:ascii="Arial" w:hAnsi="Arial" w:cs="Arial"/>
          <w:shd w:val="clear" w:color="auto" w:fill="FFFF00"/>
          <w:lang w:val="es-ES_tradnl" w:eastAsia="en-US"/>
        </w:rPr>
        <w:t>,</w:t>
      </w:r>
      <w:r w:rsidRPr="003F3B0A">
        <w:rPr>
          <w:rFonts w:ascii="Arial" w:hAnsi="Arial" w:cs="Arial"/>
          <w:lang w:val="es-ES_tradnl" w:eastAsia="en-US"/>
        </w:rPr>
        <w:t xml:space="preserve"> de dosis diarias</w:t>
      </w:r>
      <w:r>
        <w:rPr>
          <w:rFonts w:ascii="Arial" w:hAnsi="Arial" w:cs="Arial"/>
          <w:lang w:val="es-ES_tradnl" w:eastAsia="en-US"/>
        </w:rPr>
        <w:t xml:space="preserve"> </w:t>
      </w:r>
      <w:r w:rsidRPr="00F668D0">
        <w:rPr>
          <w:rFonts w:ascii="Arial" w:hAnsi="Arial" w:cs="Arial"/>
          <w:shd w:val="clear" w:color="auto" w:fill="FFFF00"/>
          <w:lang w:val="es-ES_tradnl" w:eastAsia="en-US"/>
        </w:rPr>
        <w:t xml:space="preserve">o del número de </w:t>
      </w:r>
      <w:r>
        <w:rPr>
          <w:rFonts w:ascii="Arial" w:hAnsi="Arial" w:cs="Arial"/>
          <w:shd w:val="clear" w:color="auto" w:fill="FFFF00"/>
          <w:lang w:val="es-ES_tradnl" w:eastAsia="en-US"/>
        </w:rPr>
        <w:t>medicamentos</w:t>
      </w:r>
      <w:r w:rsidRPr="003F3B0A">
        <w:rPr>
          <w:rFonts w:ascii="Arial" w:hAnsi="Arial" w:cs="Arial"/>
          <w:lang w:val="es-ES_tradnl" w:eastAsia="en-US"/>
        </w:rPr>
        <w:t xml:space="preserve">, requerimientos dietéticos, embarazo y coste del propio TAR. El cambio puede ser </w:t>
      </w:r>
      <w:r w:rsidRPr="003F3B0A">
        <w:rPr>
          <w:rFonts w:ascii="Arial" w:hAnsi="Arial" w:cs="Arial"/>
          <w:i/>
          <w:lang w:val="es-ES_tradnl" w:eastAsia="en-US"/>
        </w:rPr>
        <w:t xml:space="preserve">proactivo </w:t>
      </w:r>
      <w:r w:rsidRPr="003F3B0A">
        <w:rPr>
          <w:rFonts w:ascii="Arial" w:hAnsi="Arial" w:cs="Arial"/>
          <w:lang w:val="es-ES_tradnl" w:eastAsia="en-US"/>
        </w:rPr>
        <w:t xml:space="preserve">cuando se realiza preventivamente o </w:t>
      </w:r>
      <w:r w:rsidRPr="003F3B0A">
        <w:rPr>
          <w:rFonts w:ascii="Arial" w:hAnsi="Arial" w:cs="Arial"/>
          <w:i/>
          <w:lang w:val="es-ES_tradnl" w:eastAsia="en-US"/>
        </w:rPr>
        <w:t>reactivo</w:t>
      </w:r>
      <w:r w:rsidRPr="003F3B0A">
        <w:rPr>
          <w:rFonts w:ascii="Arial" w:hAnsi="Arial" w:cs="Arial"/>
          <w:lang w:val="es-ES_tradnl" w:eastAsia="en-US"/>
        </w:rPr>
        <w:t xml:space="preserve"> cuando el régimen actual ha dejado de ser el ideal para el paciente debido a alguno de los motivos reseñados.</w:t>
      </w:r>
    </w:p>
    <w:p w14:paraId="54977162" w14:textId="77777777" w:rsidR="00D61AB2" w:rsidRPr="003F3B0A" w:rsidRDefault="00D61AB2" w:rsidP="00D61AB2">
      <w:pPr>
        <w:spacing w:before="120" w:after="120" w:line="276" w:lineRule="auto"/>
        <w:jc w:val="both"/>
        <w:rPr>
          <w:rFonts w:ascii="Arial" w:hAnsi="Arial" w:cs="Arial"/>
          <w:b/>
          <w:color w:val="AE1C1F"/>
          <w:lang w:val="es-ES_tradnl" w:eastAsia="en-US"/>
        </w:rPr>
      </w:pPr>
    </w:p>
    <w:p w14:paraId="50E5A25A"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Definición de carga viral suprimida</w:t>
      </w:r>
    </w:p>
    <w:p w14:paraId="14924A2A"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Consideramos que la CVP está suprimida cuando es menor de 50 copias/mL y está confirmada. La mayoría de los ensayos clínicos de cambio de TAR han incluido pacientes que habían mantenido este nivel de supresión virológica durante al menos 6 meses, por lo que sus resultados son aplicables preferiblemente a pacientes con un tiempo de supresión similar. Como norma general, cuanto más prolongado sea el período de supresión virológica, es menos probable que el cambio de TAR se asocie a FV. </w:t>
      </w:r>
    </w:p>
    <w:p w14:paraId="4B33DD36" w14:textId="77777777" w:rsidR="00D61AB2" w:rsidRPr="003F3B0A" w:rsidRDefault="00D61AB2" w:rsidP="00D61AB2">
      <w:pPr>
        <w:spacing w:before="120" w:after="120" w:line="276" w:lineRule="auto"/>
        <w:jc w:val="both"/>
        <w:rPr>
          <w:rFonts w:ascii="Arial" w:hAnsi="Arial" w:cs="Arial"/>
          <w:b/>
          <w:color w:val="006600"/>
          <w:lang w:val="es-ES_tradnl" w:eastAsia="en-US"/>
        </w:rPr>
      </w:pPr>
    </w:p>
    <w:p w14:paraId="1FBA440D"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Objetivo del cambio del TAR eficaz</w:t>
      </w:r>
    </w:p>
    <w:p w14:paraId="47D15B9F" w14:textId="7FAF147B"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El objetivo es mantener la supresión virológica </w:t>
      </w:r>
      <w:r w:rsidRPr="003F3B0A">
        <w:rPr>
          <w:rFonts w:ascii="Arial" w:hAnsi="Arial" w:cs="Arial"/>
          <w:i/>
          <w:lang w:val="es-ES_tradnl" w:eastAsia="en-US"/>
        </w:rPr>
        <w:t>y</w:t>
      </w:r>
      <w:r w:rsidRPr="003F3B0A">
        <w:rPr>
          <w:rFonts w:ascii="Arial" w:hAnsi="Arial" w:cs="Arial"/>
          <w:lang w:val="es-ES_tradnl" w:eastAsia="en-US"/>
        </w:rPr>
        <w:t xml:space="preserve"> optimizar el TAR de acuerdo a las característica</w:t>
      </w:r>
      <w:r w:rsidR="005748F0">
        <w:rPr>
          <w:rFonts w:ascii="Arial" w:hAnsi="Arial" w:cs="Arial"/>
          <w:lang w:val="es-ES_tradnl" w:eastAsia="en-US"/>
        </w:rPr>
        <w:t>s y la preferencia del paciente.</w:t>
      </w:r>
    </w:p>
    <w:p w14:paraId="45B4C5BE" w14:textId="77777777" w:rsidR="00D61AB2" w:rsidRPr="003F3B0A" w:rsidRDefault="00D61AB2" w:rsidP="00D61AB2">
      <w:pPr>
        <w:spacing w:before="120" w:after="120" w:line="276" w:lineRule="auto"/>
        <w:jc w:val="both"/>
        <w:rPr>
          <w:rFonts w:ascii="Arial" w:hAnsi="Arial" w:cs="Arial"/>
          <w:b/>
          <w:color w:val="AE1C1F"/>
          <w:lang w:val="es-ES_tradnl" w:eastAsia="en-US"/>
        </w:rPr>
      </w:pPr>
    </w:p>
    <w:p w14:paraId="4312E1D7"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Circunstancias que obligan a cambiar el TAR eficaz</w:t>
      </w:r>
    </w:p>
    <w:p w14:paraId="466ECA73"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El cambio proactivo es obligado cuando evidencias sólidas avalan que el paciente tiene más riesgo de presentar un efecto adverso grave o irrecuperable si se mantiene el TAR actual que si se cambia. Un ejemplo paradigmático es la lipoatrofia causada por los análogos de nucleósidos timidínicos. </w:t>
      </w:r>
    </w:p>
    <w:p w14:paraId="23597359"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El cambio reactivo es obligado si el efecto adverso va a desaparecer tras el cambio de TAR, como por ejemplo los efectos adversos del SNC causados por EFV.</w:t>
      </w:r>
    </w:p>
    <w:p w14:paraId="39AAE171" w14:textId="77777777" w:rsidR="00D61AB2" w:rsidRPr="00243949" w:rsidRDefault="00D61AB2" w:rsidP="00D61AB2">
      <w:pPr>
        <w:spacing w:before="120" w:after="120" w:line="276" w:lineRule="auto"/>
        <w:jc w:val="both"/>
        <w:rPr>
          <w:rFonts w:ascii="Arial" w:hAnsi="Arial" w:cs="Arial"/>
        </w:rPr>
      </w:pPr>
      <w:r w:rsidRPr="003F3B0A">
        <w:rPr>
          <w:rFonts w:ascii="Arial" w:hAnsi="Arial" w:cs="Arial"/>
          <w:lang w:val="es-ES_tradnl" w:eastAsia="en-US"/>
        </w:rPr>
        <w:t xml:space="preserve">Los efectos adversos que ocasionan el cambio precoz del TAR inicial en un paciente </w:t>
      </w:r>
      <w:r w:rsidRPr="003F3B0A">
        <w:rPr>
          <w:rFonts w:ascii="Arial" w:hAnsi="Arial" w:cs="Arial"/>
          <w:i/>
          <w:lang w:val="es-ES_tradnl" w:eastAsia="en-US"/>
        </w:rPr>
        <w:t>naive</w:t>
      </w:r>
      <w:r w:rsidRPr="003F3B0A">
        <w:rPr>
          <w:rFonts w:ascii="Arial" w:hAnsi="Arial" w:cs="Arial"/>
          <w:lang w:val="es-ES_tradnl" w:eastAsia="en-US"/>
        </w:rPr>
        <w:t xml:space="preserve"> son de tal intensidad que el cambio se realiza frecuentemente antes de haberse alcanzado la supresión de la replicación viral. Es obvio que si </w:t>
      </w:r>
      <w:r w:rsidRPr="003F3B0A">
        <w:rPr>
          <w:rFonts w:ascii="Arial" w:hAnsi="Arial" w:cs="Arial"/>
          <w:lang w:val="es-ES_tradnl" w:eastAsia="en-US"/>
        </w:rPr>
        <w:lastRenderedPageBreak/>
        <w:t xml:space="preserve">un paciente tiene la carga viral suprimida es porque es capaz de continuar tomando la pauta prescrita. El clínico no debe olvidar que en ocasiones ese nivel de adherencia se consigue gracias a un sobresfuerzo del paciente, que es capaz de sobrellevar efectos adversos que pueden ser erróneamente entendidos como inevitables. El médico no debe asumir que un TAR es óptimo para su paciente sólo porque la carga viral está suprimida. </w:t>
      </w:r>
    </w:p>
    <w:p w14:paraId="6B978A29" w14:textId="77777777" w:rsidR="00D61AB2" w:rsidRPr="007269E3" w:rsidRDefault="00D61AB2" w:rsidP="00D61AB2">
      <w:pPr>
        <w:spacing w:before="120" w:after="120" w:line="276" w:lineRule="auto"/>
        <w:jc w:val="both"/>
        <w:rPr>
          <w:rFonts w:ascii="Arial" w:hAnsi="Arial" w:cs="Arial"/>
          <w:b/>
          <w:color w:val="C00000"/>
          <w:highlight w:val="yellow"/>
        </w:rPr>
      </w:pPr>
      <w:r w:rsidRPr="007269E3">
        <w:rPr>
          <w:rFonts w:ascii="Arial" w:hAnsi="Arial" w:cs="Arial"/>
          <w:b/>
          <w:color w:val="C00000"/>
          <w:highlight w:val="yellow"/>
        </w:rPr>
        <w:t>Recomendación:</w:t>
      </w:r>
    </w:p>
    <w:p w14:paraId="2F9C2621" w14:textId="77777777" w:rsidR="00D61AB2" w:rsidRPr="007269E3" w:rsidRDefault="00D61AB2" w:rsidP="00676FD1">
      <w:pPr>
        <w:pStyle w:val="Prrafodelista"/>
        <w:numPr>
          <w:ilvl w:val="0"/>
          <w:numId w:val="45"/>
        </w:numPr>
        <w:spacing w:before="120" w:after="120" w:line="276" w:lineRule="auto"/>
        <w:contextualSpacing w:val="0"/>
        <w:jc w:val="both"/>
        <w:rPr>
          <w:rFonts w:ascii="Arial" w:hAnsi="Arial" w:cs="Arial"/>
          <w:highlight w:val="yellow"/>
        </w:rPr>
      </w:pPr>
      <w:r w:rsidRPr="007269E3">
        <w:rPr>
          <w:rFonts w:ascii="Arial" w:hAnsi="Arial" w:cs="Arial"/>
          <w:highlight w:val="yellow"/>
        </w:rPr>
        <w:t>En todas las revisiones se debe preguntar con detalle sobre el esfuerzo que necesita hacer el paciente para adherirse al TAR pautado (</w:t>
      </w:r>
      <w:r w:rsidRPr="007269E3">
        <w:rPr>
          <w:rFonts w:ascii="Arial" w:hAnsi="Arial" w:cs="Arial"/>
          <w:b/>
          <w:i/>
          <w:highlight w:val="yellow"/>
        </w:rPr>
        <w:t>A-III</w:t>
      </w:r>
      <w:r w:rsidRPr="007269E3">
        <w:rPr>
          <w:rFonts w:ascii="Arial" w:hAnsi="Arial" w:cs="Arial"/>
          <w:highlight w:val="yellow"/>
        </w:rPr>
        <w:t>)</w:t>
      </w:r>
      <w:r>
        <w:rPr>
          <w:rFonts w:ascii="Arial" w:hAnsi="Arial" w:cs="Arial"/>
          <w:highlight w:val="yellow"/>
        </w:rPr>
        <w:t>.</w:t>
      </w:r>
    </w:p>
    <w:p w14:paraId="146F94BC" w14:textId="77777777" w:rsidR="00D61AB2" w:rsidRPr="003F3B0A" w:rsidRDefault="00D61AB2" w:rsidP="00D61AB2">
      <w:pPr>
        <w:spacing w:before="120" w:after="120" w:line="276" w:lineRule="auto"/>
        <w:jc w:val="both"/>
        <w:rPr>
          <w:rFonts w:ascii="Arial" w:hAnsi="Arial" w:cs="Arial"/>
          <w:lang w:val="es-ES_tradnl" w:eastAsia="en-US"/>
        </w:rPr>
      </w:pPr>
    </w:p>
    <w:p w14:paraId="17A9B47C" w14:textId="77777777" w:rsidR="00D61AB2" w:rsidRPr="00287DD7" w:rsidRDefault="00D61AB2" w:rsidP="00D61AB2">
      <w:pPr>
        <w:spacing w:before="120" w:after="120" w:line="276" w:lineRule="auto"/>
        <w:jc w:val="both"/>
        <w:rPr>
          <w:rFonts w:ascii="Arial" w:hAnsi="Arial" w:cs="Arial"/>
          <w:b/>
          <w:color w:val="AE1C1F"/>
          <w:sz w:val="28"/>
          <w:szCs w:val="28"/>
          <w:lang w:val="es-ES_tradnl" w:eastAsia="en-US"/>
        </w:rPr>
      </w:pPr>
      <w:r w:rsidRPr="00287DD7">
        <w:rPr>
          <w:rFonts w:ascii="Arial" w:hAnsi="Arial" w:cs="Arial"/>
          <w:b/>
          <w:color w:val="AE1C1F"/>
          <w:sz w:val="28"/>
          <w:szCs w:val="28"/>
          <w:lang w:val="es-ES_tradnl" w:eastAsia="en-US"/>
        </w:rPr>
        <w:t>4.1. Cambio de fármacos antirretrovirales</w:t>
      </w:r>
    </w:p>
    <w:p w14:paraId="647DB7C3" w14:textId="77777777" w:rsidR="00D61AB2" w:rsidRDefault="00D61AB2" w:rsidP="00D61AB2">
      <w:pPr>
        <w:spacing w:before="120" w:after="120" w:line="276" w:lineRule="auto"/>
        <w:jc w:val="both"/>
        <w:outlineLvl w:val="0"/>
        <w:rPr>
          <w:rFonts w:ascii="Arial" w:hAnsi="Arial" w:cs="Arial"/>
          <w:i/>
          <w:color w:val="AE1C1F"/>
          <w:lang w:val="es-ES_tradnl" w:eastAsia="en-US"/>
        </w:rPr>
      </w:pPr>
    </w:p>
    <w:p w14:paraId="45FF8EF4" w14:textId="77777777" w:rsidR="00D61AB2" w:rsidRPr="005D0A0F" w:rsidRDefault="00D61AB2" w:rsidP="00D61AB2">
      <w:pPr>
        <w:spacing w:before="120" w:after="120" w:line="276" w:lineRule="auto"/>
        <w:jc w:val="both"/>
        <w:outlineLvl w:val="0"/>
        <w:rPr>
          <w:rFonts w:ascii="Arial" w:hAnsi="Arial" w:cs="Arial"/>
          <w:b/>
          <w:bCs/>
          <w:i/>
          <w:color w:val="AE1C1F"/>
          <w:lang w:val="es-ES_tradnl" w:eastAsia="en-US"/>
        </w:rPr>
      </w:pPr>
      <w:r w:rsidRPr="005D0A0F">
        <w:rPr>
          <w:rFonts w:ascii="Arial" w:hAnsi="Arial" w:cs="Arial"/>
          <w:b/>
          <w:bCs/>
          <w:i/>
          <w:color w:val="AE1C1F"/>
          <w:lang w:val="es-ES_tradnl" w:eastAsia="en-US"/>
        </w:rPr>
        <w:t>Consideraciones sobre el nuevo régimen</w:t>
      </w:r>
    </w:p>
    <w:p w14:paraId="781BFBAE"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Cuando se cambia un régimen antirretroviral en un paciente con viremia suprimida, el nuevo régimen debe incluir combinaciones que hayan demostrado su eficacia y seguridad en ensayos clínicos realizados en este escenario clínico. Deben incluirse pautas recomendadas en pacientes </w:t>
      </w:r>
      <w:r w:rsidRPr="003F3B0A">
        <w:rPr>
          <w:rFonts w:ascii="Arial" w:hAnsi="Arial" w:cs="Arial"/>
          <w:i/>
          <w:lang w:val="es-ES_tradnl" w:eastAsia="en-US"/>
        </w:rPr>
        <w:t>naive</w:t>
      </w:r>
      <w:r w:rsidRPr="003F3B0A">
        <w:rPr>
          <w:rFonts w:ascii="Arial" w:hAnsi="Arial" w:cs="Arial"/>
          <w:lang w:val="es-ES_tradnl" w:eastAsia="en-US"/>
        </w:rPr>
        <w:t xml:space="preserve"> (véase capítulo 3) o pautas específicamente diseñadas para cambio de TAR en pacientes con supresión virológica.</w:t>
      </w:r>
    </w:p>
    <w:p w14:paraId="649348A1" w14:textId="77777777" w:rsidR="00D61AB2" w:rsidRPr="003F3B0A" w:rsidRDefault="00D61AB2" w:rsidP="00D61AB2">
      <w:pPr>
        <w:spacing w:before="120" w:after="120" w:line="276" w:lineRule="auto"/>
        <w:jc w:val="both"/>
        <w:outlineLvl w:val="0"/>
        <w:rPr>
          <w:rFonts w:ascii="Arial" w:hAnsi="Arial" w:cs="Arial"/>
          <w:b/>
          <w:color w:val="AE1C1F"/>
          <w:lang w:val="es-ES_tradnl" w:eastAsia="en-US"/>
        </w:rPr>
      </w:pPr>
      <w:r w:rsidRPr="003F3B0A">
        <w:rPr>
          <w:rFonts w:ascii="Arial" w:hAnsi="Arial" w:cs="Arial"/>
          <w:b/>
          <w:color w:val="AE1C1F"/>
          <w:lang w:val="es-ES_tradnl" w:eastAsia="en-US"/>
        </w:rPr>
        <w:t>Recomendaciones</w:t>
      </w:r>
    </w:p>
    <w:p w14:paraId="0156439A" w14:textId="0C2E96FA" w:rsidR="00D61AB2" w:rsidRPr="003F3B0A" w:rsidRDefault="00D61AB2" w:rsidP="00D61AB2">
      <w:pPr>
        <w:pStyle w:val="Prrafodelista"/>
        <w:numPr>
          <w:ilvl w:val="0"/>
          <w:numId w:val="33"/>
        </w:numPr>
        <w:spacing w:before="120" w:after="120" w:line="276" w:lineRule="auto"/>
        <w:contextualSpacing w:val="0"/>
        <w:jc w:val="both"/>
        <w:rPr>
          <w:rFonts w:ascii="Arial" w:hAnsi="Arial" w:cs="Arial"/>
          <w:i/>
        </w:rPr>
      </w:pPr>
      <w:r w:rsidRPr="003F3B0A">
        <w:rPr>
          <w:rFonts w:ascii="Arial" w:hAnsi="Arial" w:cs="Arial"/>
        </w:rPr>
        <w:t xml:space="preserve">En pacientes con </w:t>
      </w:r>
      <w:r w:rsidR="005748F0">
        <w:rPr>
          <w:rFonts w:ascii="Arial" w:hAnsi="Arial" w:cs="Arial"/>
        </w:rPr>
        <w:t>CVP</w:t>
      </w:r>
      <w:r w:rsidRPr="003F3B0A">
        <w:rPr>
          <w:rFonts w:ascii="Arial" w:hAnsi="Arial" w:cs="Arial"/>
        </w:rPr>
        <w:t xml:space="preserve"> suprimida el nuevo régimen debe priorizar combinaciones recomendadas como preferentes en pacientes </w:t>
      </w:r>
      <w:r w:rsidRPr="003F3B0A">
        <w:rPr>
          <w:rFonts w:ascii="Arial" w:hAnsi="Arial" w:cs="Arial"/>
          <w:i/>
        </w:rPr>
        <w:t xml:space="preserve">naive. </w:t>
      </w:r>
      <w:r w:rsidRPr="003F3B0A">
        <w:rPr>
          <w:rFonts w:ascii="Arial" w:hAnsi="Arial" w:cs="Arial"/>
        </w:rPr>
        <w:t xml:space="preserve">En casos seleccionados los regímenes </w:t>
      </w:r>
      <w:r w:rsidRPr="004718C1">
        <w:rPr>
          <w:rFonts w:ascii="Arial" w:hAnsi="Arial" w:cs="Arial"/>
          <w:color w:val="000000" w:themeColor="text1"/>
        </w:rPr>
        <w:t>alternativos (Tabla 3) pueden</w:t>
      </w:r>
      <w:r w:rsidRPr="003F3B0A">
        <w:rPr>
          <w:rFonts w:ascii="Arial" w:hAnsi="Arial" w:cs="Arial"/>
        </w:rPr>
        <w:t xml:space="preserve"> ser apropiados </w:t>
      </w:r>
      <w:r w:rsidRPr="003F3B0A">
        <w:rPr>
          <w:rFonts w:ascii="Arial" w:hAnsi="Arial" w:cs="Arial"/>
          <w:b/>
          <w:i/>
        </w:rPr>
        <w:t>(A-III)</w:t>
      </w:r>
      <w:r>
        <w:rPr>
          <w:rFonts w:ascii="Arial" w:hAnsi="Arial" w:cs="Arial"/>
          <w:b/>
          <w:i/>
        </w:rPr>
        <w:t>.</w:t>
      </w:r>
      <w:r w:rsidRPr="003F3B0A">
        <w:rPr>
          <w:rFonts w:ascii="Arial" w:hAnsi="Arial" w:cs="Arial"/>
        </w:rPr>
        <w:t xml:space="preserve"> </w:t>
      </w:r>
    </w:p>
    <w:p w14:paraId="656C08C4" w14:textId="77777777" w:rsidR="00D61AB2" w:rsidRPr="003F3B0A" w:rsidRDefault="00D61AB2" w:rsidP="00D61AB2">
      <w:pPr>
        <w:pStyle w:val="Prrafodelista"/>
        <w:numPr>
          <w:ilvl w:val="0"/>
          <w:numId w:val="33"/>
        </w:numPr>
        <w:spacing w:before="120" w:after="120" w:line="276" w:lineRule="auto"/>
        <w:contextualSpacing w:val="0"/>
        <w:jc w:val="both"/>
        <w:rPr>
          <w:rFonts w:ascii="Arial" w:hAnsi="Arial" w:cs="Arial"/>
          <w:i/>
        </w:rPr>
      </w:pPr>
      <w:r w:rsidRPr="003F3B0A">
        <w:rPr>
          <w:rFonts w:ascii="Arial" w:hAnsi="Arial" w:cs="Arial"/>
        </w:rPr>
        <w:t xml:space="preserve">Otras pautas evaluadas en ensayos clínicos diseñados para pacientes con supresión virológica (ej. IP/p más 3TC o DTG más RPV) también pueden ser adecuadas </w:t>
      </w:r>
      <w:r w:rsidRPr="003F3B0A">
        <w:rPr>
          <w:rFonts w:ascii="Arial" w:hAnsi="Arial" w:cs="Arial"/>
          <w:b/>
          <w:i/>
        </w:rPr>
        <w:t>(A-I)</w:t>
      </w:r>
      <w:r w:rsidRPr="003F3B0A">
        <w:rPr>
          <w:rFonts w:ascii="Arial" w:hAnsi="Arial" w:cs="Arial"/>
        </w:rPr>
        <w:t>.</w:t>
      </w:r>
    </w:p>
    <w:p w14:paraId="7C992C47" w14:textId="77777777" w:rsidR="00D61AB2" w:rsidRPr="003F3B0A" w:rsidRDefault="00D61AB2" w:rsidP="00D61AB2">
      <w:pPr>
        <w:spacing w:before="120" w:after="120" w:line="276" w:lineRule="auto"/>
        <w:jc w:val="both"/>
        <w:rPr>
          <w:rFonts w:ascii="Arial" w:hAnsi="Arial" w:cs="Arial"/>
          <w:b/>
          <w:color w:val="006600"/>
          <w:lang w:val="es-ES_tradnl" w:eastAsia="en-US"/>
        </w:rPr>
      </w:pPr>
    </w:p>
    <w:p w14:paraId="1B44ACBC" w14:textId="77777777" w:rsidR="00D61AB2" w:rsidRPr="005D0A0F" w:rsidRDefault="00D61AB2" w:rsidP="00D61AB2">
      <w:pPr>
        <w:spacing w:before="120" w:after="120" w:line="276" w:lineRule="auto"/>
        <w:jc w:val="both"/>
        <w:rPr>
          <w:rFonts w:ascii="Arial" w:hAnsi="Arial" w:cs="Arial"/>
          <w:b/>
          <w:bCs/>
          <w:i/>
          <w:color w:val="AE1C1F"/>
          <w:lang w:val="es-ES_tradnl" w:eastAsia="en-US"/>
        </w:rPr>
      </w:pPr>
      <w:r w:rsidRPr="005D0A0F">
        <w:rPr>
          <w:rFonts w:ascii="Arial" w:hAnsi="Arial" w:cs="Arial"/>
          <w:b/>
          <w:bCs/>
          <w:i/>
          <w:color w:val="AE1C1F"/>
          <w:lang w:val="es-ES_tradnl" w:eastAsia="en-US"/>
        </w:rPr>
        <w:t>Consideraciones virológicas</w:t>
      </w:r>
    </w:p>
    <w:p w14:paraId="34A37566"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Tras el cambio del TAR (independientemente de las clases de antirretrovirales implicadas) el mantenimiento de la supresión virológica es la norma en los pacientes sin historia de FV. Cambiar el TAR es más complicado en pacientes con FV previos que pueden haber causado MR ya archivadas. En esta situación el clínico debe diseñar una nueva pauta cuya barrera genética no sea inferior a la de la previa. Esta precaución es crítica cuando se cambia un TAR que incluye IP/p</w:t>
      </w:r>
      <w:r>
        <w:rPr>
          <w:rFonts w:ascii="Arial" w:hAnsi="Arial" w:cs="Arial"/>
          <w:lang w:val="es-ES_tradnl" w:eastAsia="en-US"/>
        </w:rPr>
        <w:t xml:space="preserve"> </w:t>
      </w:r>
      <w:r w:rsidRPr="00AD12F8">
        <w:rPr>
          <w:rFonts w:ascii="Arial" w:hAnsi="Arial" w:cs="Arial"/>
          <w:highlight w:val="yellow"/>
          <w:lang w:val="es-ES_tradnl" w:eastAsia="en-US"/>
        </w:rPr>
        <w:t>o un</w:t>
      </w:r>
      <w:r w:rsidRPr="00AD12F8">
        <w:rPr>
          <w:rFonts w:ascii="Arial" w:hAnsi="Arial" w:cs="Arial"/>
          <w:highlight w:val="yellow"/>
          <w:shd w:val="clear" w:color="auto" w:fill="FFFF00"/>
          <w:lang w:val="es-ES_tradnl" w:eastAsia="en-US"/>
        </w:rPr>
        <w:t xml:space="preserve"> INI</w:t>
      </w:r>
      <w:r w:rsidRPr="00A675F0">
        <w:rPr>
          <w:rFonts w:ascii="Arial" w:hAnsi="Arial" w:cs="Arial"/>
          <w:shd w:val="clear" w:color="auto" w:fill="FFFF00"/>
          <w:lang w:val="es-ES_tradnl" w:eastAsia="en-US"/>
        </w:rPr>
        <w:t xml:space="preserve"> de alta barrera genética (DTG y BIC).</w:t>
      </w:r>
      <w:r w:rsidRPr="003F3B0A">
        <w:rPr>
          <w:rFonts w:ascii="Arial" w:hAnsi="Arial" w:cs="Arial"/>
          <w:lang w:val="es-ES_tradnl" w:eastAsia="en-US"/>
        </w:rPr>
        <w:t xml:space="preserve"> En esta situación el clínico debe diseñar una pauta que tenga en cuenta una eventual resistencia archivada, bien sea confirmada o bien sea sospechada.</w:t>
      </w:r>
    </w:p>
    <w:p w14:paraId="7DDBA05E" w14:textId="77777777" w:rsidR="00D61AB2" w:rsidRPr="003F3B0A" w:rsidRDefault="00D61AB2" w:rsidP="00D61AB2">
      <w:pPr>
        <w:spacing w:before="120" w:after="120" w:line="276" w:lineRule="auto"/>
        <w:jc w:val="both"/>
        <w:rPr>
          <w:rFonts w:ascii="Arial" w:hAnsi="Arial" w:cs="Arial"/>
          <w:i/>
        </w:rPr>
      </w:pPr>
      <w:r w:rsidRPr="003F3B0A">
        <w:rPr>
          <w:rFonts w:ascii="Arial" w:hAnsi="Arial" w:cs="Arial"/>
        </w:rPr>
        <w:lastRenderedPageBreak/>
        <w:t>Sin olvidar que el objetivo prioritario es mantener la supresión virológica, el clínico debe realizar una evaluación minuciosa del perfil de toxicidades, interacciones, restricciones dietéticas y actividad sobre el VHB, si fuera necesario, del nuevo régimen.</w:t>
      </w:r>
    </w:p>
    <w:p w14:paraId="6DA43FF0"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5135DBE3" w14:textId="77777777" w:rsidR="00D61AB2" w:rsidRPr="00185D8D" w:rsidRDefault="00D61AB2" w:rsidP="00D61AB2">
      <w:pPr>
        <w:pStyle w:val="Prrafodelista"/>
        <w:numPr>
          <w:ilvl w:val="0"/>
          <w:numId w:val="33"/>
        </w:numPr>
        <w:spacing w:before="120" w:after="120" w:line="276" w:lineRule="auto"/>
        <w:contextualSpacing w:val="0"/>
        <w:jc w:val="both"/>
        <w:rPr>
          <w:rFonts w:ascii="Arial" w:hAnsi="Arial" w:cs="Arial"/>
          <w:highlight w:val="yellow"/>
        </w:rPr>
      </w:pPr>
      <w:r w:rsidRPr="00185D8D">
        <w:rPr>
          <w:rFonts w:ascii="Arial" w:hAnsi="Arial" w:cs="Arial"/>
          <w:highlight w:val="yellow"/>
        </w:rPr>
        <w:t>El cambio desde una pauta doble o triple basada en un IP/r o un INI de alta barrera genética a otra basada en un ITINN o INI de baja barrera genética solo debe hacerse si se puede garantizar la actividad antiviral de todos los fármacos del nuevo régimen (</w:t>
      </w:r>
      <w:r w:rsidRPr="00185D8D">
        <w:rPr>
          <w:rFonts w:ascii="Arial" w:hAnsi="Arial" w:cs="Arial"/>
          <w:b/>
          <w:i/>
          <w:highlight w:val="yellow"/>
        </w:rPr>
        <w:t>A-I</w:t>
      </w:r>
      <w:r w:rsidRPr="00185D8D">
        <w:rPr>
          <w:rFonts w:ascii="Arial" w:hAnsi="Arial" w:cs="Arial"/>
          <w:highlight w:val="yellow"/>
        </w:rPr>
        <w:t>)</w:t>
      </w:r>
      <w:r>
        <w:rPr>
          <w:rFonts w:ascii="Arial" w:hAnsi="Arial" w:cs="Arial"/>
          <w:highlight w:val="yellow"/>
        </w:rPr>
        <w:t>.</w:t>
      </w:r>
    </w:p>
    <w:p w14:paraId="1A417D7E" w14:textId="77777777" w:rsidR="00D61AB2" w:rsidRPr="002D5764" w:rsidRDefault="00D61AB2" w:rsidP="00D61AB2">
      <w:pPr>
        <w:pStyle w:val="Prrafodelista"/>
        <w:numPr>
          <w:ilvl w:val="0"/>
          <w:numId w:val="33"/>
        </w:numPr>
        <w:spacing w:before="120" w:after="120" w:line="276" w:lineRule="auto"/>
        <w:contextualSpacing w:val="0"/>
        <w:jc w:val="both"/>
        <w:rPr>
          <w:rFonts w:ascii="Arial" w:hAnsi="Arial" w:cs="Arial"/>
        </w:rPr>
      </w:pPr>
      <w:r w:rsidRPr="002D5764">
        <w:rPr>
          <w:rFonts w:ascii="Arial" w:hAnsi="Arial" w:cs="Arial"/>
          <w:highlight w:val="yellow"/>
        </w:rPr>
        <w:t xml:space="preserve">Si se piensa suspender TFV (TDF ó TAF) deberá revisarse </w:t>
      </w:r>
      <w:r>
        <w:rPr>
          <w:rFonts w:ascii="Arial" w:hAnsi="Arial" w:cs="Arial"/>
          <w:highlight w:val="yellow"/>
        </w:rPr>
        <w:t xml:space="preserve">previamente </w:t>
      </w:r>
      <w:r w:rsidRPr="002D5764">
        <w:rPr>
          <w:rFonts w:ascii="Arial" w:hAnsi="Arial" w:cs="Arial"/>
          <w:highlight w:val="yellow"/>
        </w:rPr>
        <w:t xml:space="preserve">la </w:t>
      </w:r>
      <w:r w:rsidRPr="00316B32">
        <w:rPr>
          <w:rFonts w:ascii="Arial" w:hAnsi="Arial" w:cs="Arial"/>
          <w:highlight w:val="yellow"/>
        </w:rPr>
        <w:t>serología del VHB (</w:t>
      </w:r>
      <w:r w:rsidRPr="00316B32">
        <w:rPr>
          <w:rFonts w:ascii="Arial" w:hAnsi="Arial" w:cs="Arial"/>
          <w:b/>
          <w:i/>
          <w:highlight w:val="yellow"/>
        </w:rPr>
        <w:t>A-III</w:t>
      </w:r>
      <w:r w:rsidRPr="00316B32">
        <w:rPr>
          <w:rFonts w:ascii="Arial" w:hAnsi="Arial" w:cs="Arial"/>
          <w:highlight w:val="yellow"/>
        </w:rPr>
        <w:t>).</w:t>
      </w:r>
    </w:p>
    <w:p w14:paraId="5D77FF12" w14:textId="77777777" w:rsidR="00D61AB2" w:rsidRPr="002D5764" w:rsidRDefault="00D61AB2" w:rsidP="00D61AB2">
      <w:pPr>
        <w:spacing w:before="120" w:after="120" w:line="276" w:lineRule="auto"/>
        <w:jc w:val="both"/>
        <w:rPr>
          <w:rFonts w:ascii="Arial" w:hAnsi="Arial" w:cs="Arial"/>
          <w:b/>
          <w:color w:val="006600"/>
          <w:lang w:val="es-ES_tradnl" w:eastAsia="en-US"/>
        </w:rPr>
      </w:pPr>
    </w:p>
    <w:p w14:paraId="5F814D7F" w14:textId="77777777" w:rsidR="00D61AB2" w:rsidRPr="005D0A0F" w:rsidRDefault="00D61AB2" w:rsidP="00D61AB2">
      <w:pPr>
        <w:spacing w:before="120" w:after="120" w:line="276" w:lineRule="auto"/>
        <w:jc w:val="both"/>
        <w:rPr>
          <w:rFonts w:ascii="Arial" w:hAnsi="Arial" w:cs="Arial"/>
          <w:b/>
          <w:bCs/>
          <w:i/>
          <w:color w:val="AE1C1F"/>
          <w:lang w:val="es-ES_tradnl" w:eastAsia="en-US"/>
        </w:rPr>
      </w:pPr>
      <w:r w:rsidRPr="005D0A0F">
        <w:rPr>
          <w:rFonts w:ascii="Arial" w:hAnsi="Arial" w:cs="Arial"/>
          <w:b/>
          <w:bCs/>
          <w:i/>
          <w:color w:val="AE1C1F"/>
          <w:lang w:val="es-ES_tradnl" w:eastAsia="en-US"/>
        </w:rPr>
        <w:t>Consideraciones sobre la gradación de la evidencia</w:t>
      </w:r>
    </w:p>
    <w:p w14:paraId="7E86F9EB"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Se considera que existen datos suficientes para hacer una recomendación fuerte de cambio de antirretrovirales (</w:t>
      </w:r>
      <w:r w:rsidRPr="00287DD7">
        <w:rPr>
          <w:rFonts w:ascii="Arial" w:hAnsi="Arial" w:cs="Arial"/>
          <w:color w:val="C00000"/>
          <w:lang w:val="es-ES_tradnl" w:eastAsia="en-US"/>
        </w:rPr>
        <w:t>Tabla 4</w:t>
      </w:r>
      <w:r w:rsidRPr="003F3B0A">
        <w:rPr>
          <w:rFonts w:ascii="Arial" w:hAnsi="Arial" w:cs="Arial"/>
          <w:lang w:val="es-ES_tradnl" w:eastAsia="en-US"/>
        </w:rPr>
        <w:t>) para:</w:t>
      </w:r>
    </w:p>
    <w:p w14:paraId="1B2EA515" w14:textId="77777777" w:rsidR="00D61AB2" w:rsidRPr="003F3B0A" w:rsidRDefault="00D61AB2" w:rsidP="00D61AB2">
      <w:pPr>
        <w:numPr>
          <w:ilvl w:val="0"/>
          <w:numId w:val="31"/>
        </w:numPr>
        <w:spacing w:before="120" w:after="120" w:line="276" w:lineRule="auto"/>
        <w:ind w:left="357" w:hanging="357"/>
        <w:jc w:val="both"/>
        <w:rPr>
          <w:rFonts w:ascii="Arial" w:hAnsi="Arial" w:cs="Arial"/>
          <w:lang w:val="es-ES_tradnl" w:eastAsia="en-US"/>
        </w:rPr>
      </w:pPr>
      <w:r w:rsidRPr="003F3B0A">
        <w:rPr>
          <w:rFonts w:ascii="Arial" w:hAnsi="Arial" w:cs="Arial"/>
          <w:lang w:val="es-ES_tradnl" w:eastAsia="en-US"/>
        </w:rPr>
        <w:t>Cambio reactivo de EFV en pacientes con efectos adversos del SNC.</w:t>
      </w:r>
    </w:p>
    <w:p w14:paraId="677FE214" w14:textId="77777777" w:rsidR="00D61AB2" w:rsidRPr="003F3B0A" w:rsidRDefault="00D61AB2" w:rsidP="00D61AB2">
      <w:pPr>
        <w:numPr>
          <w:ilvl w:val="0"/>
          <w:numId w:val="31"/>
        </w:numPr>
        <w:spacing w:before="120" w:after="120" w:line="276" w:lineRule="auto"/>
        <w:ind w:left="357" w:hanging="357"/>
        <w:jc w:val="both"/>
        <w:rPr>
          <w:rFonts w:ascii="Arial" w:hAnsi="Arial" w:cs="Arial"/>
          <w:lang w:val="es-ES_tradnl" w:eastAsia="en-US"/>
        </w:rPr>
      </w:pPr>
      <w:r w:rsidRPr="003F3B0A">
        <w:rPr>
          <w:rFonts w:ascii="Arial" w:hAnsi="Arial" w:cs="Arial"/>
          <w:lang w:val="es-ES_tradnl" w:eastAsia="en-US"/>
        </w:rPr>
        <w:t xml:space="preserve">Cambio reactivo de IP/p con RTV o COBI si existe diarrea </w:t>
      </w:r>
      <w:r w:rsidRPr="003F3B0A">
        <w:rPr>
          <w:rFonts w:ascii="Arial" w:hAnsi="Arial" w:cs="Arial"/>
          <w:color w:val="000000"/>
          <w:lang w:val="es-ES_tradnl" w:eastAsia="en-US"/>
        </w:rPr>
        <w:t>u otras alteraciones gastrointestinales</w:t>
      </w:r>
      <w:r w:rsidRPr="003F3B0A">
        <w:rPr>
          <w:rFonts w:ascii="Arial" w:hAnsi="Arial" w:cs="Arial"/>
          <w:lang w:val="es-ES_tradnl" w:eastAsia="en-US"/>
        </w:rPr>
        <w:t xml:space="preserve"> que interfiere con la calidad de vida del paciente</w:t>
      </w:r>
      <w:r>
        <w:rPr>
          <w:rFonts w:ascii="Arial" w:hAnsi="Arial" w:cs="Arial"/>
          <w:lang w:val="es-ES_tradnl" w:eastAsia="en-US"/>
        </w:rPr>
        <w:t>.</w:t>
      </w:r>
    </w:p>
    <w:p w14:paraId="30111619" w14:textId="77777777" w:rsidR="00D61AB2" w:rsidRPr="003F3B0A" w:rsidRDefault="00D61AB2" w:rsidP="00D61AB2">
      <w:pPr>
        <w:numPr>
          <w:ilvl w:val="0"/>
          <w:numId w:val="31"/>
        </w:numPr>
        <w:spacing w:before="120" w:after="120" w:line="276" w:lineRule="auto"/>
        <w:ind w:left="357" w:hanging="357"/>
        <w:jc w:val="both"/>
        <w:rPr>
          <w:rFonts w:ascii="Arial" w:hAnsi="Arial" w:cs="Arial"/>
          <w:lang w:val="es-ES_tradnl" w:eastAsia="en-US"/>
        </w:rPr>
      </w:pPr>
      <w:r w:rsidRPr="003F3B0A">
        <w:rPr>
          <w:rFonts w:ascii="Arial" w:hAnsi="Arial" w:cs="Arial"/>
          <w:lang w:val="es-ES_tradnl" w:eastAsia="en-US"/>
        </w:rPr>
        <w:t>Cambio reactivo de TDF en pacientes con disminución del FGe o disfunción tubular. No hay datos para precisar un umbral de FGe a partir del cual el cambio sea obligado</w:t>
      </w:r>
      <w:r w:rsidRPr="00BC306A">
        <w:rPr>
          <w:rFonts w:ascii="Arial" w:hAnsi="Arial" w:cs="Arial"/>
          <w:highlight w:val="yellow"/>
          <w:lang w:val="es-ES_tradnl" w:eastAsia="en-US"/>
        </w:rPr>
        <w:t xml:space="preserve">, pero cuando se considera que la disminución del FGe es significativa y siempre que se desarrolle insuficiencia renal o existan parámetros de </w:t>
      </w:r>
      <w:r w:rsidRPr="000A3E3F">
        <w:rPr>
          <w:rFonts w:ascii="Arial" w:hAnsi="Arial" w:cs="Arial"/>
          <w:highlight w:val="yellow"/>
          <w:lang w:eastAsia="en-US"/>
        </w:rPr>
        <w:t>tubulopatía</w:t>
      </w:r>
      <w:r w:rsidRPr="000A3E3F">
        <w:rPr>
          <w:rFonts w:ascii="Arial" w:hAnsi="Arial" w:cs="Arial"/>
          <w:highlight w:val="yellow"/>
          <w:lang w:val="es-ES_tradnl" w:eastAsia="en-US"/>
        </w:rPr>
        <w:t xml:space="preserve"> el cambio de TDF es obligatorio, aunque coexistan otras causas</w:t>
      </w:r>
      <w:r w:rsidRPr="003F3B0A">
        <w:rPr>
          <w:rFonts w:ascii="Arial" w:hAnsi="Arial" w:cs="Arial"/>
          <w:lang w:val="es-ES_tradnl" w:eastAsia="en-US"/>
        </w:rPr>
        <w:t>. Recomendamos emplear el juicio clínico teniendo en cuenta función renal/tubular antes del inicio de TDF, edad y existencia de otros factores que puedan empeorar la función renal.</w:t>
      </w:r>
    </w:p>
    <w:p w14:paraId="1A898816" w14:textId="77777777" w:rsidR="00D61AB2" w:rsidRPr="00160E9A" w:rsidRDefault="00D61AB2" w:rsidP="00D61AB2">
      <w:pPr>
        <w:numPr>
          <w:ilvl w:val="0"/>
          <w:numId w:val="31"/>
        </w:numPr>
        <w:spacing w:before="120" w:after="120" w:line="276" w:lineRule="auto"/>
        <w:ind w:left="357" w:hanging="357"/>
        <w:jc w:val="both"/>
        <w:rPr>
          <w:rFonts w:ascii="Arial" w:hAnsi="Arial" w:cs="Arial"/>
          <w:lang w:val="es-ES_tradnl" w:eastAsia="en-US"/>
        </w:rPr>
      </w:pPr>
      <w:r w:rsidRPr="003F3B0A">
        <w:rPr>
          <w:rFonts w:ascii="Arial" w:hAnsi="Arial" w:cs="Arial"/>
          <w:lang w:val="es-ES_tradnl" w:eastAsia="en-US"/>
        </w:rPr>
        <w:t xml:space="preserve">Cambio reactivo de TDF en pacientes con osteopenia, osteoporosis u osteomalacia. </w:t>
      </w:r>
      <w:r w:rsidRPr="00823BBD">
        <w:rPr>
          <w:rFonts w:ascii="Arial" w:hAnsi="Arial" w:cs="Arial"/>
          <w:highlight w:val="yellow"/>
          <w:lang w:val="es-ES_tradnl" w:eastAsia="en-US"/>
        </w:rPr>
        <w:t>El cambio de TDF es obligado</w:t>
      </w:r>
      <w:r>
        <w:rPr>
          <w:rFonts w:ascii="Arial" w:hAnsi="Arial" w:cs="Arial"/>
          <w:lang w:val="es-ES_tradnl" w:eastAsia="en-US"/>
        </w:rPr>
        <w:t>. E</w:t>
      </w:r>
      <w:r w:rsidRPr="003F3B0A">
        <w:rPr>
          <w:rFonts w:ascii="Arial" w:hAnsi="Arial" w:cs="Arial"/>
          <w:lang w:val="es-ES_tradnl" w:eastAsia="en-US"/>
        </w:rPr>
        <w:t xml:space="preserve">s preciso </w:t>
      </w:r>
      <w:r>
        <w:rPr>
          <w:rFonts w:ascii="Arial" w:hAnsi="Arial" w:cs="Arial"/>
          <w:lang w:val="es-ES_tradnl" w:eastAsia="en-US"/>
        </w:rPr>
        <w:t xml:space="preserve">además </w:t>
      </w:r>
      <w:r w:rsidRPr="003F3B0A">
        <w:rPr>
          <w:rFonts w:ascii="Arial" w:hAnsi="Arial" w:cs="Arial"/>
          <w:lang w:val="es-ES_tradnl" w:eastAsia="en-US"/>
        </w:rPr>
        <w:t xml:space="preserve">descartar </w:t>
      </w:r>
      <w:r w:rsidRPr="00160E9A">
        <w:rPr>
          <w:rFonts w:ascii="Arial" w:hAnsi="Arial" w:cs="Arial"/>
          <w:lang w:val="es-ES_tradnl" w:eastAsia="en-US"/>
        </w:rPr>
        <w:t xml:space="preserve">otras múltiples causas secundarias, por ejemplo, hipovitaminosis D. </w:t>
      </w:r>
    </w:p>
    <w:p w14:paraId="29368704" w14:textId="4E52381C" w:rsidR="00D61AB2" w:rsidRPr="00160E9A" w:rsidRDefault="00D61AB2" w:rsidP="00D61AB2">
      <w:pPr>
        <w:numPr>
          <w:ilvl w:val="0"/>
          <w:numId w:val="31"/>
        </w:numPr>
        <w:shd w:val="clear" w:color="auto" w:fill="FFFF00"/>
        <w:spacing w:before="120" w:after="120" w:line="276" w:lineRule="auto"/>
        <w:ind w:left="357" w:hanging="357"/>
        <w:jc w:val="both"/>
        <w:rPr>
          <w:rFonts w:ascii="Arial" w:hAnsi="Arial" w:cs="Arial"/>
          <w:lang w:val="es-ES_tradnl" w:eastAsia="en-US"/>
        </w:rPr>
      </w:pPr>
      <w:r w:rsidRPr="00160E9A">
        <w:rPr>
          <w:rFonts w:ascii="Arial" w:hAnsi="Arial" w:cs="Arial"/>
          <w:lang w:val="es-ES_tradnl" w:eastAsia="en-US"/>
        </w:rPr>
        <w:t>Cambio proactivo de ARV que hayan demostrado mayor frecuencia de teratogenicidad</w:t>
      </w:r>
      <w:r w:rsidR="005748F0">
        <w:rPr>
          <w:rFonts w:ascii="Arial" w:hAnsi="Arial" w:cs="Arial"/>
          <w:lang w:val="es-ES_tradnl" w:eastAsia="en-US"/>
        </w:rPr>
        <w:t>, administrados durante la peri</w:t>
      </w:r>
      <w:r w:rsidRPr="00160E9A">
        <w:rPr>
          <w:rFonts w:ascii="Arial" w:hAnsi="Arial" w:cs="Arial"/>
          <w:lang w:val="es-ES_tradnl" w:eastAsia="en-US"/>
        </w:rPr>
        <w:t>concepción (ej. DTG) o sin datos de seguridad en el embarazo (ej. BIC, TAF, COBI) en mujeres que deciden quedarse embarazadas mientras están recibiendo el fármaco.</w:t>
      </w:r>
    </w:p>
    <w:p w14:paraId="2BE661D2" w14:textId="77777777" w:rsidR="00D61AB2" w:rsidRDefault="00D61AB2" w:rsidP="00D61AB2">
      <w:pPr>
        <w:spacing w:before="120" w:after="120" w:line="276" w:lineRule="auto"/>
        <w:jc w:val="both"/>
        <w:rPr>
          <w:rFonts w:ascii="Arial" w:hAnsi="Arial" w:cs="Arial"/>
          <w:lang w:val="es-ES_tradnl" w:eastAsia="en-US"/>
        </w:rPr>
      </w:pPr>
    </w:p>
    <w:p w14:paraId="40438610" w14:textId="77777777" w:rsidR="00D61AB2" w:rsidRPr="004718C1" w:rsidRDefault="00D61AB2" w:rsidP="00D61AB2">
      <w:pPr>
        <w:spacing w:before="120" w:after="120" w:line="276" w:lineRule="auto"/>
        <w:jc w:val="both"/>
        <w:rPr>
          <w:rFonts w:ascii="Arial" w:hAnsi="Arial" w:cs="Arial"/>
          <w:color w:val="000000" w:themeColor="text1"/>
          <w:lang w:val="es-ES_tradnl" w:eastAsia="en-US"/>
        </w:rPr>
      </w:pPr>
      <w:r w:rsidRPr="003F3B0A">
        <w:rPr>
          <w:rFonts w:ascii="Arial" w:hAnsi="Arial" w:cs="Arial"/>
          <w:lang w:val="es-ES_tradnl" w:eastAsia="en-US"/>
        </w:rPr>
        <w:t xml:space="preserve">Este panel distingue entre la fuerza de la recomendación para cambiar el TAR o </w:t>
      </w:r>
      <w:r w:rsidRPr="004718C1">
        <w:rPr>
          <w:rFonts w:ascii="Arial" w:hAnsi="Arial" w:cs="Arial"/>
          <w:color w:val="000000" w:themeColor="text1"/>
          <w:lang w:val="es-ES_tradnl" w:eastAsia="en-US"/>
        </w:rPr>
        <w:t xml:space="preserve">para priorizar una pauta alternativa. Recomendamos que el clínico consulte la Tabla 4 para intentar responder a la pregunta ¿Debo cambiar el TAR?, y una vez establecida la necesidad de cambio, la Tabla 5 gradúa la evidencia para recomendar una nueva pauta. </w:t>
      </w:r>
    </w:p>
    <w:p w14:paraId="797AE64E"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lastRenderedPageBreak/>
        <w:t>La recomendación para avalar el cambio de TAR puede ser débil pero una vez que el cambio se ha decidido la recomendación sobre la pauta a la que cambiar puede ser fuerte. Un ejemplo apropiado es el cambio desde múltiples comprimidos a una pastilla única simplemente con el objetivo de simplificación. Aunque hay evidencia preliminar de que el TAR con pastilla única podría aumentar la adherencia y disminuir las hospitalizaciones</w:t>
      </w:r>
      <w:r w:rsidRPr="003F3B0A">
        <w:rPr>
          <w:rFonts w:ascii="Arial" w:hAnsi="Arial" w:cs="Arial"/>
          <w:noProof/>
          <w:vertAlign w:val="superscript"/>
          <w:lang w:val="es-ES_tradnl" w:eastAsia="en-US"/>
        </w:rPr>
        <w:t>1</w:t>
      </w:r>
      <w:r w:rsidRPr="003F3B0A">
        <w:rPr>
          <w:rFonts w:ascii="Arial" w:hAnsi="Arial" w:cs="Arial"/>
          <w:lang w:val="es-ES_tradnl" w:eastAsia="en-US"/>
        </w:rPr>
        <w:t>, en este momento el comité no considera que exista evidencia definitiva para hacer una recomendación fuerte que respalde este cambio en la mayoría de los pacientes. Sin embargo, si el clínico ha decidido que en un paciente la simplificación posológica está indicada, entonces el comité hace una recomendación fuerte sobre las pautas más apropiadas.</w:t>
      </w:r>
    </w:p>
    <w:p w14:paraId="7AE23E03" w14:textId="77777777" w:rsidR="00D61AB2" w:rsidRPr="003F3B0A" w:rsidRDefault="00D61AB2" w:rsidP="00D61AB2">
      <w:pPr>
        <w:spacing w:before="120" w:after="120" w:line="276" w:lineRule="auto"/>
        <w:jc w:val="both"/>
        <w:rPr>
          <w:rFonts w:ascii="Arial" w:hAnsi="Arial" w:cs="Arial"/>
          <w:b/>
          <w:lang w:val="es-ES_tradnl" w:eastAsia="en-US"/>
        </w:rPr>
      </w:pPr>
    </w:p>
    <w:p w14:paraId="5471E6B6"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577EE5">
        <w:rPr>
          <w:rFonts w:ascii="Arial" w:hAnsi="Arial" w:cs="Arial"/>
          <w:b/>
          <w:color w:val="AE1C1F"/>
          <w:sz w:val="28"/>
          <w:szCs w:val="28"/>
          <w:lang w:val="es-ES_tradnl" w:eastAsia="en-US"/>
        </w:rPr>
        <w:t xml:space="preserve">4.2. Cambios a regímenes que siguen incluyendo tres fármacos antirretrovirales </w:t>
      </w:r>
      <w:r w:rsidRPr="003F3B0A">
        <w:rPr>
          <w:rFonts w:ascii="Arial" w:hAnsi="Arial" w:cs="Arial"/>
          <w:color w:val="AE1C1F"/>
          <w:lang w:val="es-ES_tradnl" w:eastAsia="en-US"/>
        </w:rPr>
        <w:t>(Tabla 5)</w:t>
      </w:r>
    </w:p>
    <w:p w14:paraId="30ACA411" w14:textId="77777777" w:rsidR="00D61AB2" w:rsidRPr="003F3B0A" w:rsidRDefault="00D61AB2" w:rsidP="00D61AB2">
      <w:pPr>
        <w:spacing w:before="120" w:after="120" w:line="276" w:lineRule="auto"/>
        <w:jc w:val="both"/>
        <w:rPr>
          <w:rFonts w:ascii="Arial" w:hAnsi="Arial" w:cs="Arial"/>
          <w:i/>
          <w:color w:val="AE1C1F"/>
          <w:lang w:val="es-ES_tradnl" w:eastAsia="en-US"/>
        </w:rPr>
      </w:pPr>
    </w:p>
    <w:p w14:paraId="6A1EF2BF" w14:textId="77777777" w:rsidR="00D61AB2" w:rsidRPr="005D0A0F" w:rsidRDefault="00D61AB2" w:rsidP="00D61AB2">
      <w:pPr>
        <w:spacing w:before="120" w:after="120" w:line="276" w:lineRule="auto"/>
        <w:jc w:val="both"/>
        <w:rPr>
          <w:rFonts w:ascii="Arial" w:hAnsi="Arial" w:cs="Arial"/>
          <w:b/>
          <w:bCs/>
          <w:i/>
          <w:color w:val="AE1C1F"/>
          <w:lang w:val="es-ES_tradnl" w:eastAsia="en-US"/>
        </w:rPr>
      </w:pPr>
      <w:r w:rsidRPr="005D0A0F">
        <w:rPr>
          <w:rFonts w:ascii="Arial" w:hAnsi="Arial" w:cs="Arial"/>
          <w:b/>
          <w:bCs/>
          <w:i/>
          <w:color w:val="AE1C1F"/>
          <w:lang w:val="es-ES_tradnl" w:eastAsia="en-US"/>
        </w:rPr>
        <w:t>4.2.1. Cambio de ITIAN</w:t>
      </w:r>
    </w:p>
    <w:p w14:paraId="405369AB" w14:textId="77777777" w:rsidR="00D61AB2" w:rsidRDefault="00D61AB2" w:rsidP="00D61AB2">
      <w:pPr>
        <w:spacing w:before="120" w:after="120" w:line="276" w:lineRule="auto"/>
        <w:jc w:val="both"/>
        <w:rPr>
          <w:rFonts w:ascii="Arial" w:hAnsi="Arial" w:cs="Arial"/>
          <w:b/>
          <w:bCs/>
          <w:color w:val="AE1C1F"/>
          <w:lang w:val="es-ES_tradnl" w:eastAsia="en-US"/>
        </w:rPr>
      </w:pPr>
    </w:p>
    <w:p w14:paraId="5B09AE9E" w14:textId="77777777" w:rsidR="00D61AB2" w:rsidRPr="005D0A0F" w:rsidRDefault="00D61AB2" w:rsidP="00D61AB2">
      <w:pPr>
        <w:spacing w:before="120" w:after="120" w:line="276" w:lineRule="auto"/>
        <w:jc w:val="both"/>
        <w:rPr>
          <w:rFonts w:ascii="Arial" w:hAnsi="Arial" w:cs="Arial"/>
          <w:b/>
          <w:bCs/>
          <w:color w:val="AE1C1F"/>
          <w:lang w:val="es-ES_tradnl" w:eastAsia="en-US"/>
        </w:rPr>
      </w:pPr>
      <w:r w:rsidRPr="005D0A0F">
        <w:rPr>
          <w:rFonts w:ascii="Arial" w:hAnsi="Arial" w:cs="Arial"/>
          <w:b/>
          <w:bCs/>
          <w:color w:val="AE1C1F"/>
          <w:lang w:val="es-ES_tradnl" w:eastAsia="en-US"/>
        </w:rPr>
        <w:t>Cambio de ABC/3TC a TDF/FTC o TAF/FTC</w:t>
      </w:r>
    </w:p>
    <w:p w14:paraId="1D7CDA03"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w:t>
      </w:r>
      <w:r w:rsidRPr="007B728F">
        <w:rPr>
          <w:rFonts w:ascii="Arial" w:hAnsi="Arial" w:cs="Arial"/>
          <w:highlight w:val="yellow"/>
          <w:lang w:val="es-ES_tradnl" w:eastAsia="en-US"/>
        </w:rPr>
        <w:t>Un e</w:t>
      </w:r>
      <w:r>
        <w:rPr>
          <w:rFonts w:ascii="Arial" w:hAnsi="Arial" w:cs="Arial"/>
          <w:lang w:val="es-ES_tradnl" w:eastAsia="en-US"/>
        </w:rPr>
        <w:t>nsayo clínico</w:t>
      </w:r>
      <w:r w:rsidRPr="003F3B0A">
        <w:rPr>
          <w:rFonts w:ascii="Arial" w:hAnsi="Arial" w:cs="Arial"/>
          <w:lang w:val="es-ES_tradnl" w:eastAsia="en-US"/>
        </w:rPr>
        <w:t xml:space="preserve"> aleatorizado</w:t>
      </w:r>
      <w:r w:rsidRPr="00182A7C">
        <w:rPr>
          <w:rFonts w:ascii="Arial" w:hAnsi="Arial" w:cs="Arial"/>
          <w:noProof/>
          <w:highlight w:val="yellow"/>
          <w:vertAlign w:val="superscript"/>
          <w:lang w:val="es-ES_tradnl" w:eastAsia="en-US"/>
        </w:rPr>
        <w:t>2</w:t>
      </w:r>
      <w:r w:rsidRPr="003F3B0A">
        <w:rPr>
          <w:rFonts w:ascii="Arial" w:hAnsi="Arial" w:cs="Arial"/>
          <w:lang w:val="es-ES_tradnl" w:eastAsia="en-US"/>
        </w:rPr>
        <w:t xml:space="preserve"> han demostrado que el cambio de ABC/3TC a TDF/FTC es seguro virológicamente y produce </w:t>
      </w:r>
      <w:r w:rsidRPr="003C153C">
        <w:rPr>
          <w:rFonts w:ascii="Arial" w:hAnsi="Arial" w:cs="Arial"/>
          <w:highlight w:val="yellow"/>
          <w:lang w:val="es-ES_tradnl" w:eastAsia="en-US"/>
        </w:rPr>
        <w:t>una mejoría del perfil lipídico,</w:t>
      </w:r>
      <w:r>
        <w:rPr>
          <w:rFonts w:ascii="Arial" w:hAnsi="Arial" w:cs="Arial"/>
          <w:lang w:val="es-ES_tradnl" w:eastAsia="en-US"/>
        </w:rPr>
        <w:t xml:space="preserve"> </w:t>
      </w:r>
      <w:r w:rsidRPr="003F3B0A">
        <w:rPr>
          <w:rFonts w:ascii="Arial" w:hAnsi="Arial" w:cs="Arial"/>
          <w:lang w:val="es-ES_tradnl" w:eastAsia="en-US"/>
        </w:rPr>
        <w:t xml:space="preserve">sobre todo en aquellos pacientes que presentan concentraciones plasmáticas de lípidos elevadas. </w:t>
      </w:r>
      <w:r w:rsidRPr="003C153C">
        <w:rPr>
          <w:rFonts w:ascii="Arial" w:hAnsi="Arial" w:cs="Arial"/>
          <w:highlight w:val="yellow"/>
          <w:lang w:val="es-ES_tradnl" w:eastAsia="en-US"/>
        </w:rPr>
        <w:t xml:space="preserve">El cambio </w:t>
      </w:r>
      <w:r>
        <w:rPr>
          <w:rFonts w:ascii="Arial" w:hAnsi="Arial" w:cs="Arial"/>
          <w:highlight w:val="yellow"/>
          <w:lang w:val="es-ES_tradnl" w:eastAsia="en-US"/>
        </w:rPr>
        <w:t xml:space="preserve">a TDF/FTC </w:t>
      </w:r>
      <w:r w:rsidRPr="003C153C">
        <w:rPr>
          <w:rFonts w:ascii="Arial" w:hAnsi="Arial" w:cs="Arial"/>
          <w:highlight w:val="yellow"/>
          <w:lang w:val="es-ES_tradnl" w:eastAsia="en-US"/>
        </w:rPr>
        <w:t>se asocia a una disminución</w:t>
      </w:r>
      <w:r>
        <w:rPr>
          <w:rFonts w:ascii="Arial" w:hAnsi="Arial" w:cs="Arial"/>
          <w:lang w:val="es-ES_tradnl" w:eastAsia="en-US"/>
        </w:rPr>
        <w:t xml:space="preserve"> </w:t>
      </w:r>
      <w:r w:rsidRPr="003F3B0A">
        <w:rPr>
          <w:rFonts w:ascii="Arial" w:hAnsi="Arial" w:cs="Arial"/>
          <w:lang w:val="es-ES_tradnl" w:eastAsia="en-US"/>
        </w:rPr>
        <w:t>del FGe</w:t>
      </w:r>
      <w:r>
        <w:rPr>
          <w:rFonts w:ascii="Arial" w:hAnsi="Arial" w:cs="Arial"/>
          <w:lang w:val="es-ES_tradnl" w:eastAsia="en-US"/>
        </w:rPr>
        <w:t xml:space="preserve">, </w:t>
      </w:r>
      <w:r w:rsidRPr="003F3B0A">
        <w:rPr>
          <w:rFonts w:ascii="Arial" w:hAnsi="Arial" w:cs="Arial"/>
          <w:lang w:val="es-ES_tradnl" w:eastAsia="en-US"/>
        </w:rPr>
        <w:t>especialmente si el tercer fármaco es un IP/r.</w:t>
      </w:r>
    </w:p>
    <w:p w14:paraId="59C46D2B"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Un ensayo clínico aleatorizado</w:t>
      </w:r>
      <w:r w:rsidRPr="00182A7C">
        <w:rPr>
          <w:rFonts w:ascii="Arial" w:hAnsi="Arial" w:cs="Arial"/>
          <w:noProof/>
          <w:highlight w:val="yellow"/>
          <w:vertAlign w:val="superscript"/>
          <w:lang w:val="es-ES_tradnl" w:eastAsia="en-US"/>
        </w:rPr>
        <w:t>3</w:t>
      </w:r>
      <w:r>
        <w:rPr>
          <w:rFonts w:ascii="Arial" w:hAnsi="Arial" w:cs="Arial"/>
          <w:lang w:val="es-ES_tradnl" w:eastAsia="en-US"/>
        </w:rPr>
        <w:t xml:space="preserve"> ha</w:t>
      </w:r>
      <w:r w:rsidRPr="003F3B0A">
        <w:rPr>
          <w:rFonts w:ascii="Arial" w:hAnsi="Arial" w:cs="Arial"/>
          <w:lang w:val="es-ES_tradnl" w:eastAsia="en-US"/>
        </w:rPr>
        <w:t xml:space="preserve"> demostrado que el cambio de ABC/3TC a TAF/FTC es seguro virológicamente pero no se asocia a beneficios en perfil lipídico, función renal o densidad mineral ósea.</w:t>
      </w:r>
    </w:p>
    <w:p w14:paraId="5F9D00C8"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rPr>
        <w:t>La relación de ABC con un incremento en la incidencia de eventos cardiovasculares es muy controvertida.</w:t>
      </w:r>
    </w:p>
    <w:p w14:paraId="2533E3A8"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52B16631" w14:textId="77777777" w:rsidR="00D61AB2" w:rsidRPr="00316B32" w:rsidRDefault="00D61AB2" w:rsidP="00D61AB2">
      <w:pPr>
        <w:pStyle w:val="Prrafodelista"/>
        <w:numPr>
          <w:ilvl w:val="0"/>
          <w:numId w:val="32"/>
        </w:numPr>
        <w:spacing w:before="120" w:after="120" w:line="276" w:lineRule="auto"/>
        <w:contextualSpacing w:val="0"/>
        <w:jc w:val="both"/>
        <w:rPr>
          <w:rFonts w:ascii="Arial" w:hAnsi="Arial" w:cs="Arial"/>
          <w:b/>
          <w:highlight w:val="yellow"/>
        </w:rPr>
      </w:pPr>
      <w:r w:rsidRPr="00316B32">
        <w:rPr>
          <w:rFonts w:ascii="Arial" w:hAnsi="Arial" w:cs="Arial"/>
          <w:highlight w:val="yellow"/>
        </w:rPr>
        <w:t>El cambio de ABC/3TC a TDF/FTC o a TAF/FTC puede realizarse por decisión clínica, pero el cambio no se puede recomendar con el objetivo de reducir el riesgo cardiovascular</w:t>
      </w:r>
      <w:r>
        <w:rPr>
          <w:rFonts w:ascii="Arial" w:hAnsi="Arial" w:cs="Arial"/>
          <w:b/>
          <w:i/>
          <w:highlight w:val="yellow"/>
        </w:rPr>
        <w:t xml:space="preserve"> (C</w:t>
      </w:r>
      <w:r w:rsidRPr="00316B32">
        <w:rPr>
          <w:rFonts w:ascii="Arial" w:hAnsi="Arial" w:cs="Arial"/>
          <w:b/>
          <w:i/>
          <w:highlight w:val="yellow"/>
        </w:rPr>
        <w:t>-I)</w:t>
      </w:r>
      <w:r>
        <w:rPr>
          <w:rFonts w:ascii="Arial" w:hAnsi="Arial" w:cs="Arial"/>
          <w:b/>
          <w:i/>
          <w:highlight w:val="yellow"/>
        </w:rPr>
        <w:t>.</w:t>
      </w:r>
    </w:p>
    <w:p w14:paraId="7AAA4E8C" w14:textId="77777777" w:rsidR="00D61AB2" w:rsidRDefault="00D61AB2" w:rsidP="00D61AB2">
      <w:pPr>
        <w:spacing w:before="120" w:after="120" w:line="276" w:lineRule="auto"/>
        <w:jc w:val="both"/>
        <w:rPr>
          <w:rFonts w:ascii="Arial" w:hAnsi="Arial" w:cs="Arial"/>
          <w:b/>
          <w:bCs/>
          <w:color w:val="AE1C1F"/>
          <w:lang w:val="es-ES_tradnl" w:eastAsia="en-US"/>
        </w:rPr>
      </w:pPr>
    </w:p>
    <w:p w14:paraId="72944E83" w14:textId="77777777" w:rsidR="00D61AB2" w:rsidRPr="005D0A0F" w:rsidRDefault="00D61AB2" w:rsidP="00D61AB2">
      <w:pPr>
        <w:spacing w:before="120" w:after="120" w:line="276" w:lineRule="auto"/>
        <w:jc w:val="both"/>
        <w:rPr>
          <w:rFonts w:ascii="Arial" w:hAnsi="Arial" w:cs="Arial"/>
          <w:b/>
          <w:bCs/>
          <w:color w:val="AE1C1F"/>
          <w:lang w:val="es-ES_tradnl" w:eastAsia="en-US"/>
        </w:rPr>
      </w:pPr>
      <w:r>
        <w:rPr>
          <w:rFonts w:ascii="Arial" w:hAnsi="Arial" w:cs="Arial"/>
          <w:b/>
          <w:bCs/>
          <w:color w:val="AE1C1F"/>
          <w:lang w:val="es-ES_tradnl" w:eastAsia="en-US"/>
        </w:rPr>
        <w:t>Cambio de TDF a</w:t>
      </w:r>
      <w:r w:rsidRPr="005D0A0F">
        <w:rPr>
          <w:rFonts w:ascii="Arial" w:hAnsi="Arial" w:cs="Arial"/>
          <w:b/>
          <w:bCs/>
          <w:color w:val="AE1C1F"/>
          <w:lang w:val="es-ES_tradnl" w:eastAsia="en-US"/>
        </w:rPr>
        <w:t xml:space="preserve"> ABC</w:t>
      </w:r>
    </w:p>
    <w:p w14:paraId="3E94E8F5"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3F3B0A">
        <w:rPr>
          <w:rFonts w:ascii="Arial" w:hAnsi="Arial" w:cs="Arial"/>
          <w:lang w:val="es-ES_tradnl" w:eastAsia="en-US"/>
        </w:rPr>
        <w:t>TDF se ha</w:t>
      </w:r>
      <w:r>
        <w:rPr>
          <w:rFonts w:ascii="Arial" w:hAnsi="Arial" w:cs="Arial"/>
          <w:lang w:val="es-ES_tradnl" w:eastAsia="en-US"/>
        </w:rPr>
        <w:t xml:space="preserve"> a</w:t>
      </w:r>
      <w:r w:rsidRPr="003F3B0A">
        <w:rPr>
          <w:rFonts w:ascii="Arial" w:hAnsi="Arial" w:cs="Arial"/>
          <w:lang w:val="es-ES_tradnl" w:eastAsia="en-US"/>
        </w:rPr>
        <w:t>sociado con una disminución de la densidad mineral ósea</w:t>
      </w:r>
      <w:r>
        <w:rPr>
          <w:rFonts w:ascii="Arial" w:hAnsi="Arial" w:cs="Arial"/>
          <w:lang w:val="es-ES_tradnl" w:eastAsia="en-US"/>
        </w:rPr>
        <w:t>.</w:t>
      </w:r>
      <w:r w:rsidRPr="003F3B0A">
        <w:rPr>
          <w:rFonts w:ascii="Arial" w:hAnsi="Arial" w:cs="Arial"/>
          <w:lang w:val="es-ES_tradnl" w:eastAsia="en-US"/>
        </w:rPr>
        <w:t xml:space="preserve"> En un pequeño ensayo clínico aleatorizado en pacientes con osteopenia u osteoporosis, el cambio de TDF a ABC se siguió de un incremento de la densidad mineral ósea en el fémur</w:t>
      </w:r>
      <w:r w:rsidRPr="00B711EF">
        <w:rPr>
          <w:rFonts w:ascii="Arial" w:hAnsi="Arial" w:cs="Arial"/>
          <w:noProof/>
          <w:highlight w:val="yellow"/>
          <w:vertAlign w:val="superscript"/>
          <w:lang w:val="es-ES_tradnl" w:eastAsia="en-US"/>
        </w:rPr>
        <w:t>4</w:t>
      </w:r>
      <w:r w:rsidRPr="003F3B0A">
        <w:rPr>
          <w:rFonts w:ascii="Arial" w:hAnsi="Arial" w:cs="Arial"/>
          <w:lang w:val="es-ES_tradnl" w:eastAsia="en-US"/>
        </w:rPr>
        <w:t>.</w:t>
      </w:r>
    </w:p>
    <w:p w14:paraId="71B9D219"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lastRenderedPageBreak/>
        <w:t>Recomendación</w:t>
      </w:r>
    </w:p>
    <w:p w14:paraId="00BDF3C9" w14:textId="77777777" w:rsidR="00D61AB2" w:rsidRPr="003F3B0A" w:rsidRDefault="00D61AB2" w:rsidP="00D61AB2">
      <w:pPr>
        <w:pStyle w:val="Prrafodelista"/>
        <w:numPr>
          <w:ilvl w:val="0"/>
          <w:numId w:val="32"/>
        </w:numPr>
        <w:spacing w:before="120" w:after="120" w:line="276" w:lineRule="auto"/>
        <w:contextualSpacing w:val="0"/>
        <w:jc w:val="both"/>
        <w:rPr>
          <w:rFonts w:ascii="Arial" w:hAnsi="Arial" w:cs="Arial"/>
          <w:b/>
        </w:rPr>
      </w:pPr>
      <w:r w:rsidRPr="003F3B0A">
        <w:rPr>
          <w:rFonts w:ascii="Arial" w:hAnsi="Arial" w:cs="Arial"/>
        </w:rPr>
        <w:t>En pacientes con osteopenia u osteoporosis asociada al uso de TDF, este fármaco debe suspenderse</w:t>
      </w:r>
      <w:r w:rsidRPr="003073E2">
        <w:rPr>
          <w:rFonts w:ascii="Arial" w:hAnsi="Arial" w:cs="Arial"/>
          <w:highlight w:val="yellow"/>
        </w:rPr>
        <w:t>. El cambio por ABC es adecuado</w:t>
      </w:r>
      <w:r w:rsidRPr="003F3B0A">
        <w:rPr>
          <w:rFonts w:ascii="Arial" w:hAnsi="Arial" w:cs="Arial"/>
        </w:rPr>
        <w:t xml:space="preserve"> </w:t>
      </w:r>
      <w:r w:rsidRPr="003F3B0A">
        <w:rPr>
          <w:rFonts w:ascii="Arial" w:hAnsi="Arial" w:cs="Arial"/>
          <w:b/>
        </w:rPr>
        <w:t>(</w:t>
      </w:r>
      <w:r w:rsidRPr="003F3B0A">
        <w:rPr>
          <w:rFonts w:ascii="Arial" w:hAnsi="Arial" w:cs="Arial"/>
          <w:b/>
          <w:i/>
        </w:rPr>
        <w:t>A-II</w:t>
      </w:r>
      <w:r w:rsidRPr="003F3B0A">
        <w:rPr>
          <w:rFonts w:ascii="Arial" w:hAnsi="Arial" w:cs="Arial"/>
          <w:b/>
        </w:rPr>
        <w:t>)</w:t>
      </w:r>
      <w:r>
        <w:rPr>
          <w:rFonts w:ascii="Arial" w:hAnsi="Arial" w:cs="Arial"/>
          <w:b/>
        </w:rPr>
        <w:t>.</w:t>
      </w:r>
    </w:p>
    <w:p w14:paraId="123E0C50" w14:textId="77777777" w:rsidR="00D61AB2" w:rsidRDefault="00D61AB2" w:rsidP="00D61AB2">
      <w:pPr>
        <w:spacing w:before="120" w:after="120" w:line="276" w:lineRule="auto"/>
        <w:jc w:val="both"/>
        <w:rPr>
          <w:rFonts w:ascii="Arial" w:hAnsi="Arial" w:cs="Arial"/>
          <w:b/>
          <w:bCs/>
          <w:color w:val="AE1C1F"/>
          <w:lang w:val="es-ES_tradnl" w:eastAsia="en-US"/>
        </w:rPr>
      </w:pPr>
    </w:p>
    <w:p w14:paraId="716B0592" w14:textId="77777777" w:rsidR="00D61AB2" w:rsidRPr="005D0A0F" w:rsidRDefault="00D61AB2" w:rsidP="00D61AB2">
      <w:pPr>
        <w:spacing w:before="120" w:after="120" w:line="276" w:lineRule="auto"/>
        <w:jc w:val="both"/>
        <w:rPr>
          <w:rFonts w:ascii="Arial" w:hAnsi="Arial" w:cs="Arial"/>
          <w:b/>
          <w:bCs/>
          <w:color w:val="AE1C1F"/>
          <w:lang w:val="es-ES_tradnl" w:eastAsia="en-US"/>
        </w:rPr>
      </w:pPr>
      <w:r>
        <w:rPr>
          <w:rFonts w:ascii="Arial" w:hAnsi="Arial" w:cs="Arial"/>
          <w:b/>
          <w:bCs/>
          <w:color w:val="AE1C1F"/>
          <w:lang w:val="es-ES_tradnl" w:eastAsia="en-US"/>
        </w:rPr>
        <w:t xml:space="preserve">Cambio de </w:t>
      </w:r>
      <w:r w:rsidRPr="003073E2">
        <w:rPr>
          <w:rFonts w:ascii="Arial" w:hAnsi="Arial" w:cs="Arial"/>
          <w:b/>
          <w:bCs/>
          <w:color w:val="AE1C1F"/>
          <w:highlight w:val="yellow"/>
          <w:lang w:val="es-ES_tradnl" w:eastAsia="en-US"/>
        </w:rPr>
        <w:t>TDF a TAF</w:t>
      </w:r>
    </w:p>
    <w:p w14:paraId="31C19356" w14:textId="69C4C349" w:rsidR="00D61AB2" w:rsidRPr="007D5389" w:rsidRDefault="00D61AB2" w:rsidP="00D61AB2">
      <w:pPr>
        <w:spacing w:before="120" w:after="120" w:line="276" w:lineRule="auto"/>
        <w:jc w:val="both"/>
        <w:rPr>
          <w:rFonts w:ascii="Arial" w:hAnsi="Arial" w:cs="Arial"/>
          <w:highlight w:val="cyan"/>
          <w:lang w:val="es-ES_tradnl" w:eastAsia="en-US"/>
        </w:rPr>
      </w:pPr>
      <w:r w:rsidRPr="003F3B0A">
        <w:rPr>
          <w:rFonts w:ascii="Arial" w:hAnsi="Arial" w:cs="Arial"/>
          <w:b/>
          <w:lang w:val="es-ES_tradnl" w:eastAsia="en-US"/>
        </w:rPr>
        <w:t xml:space="preserve">Fundamento. </w:t>
      </w:r>
      <w:r w:rsidRPr="003073E2">
        <w:rPr>
          <w:rFonts w:ascii="Arial" w:hAnsi="Arial" w:cs="Arial"/>
          <w:highlight w:val="yellow"/>
          <w:lang w:val="es-ES_tradnl" w:eastAsia="en-US"/>
        </w:rPr>
        <w:t>Dos ensayos clínicos aleatorizados y doble ciego muestran que el cambio de TDF por TAF es seguro vi</w:t>
      </w:r>
      <w:r w:rsidR="005748F0">
        <w:rPr>
          <w:rFonts w:ascii="Arial" w:hAnsi="Arial" w:cs="Arial"/>
          <w:highlight w:val="yellow"/>
          <w:lang w:val="es-ES_tradnl" w:eastAsia="en-US"/>
        </w:rPr>
        <w:t xml:space="preserve">rológicamente, demostrándose no </w:t>
      </w:r>
      <w:r w:rsidRPr="003073E2">
        <w:rPr>
          <w:rFonts w:ascii="Arial" w:hAnsi="Arial" w:cs="Arial"/>
          <w:highlight w:val="yellow"/>
          <w:lang w:val="es-ES_tradnl" w:eastAsia="en-US"/>
        </w:rPr>
        <w:t>inferioridad en cuanto a eficacia frente a continuar con el tratamiento previo, y se asocia a un incremento significativo de la densidad mineral ósea en el fémur y columna vertebral, así como de una mejoría en parámetros de función renal y tubular y a un ligero empeoramiento del perfil lipídico</w:t>
      </w:r>
      <w:r w:rsidRPr="003073E2">
        <w:rPr>
          <w:rFonts w:ascii="Arial" w:hAnsi="Arial" w:cs="Arial"/>
          <w:highlight w:val="yellow"/>
          <w:vertAlign w:val="superscript"/>
          <w:lang w:val="es-ES_tradnl" w:eastAsia="en-US"/>
        </w:rPr>
        <w:t>5,6</w:t>
      </w:r>
      <w:r w:rsidRPr="003073E2">
        <w:rPr>
          <w:rFonts w:ascii="Arial" w:hAnsi="Arial" w:cs="Arial"/>
          <w:highlight w:val="yellow"/>
          <w:lang w:val="es-ES_tradnl" w:eastAsia="en-US"/>
        </w:rPr>
        <w:t>. En el primero se incluyen pacientes tratados con TDF/FTC y un tercer fármaco (IP/r en el 47% de los pacientes, ITINN o INI) y se cambia TDF/FTC por TAF/FTC</w:t>
      </w:r>
      <w:r w:rsidRPr="003073E2">
        <w:rPr>
          <w:rFonts w:ascii="Arial" w:hAnsi="Arial" w:cs="Arial"/>
          <w:noProof/>
          <w:highlight w:val="yellow"/>
          <w:vertAlign w:val="superscript"/>
          <w:lang w:val="es-ES_tradnl" w:eastAsia="en-US"/>
        </w:rPr>
        <w:t>5</w:t>
      </w:r>
      <w:r w:rsidRPr="003073E2">
        <w:rPr>
          <w:rFonts w:ascii="Arial" w:hAnsi="Arial" w:cs="Arial"/>
          <w:highlight w:val="yellow"/>
          <w:lang w:val="es-ES_tradnl" w:eastAsia="en-US"/>
        </w:rPr>
        <w:t>. En el segundo se incluyen paciente</w:t>
      </w:r>
      <w:r w:rsidR="005748F0">
        <w:rPr>
          <w:rFonts w:ascii="Arial" w:hAnsi="Arial" w:cs="Arial"/>
          <w:highlight w:val="yellow"/>
          <w:lang w:val="es-ES_tradnl" w:eastAsia="en-US"/>
        </w:rPr>
        <w:t>s</w:t>
      </w:r>
      <w:r w:rsidRPr="003073E2">
        <w:rPr>
          <w:rFonts w:ascii="Arial" w:hAnsi="Arial" w:cs="Arial"/>
          <w:highlight w:val="yellow"/>
          <w:lang w:val="es-ES_tradnl" w:eastAsia="en-US"/>
        </w:rPr>
        <w:t xml:space="preserve"> en tratamiento con RPV/FTC/TDF y se cambia por RPV/FTC/TAF</w:t>
      </w:r>
      <w:r w:rsidRPr="003073E2">
        <w:rPr>
          <w:rFonts w:ascii="Arial" w:hAnsi="Arial" w:cs="Arial"/>
          <w:noProof/>
          <w:highlight w:val="yellow"/>
          <w:vertAlign w:val="superscript"/>
          <w:lang w:val="es-ES_tradnl" w:eastAsia="en-US"/>
        </w:rPr>
        <w:t>6</w:t>
      </w:r>
      <w:r w:rsidRPr="003073E2">
        <w:rPr>
          <w:rFonts w:ascii="Arial" w:hAnsi="Arial" w:cs="Arial"/>
          <w:highlight w:val="yellow"/>
          <w:lang w:val="es-ES_tradnl" w:eastAsia="en-US"/>
        </w:rPr>
        <w:t xml:space="preserve">. </w:t>
      </w:r>
      <w:r w:rsidRPr="003F3B0A">
        <w:rPr>
          <w:rFonts w:ascii="Arial" w:hAnsi="Arial" w:cs="Arial"/>
          <w:color w:val="000000"/>
          <w:lang w:val="es-ES_tradnl" w:eastAsia="en-US"/>
        </w:rPr>
        <w:t>El cambio a TAF/FTC es eficaz para mantener la supresión del VHB en pacientes coinfectados</w:t>
      </w:r>
      <w:r w:rsidRPr="00146467">
        <w:rPr>
          <w:rFonts w:ascii="Arial" w:hAnsi="Arial" w:cs="Arial"/>
          <w:color w:val="000000"/>
          <w:highlight w:val="yellow"/>
          <w:vertAlign w:val="superscript"/>
          <w:lang w:val="es-ES_tradnl" w:eastAsia="en-US"/>
        </w:rPr>
        <w:t>7</w:t>
      </w:r>
      <w:r w:rsidRPr="003F3B0A">
        <w:rPr>
          <w:rFonts w:ascii="Arial" w:hAnsi="Arial" w:cs="Arial"/>
          <w:lang w:val="es-ES_tradnl" w:eastAsia="en-US"/>
        </w:rPr>
        <w:t>.</w:t>
      </w:r>
    </w:p>
    <w:p w14:paraId="6A3E0BA7"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6951F575" w14:textId="77777777" w:rsidR="00D61AB2" w:rsidRPr="003F3B0A" w:rsidRDefault="00D61AB2" w:rsidP="00D61AB2">
      <w:pPr>
        <w:pStyle w:val="Prrafodelista"/>
        <w:numPr>
          <w:ilvl w:val="0"/>
          <w:numId w:val="32"/>
        </w:numPr>
        <w:spacing w:before="120" w:after="120" w:line="276" w:lineRule="auto"/>
        <w:contextualSpacing w:val="0"/>
        <w:jc w:val="both"/>
        <w:rPr>
          <w:rFonts w:ascii="Arial" w:hAnsi="Arial" w:cs="Arial"/>
          <w:b/>
        </w:rPr>
      </w:pPr>
      <w:r w:rsidRPr="003073E2">
        <w:rPr>
          <w:rFonts w:ascii="Arial" w:hAnsi="Arial" w:cs="Arial"/>
          <w:highlight w:val="yellow"/>
        </w:rPr>
        <w:t xml:space="preserve">En pacientes tratados con pautas basadas en TDF y con alteraciones </w:t>
      </w:r>
      <w:r>
        <w:rPr>
          <w:rFonts w:ascii="Arial" w:hAnsi="Arial" w:cs="Arial"/>
          <w:highlight w:val="yellow"/>
        </w:rPr>
        <w:t xml:space="preserve">significativas </w:t>
      </w:r>
      <w:r w:rsidRPr="003073E2">
        <w:rPr>
          <w:rFonts w:ascii="Arial" w:hAnsi="Arial" w:cs="Arial"/>
          <w:highlight w:val="yellow"/>
        </w:rPr>
        <w:t>de la función renal o de la densidad mineral ósea u otros factores de riesgo para desarrollarlas, este fármaco debe suspenderse. El cambio a una pauta basada en TAF es una opción adecuada</w:t>
      </w:r>
      <w:r w:rsidRPr="00127607">
        <w:rPr>
          <w:rFonts w:ascii="Arial" w:hAnsi="Arial" w:cs="Arial"/>
        </w:rPr>
        <w:t xml:space="preserve"> </w:t>
      </w:r>
      <w:r w:rsidRPr="003F3B0A">
        <w:rPr>
          <w:rFonts w:ascii="Arial" w:hAnsi="Arial" w:cs="Arial"/>
          <w:b/>
          <w:i/>
        </w:rPr>
        <w:t>(A-I)</w:t>
      </w:r>
      <w:r>
        <w:rPr>
          <w:rFonts w:ascii="Arial" w:hAnsi="Arial" w:cs="Arial"/>
          <w:b/>
          <w:i/>
        </w:rPr>
        <w:t>.</w:t>
      </w:r>
    </w:p>
    <w:p w14:paraId="08428A02" w14:textId="77777777" w:rsidR="00D61AB2" w:rsidRPr="003F3B0A" w:rsidRDefault="00D61AB2" w:rsidP="00D61AB2">
      <w:pPr>
        <w:spacing w:before="120" w:after="120" w:line="276" w:lineRule="auto"/>
        <w:jc w:val="both"/>
        <w:rPr>
          <w:rFonts w:ascii="Arial" w:hAnsi="Arial" w:cs="Arial"/>
          <w:b/>
          <w:lang w:val="es-ES_tradnl" w:eastAsia="en-US"/>
        </w:rPr>
      </w:pPr>
    </w:p>
    <w:p w14:paraId="7BB535E8" w14:textId="77777777" w:rsidR="00D61AB2" w:rsidRDefault="00D61AB2" w:rsidP="00D61AB2">
      <w:pPr>
        <w:spacing w:before="120" w:after="120" w:line="276" w:lineRule="auto"/>
        <w:jc w:val="both"/>
        <w:rPr>
          <w:rFonts w:ascii="Arial" w:hAnsi="Arial" w:cs="Arial"/>
          <w:b/>
          <w:bCs/>
          <w:i/>
          <w:color w:val="AE1C1F"/>
        </w:rPr>
      </w:pPr>
      <w:r w:rsidRPr="005D0A0F">
        <w:rPr>
          <w:rFonts w:ascii="Arial" w:hAnsi="Arial" w:cs="Arial"/>
          <w:b/>
          <w:bCs/>
          <w:i/>
          <w:color w:val="AE1C1F"/>
        </w:rPr>
        <w:t>4.2.2. Cambio a regímenes basados en ITINN</w:t>
      </w:r>
    </w:p>
    <w:p w14:paraId="71E1F48C" w14:textId="77777777" w:rsidR="00D61AB2" w:rsidRPr="005D0A0F" w:rsidRDefault="00D61AB2" w:rsidP="00D61AB2">
      <w:pPr>
        <w:spacing w:before="120" w:after="120" w:line="276" w:lineRule="auto"/>
        <w:jc w:val="both"/>
        <w:rPr>
          <w:rFonts w:ascii="Arial" w:hAnsi="Arial" w:cs="Arial"/>
          <w:b/>
          <w:bCs/>
          <w:i/>
          <w:color w:val="AE1C1F"/>
        </w:rPr>
      </w:pPr>
    </w:p>
    <w:p w14:paraId="046F9506" w14:textId="77777777" w:rsidR="00D61AB2" w:rsidRPr="003073E2" w:rsidRDefault="00D61AB2" w:rsidP="00D61AB2">
      <w:pPr>
        <w:spacing w:before="120" w:after="120" w:line="276" w:lineRule="auto"/>
        <w:jc w:val="both"/>
        <w:rPr>
          <w:rFonts w:ascii="Arial" w:hAnsi="Arial" w:cs="Arial"/>
          <w:b/>
          <w:bCs/>
          <w:color w:val="AE1C1F"/>
          <w:highlight w:val="yellow"/>
          <w:lang w:val="es-ES_tradnl" w:eastAsia="en-US"/>
        </w:rPr>
      </w:pPr>
      <w:r w:rsidRPr="000A5CD5">
        <w:rPr>
          <w:rFonts w:ascii="Arial" w:hAnsi="Arial" w:cs="Arial"/>
          <w:b/>
          <w:bCs/>
          <w:color w:val="AE1C1F"/>
          <w:highlight w:val="yellow"/>
          <w:lang w:val="es-ES_tradnl" w:eastAsia="en-US"/>
        </w:rPr>
        <w:t xml:space="preserve">Cambio </w:t>
      </w:r>
      <w:r w:rsidRPr="003073E2">
        <w:rPr>
          <w:rFonts w:ascii="Arial" w:hAnsi="Arial" w:cs="Arial"/>
          <w:b/>
          <w:bCs/>
          <w:color w:val="AE1C1F"/>
          <w:highlight w:val="yellow"/>
          <w:lang w:val="es-ES_tradnl" w:eastAsia="en-US"/>
        </w:rPr>
        <w:t>de EFV a RPV</w:t>
      </w:r>
    </w:p>
    <w:p w14:paraId="47B4CBE4" w14:textId="77777777" w:rsidR="00D61AB2" w:rsidRPr="000A5CD5" w:rsidRDefault="00D61AB2" w:rsidP="00D61AB2">
      <w:pPr>
        <w:spacing w:before="120" w:after="120" w:line="276" w:lineRule="auto"/>
        <w:jc w:val="both"/>
        <w:rPr>
          <w:rFonts w:ascii="Arial" w:hAnsi="Arial" w:cs="Arial"/>
          <w:b/>
          <w:highlight w:val="yellow"/>
          <w:lang w:val="es-ES_tradnl" w:eastAsia="en-US"/>
        </w:rPr>
      </w:pPr>
      <w:r w:rsidRPr="003073E2">
        <w:rPr>
          <w:rFonts w:ascii="Arial" w:hAnsi="Arial" w:cs="Arial"/>
          <w:b/>
          <w:highlight w:val="yellow"/>
          <w:lang w:val="es-ES_tradnl" w:eastAsia="en-US"/>
        </w:rPr>
        <w:t xml:space="preserve">Fundamento. </w:t>
      </w:r>
      <w:r w:rsidRPr="003073E2">
        <w:rPr>
          <w:rFonts w:ascii="Arial" w:hAnsi="Arial" w:cs="Arial"/>
          <w:highlight w:val="yellow"/>
          <w:lang w:val="es-ES_tradnl" w:eastAsia="en-US"/>
        </w:rPr>
        <w:t>Dos ensayos clínicos aleatorizados han demostrado que el cambio desde EFV/FTC/TDF a RPV/FTC/TDF</w:t>
      </w:r>
      <w:r w:rsidRPr="003073E2">
        <w:rPr>
          <w:rFonts w:ascii="Arial" w:hAnsi="Arial" w:cs="Arial"/>
          <w:highlight w:val="yellow"/>
          <w:vertAlign w:val="superscript"/>
          <w:lang w:val="es-ES_tradnl" w:eastAsia="en-US"/>
        </w:rPr>
        <w:t>8</w:t>
      </w:r>
      <w:r w:rsidRPr="003073E2">
        <w:rPr>
          <w:rFonts w:ascii="Arial" w:hAnsi="Arial" w:cs="Arial"/>
          <w:highlight w:val="yellow"/>
          <w:lang w:val="es-ES_tradnl" w:eastAsia="en-US"/>
        </w:rPr>
        <w:t xml:space="preserve"> o a RPV/FTC/TAF</w:t>
      </w:r>
      <w:r w:rsidRPr="003073E2">
        <w:rPr>
          <w:rFonts w:ascii="Arial" w:hAnsi="Arial" w:cs="Arial"/>
          <w:highlight w:val="yellow"/>
          <w:vertAlign w:val="superscript"/>
          <w:lang w:val="es-ES_tradnl" w:eastAsia="en-US"/>
        </w:rPr>
        <w:t>9</w:t>
      </w:r>
      <w:r w:rsidRPr="003073E2">
        <w:rPr>
          <w:rFonts w:ascii="Arial" w:hAnsi="Arial" w:cs="Arial"/>
          <w:highlight w:val="yellow"/>
          <w:lang w:val="es-ES_tradnl" w:eastAsia="en-US"/>
        </w:rPr>
        <w:t xml:space="preserve"> es no inferior frente a continuar el tratamiento previo en cuanto a eficacia</w:t>
      </w:r>
      <w:r>
        <w:rPr>
          <w:rFonts w:ascii="Arial" w:hAnsi="Arial" w:cs="Arial"/>
          <w:highlight w:val="yellow"/>
          <w:lang w:val="es-ES_tradnl" w:eastAsia="en-US"/>
        </w:rPr>
        <w:t>. Cuando sólo se cambió</w:t>
      </w:r>
      <w:r w:rsidRPr="003073E2">
        <w:rPr>
          <w:rFonts w:ascii="Arial" w:hAnsi="Arial" w:cs="Arial"/>
          <w:highlight w:val="yellow"/>
          <w:lang w:val="es-ES_tradnl" w:eastAsia="en-US"/>
        </w:rPr>
        <w:t xml:space="preserve"> EFV por RPV mejoró el perfil lipídico y la toxicidad persistente del SNC. Además, el cambio de TDF por TAF se asoció a un incremento de la densidad mineral ósea en el fémur y la </w:t>
      </w:r>
      <w:r w:rsidRPr="003073E2">
        <w:rPr>
          <w:rFonts w:ascii="Arial" w:hAnsi="Arial" w:cs="Arial"/>
          <w:color w:val="000000"/>
          <w:highlight w:val="yellow"/>
          <w:lang w:val="es-ES_tradnl" w:eastAsia="en-US"/>
        </w:rPr>
        <w:t>columna vertebral</w:t>
      </w:r>
      <w:r>
        <w:rPr>
          <w:rFonts w:ascii="Arial" w:hAnsi="Arial" w:cs="Arial"/>
          <w:color w:val="000000"/>
          <w:highlight w:val="yellow"/>
          <w:lang w:val="es-ES_tradnl" w:eastAsia="en-US"/>
        </w:rPr>
        <w:t xml:space="preserve">, así como a </w:t>
      </w:r>
      <w:r w:rsidRPr="000A5CD5">
        <w:rPr>
          <w:rFonts w:ascii="Arial" w:hAnsi="Arial" w:cs="Arial"/>
          <w:color w:val="000000"/>
          <w:highlight w:val="yellow"/>
          <w:lang w:val="es-ES_tradnl" w:eastAsia="en-US"/>
        </w:rPr>
        <w:t xml:space="preserve">una mejoría en parámetros de función renal y tubular. </w:t>
      </w:r>
    </w:p>
    <w:p w14:paraId="7DFEB2F4" w14:textId="77777777" w:rsidR="00D61AB2" w:rsidRPr="000A5CD5" w:rsidRDefault="00D61AB2" w:rsidP="00D61AB2">
      <w:pPr>
        <w:spacing w:before="120" w:after="120" w:line="276" w:lineRule="auto"/>
        <w:jc w:val="both"/>
        <w:rPr>
          <w:rFonts w:ascii="Arial" w:hAnsi="Arial" w:cs="Arial"/>
          <w:strike/>
          <w:lang w:val="es-ES_tradnl" w:eastAsia="en-US"/>
        </w:rPr>
      </w:pPr>
      <w:r w:rsidRPr="000A5CD5">
        <w:rPr>
          <w:rFonts w:ascii="Arial" w:hAnsi="Arial" w:cs="Arial"/>
          <w:highlight w:val="yellow"/>
          <w:lang w:val="es-ES_tradnl" w:eastAsia="en-US"/>
        </w:rPr>
        <w:t>No hay datos para recomendar un cambio proactivo de EFV para evitar la toxicidad del SNC en pacientes sin síntomas del SNC. No hay datos comparativos del cambio de EFV por RPV frente al cambio por otros antirretrovirales que tampoco causan síntomas del SNC.</w:t>
      </w:r>
    </w:p>
    <w:p w14:paraId="2F2445A2"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1D902F98" w14:textId="77777777" w:rsidR="00D61AB2" w:rsidRPr="003073E2"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3073E2">
        <w:rPr>
          <w:rFonts w:ascii="Arial" w:hAnsi="Arial" w:cs="Arial"/>
          <w:highlight w:val="yellow"/>
        </w:rPr>
        <w:lastRenderedPageBreak/>
        <w:t xml:space="preserve">En pacientes con efectos adversos del SNC causados por EFV, éste fármaco debe suspenderse. El cambio a RPV es una opción adecuada </w:t>
      </w:r>
      <w:r w:rsidRPr="003073E2">
        <w:rPr>
          <w:rFonts w:ascii="Arial" w:hAnsi="Arial" w:cs="Arial"/>
          <w:b/>
          <w:i/>
          <w:highlight w:val="yellow"/>
        </w:rPr>
        <w:t>(A-I)</w:t>
      </w:r>
      <w:r>
        <w:rPr>
          <w:rFonts w:ascii="Arial" w:hAnsi="Arial" w:cs="Arial"/>
          <w:b/>
          <w:i/>
          <w:highlight w:val="yellow"/>
        </w:rPr>
        <w:t>.</w:t>
      </w:r>
    </w:p>
    <w:p w14:paraId="3F7EA898" w14:textId="77777777" w:rsidR="00D61AB2" w:rsidRDefault="00D61AB2" w:rsidP="00D61AB2">
      <w:pPr>
        <w:spacing w:before="120" w:after="120" w:line="276" w:lineRule="auto"/>
        <w:jc w:val="both"/>
        <w:rPr>
          <w:rFonts w:ascii="Arial" w:hAnsi="Arial" w:cs="Arial"/>
          <w:b/>
          <w:bCs/>
          <w:color w:val="AE1C1F"/>
          <w:lang w:val="es-ES_tradnl" w:eastAsia="en-US"/>
        </w:rPr>
      </w:pPr>
    </w:p>
    <w:p w14:paraId="7916A8E8" w14:textId="77777777" w:rsidR="00D61AB2" w:rsidRPr="005D0A0F" w:rsidRDefault="00D61AB2" w:rsidP="00D61AB2">
      <w:pPr>
        <w:spacing w:before="120" w:after="120" w:line="276" w:lineRule="auto"/>
        <w:jc w:val="both"/>
        <w:rPr>
          <w:rFonts w:ascii="Arial" w:hAnsi="Arial" w:cs="Arial"/>
          <w:b/>
          <w:bCs/>
          <w:color w:val="AE1C1F"/>
          <w:lang w:val="es-ES_tradnl" w:eastAsia="en-US"/>
        </w:rPr>
      </w:pPr>
      <w:r w:rsidRPr="003073E2">
        <w:rPr>
          <w:rFonts w:ascii="Arial" w:hAnsi="Arial" w:cs="Arial"/>
          <w:b/>
          <w:bCs/>
          <w:color w:val="AE1C1F"/>
          <w:highlight w:val="yellow"/>
          <w:lang w:val="es-ES_tradnl" w:eastAsia="en-US"/>
        </w:rPr>
        <w:t>Cambio de IP/p a RPV o a DOR</w:t>
      </w:r>
    </w:p>
    <w:p w14:paraId="755AB660"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Un ensayo clínico abierto ha demostrado que el cambio desde dos ITIAN más un IP/p a RPV/FTC/TDF es seguro virológicamente y se asocia a una mejoría en </w:t>
      </w:r>
      <w:r>
        <w:rPr>
          <w:rFonts w:ascii="Arial" w:hAnsi="Arial" w:cs="Arial"/>
          <w:lang w:val="es-ES_tradnl" w:eastAsia="en-US"/>
        </w:rPr>
        <w:t>el perfil lipídico (</w:t>
      </w:r>
      <w:r w:rsidRPr="003F3B0A">
        <w:rPr>
          <w:rFonts w:ascii="Arial" w:hAnsi="Arial" w:cs="Arial"/>
          <w:lang w:val="es-ES_tradnl" w:eastAsia="en-US"/>
        </w:rPr>
        <w:t>CT, C-LDL, cociente CT/C-HDL y TG</w:t>
      </w:r>
      <w:r>
        <w:rPr>
          <w:rFonts w:ascii="Arial" w:hAnsi="Arial" w:cs="Arial"/>
          <w:lang w:val="es-ES_tradnl" w:eastAsia="en-US"/>
        </w:rPr>
        <w:t>)</w:t>
      </w:r>
      <w:r w:rsidRPr="003F3B0A">
        <w:rPr>
          <w:rFonts w:ascii="Arial" w:hAnsi="Arial" w:cs="Arial"/>
          <w:lang w:val="es-ES_tradnl" w:eastAsia="en-US"/>
        </w:rPr>
        <w:t xml:space="preserve"> y a una mejoría en los efectos adversos gastrointestinales causados por los IP</w:t>
      </w:r>
      <w:r w:rsidRPr="003F3B0A">
        <w:rPr>
          <w:rFonts w:ascii="Arial" w:hAnsi="Arial" w:cs="Arial"/>
          <w:color w:val="000000"/>
          <w:lang w:val="es-ES_tradnl" w:eastAsia="en-US"/>
        </w:rPr>
        <w:t>/r</w:t>
      </w:r>
      <w:r w:rsidRPr="00671DC3">
        <w:rPr>
          <w:rFonts w:ascii="Arial" w:hAnsi="Arial" w:cs="Arial"/>
          <w:noProof/>
          <w:color w:val="000000"/>
          <w:highlight w:val="yellow"/>
          <w:vertAlign w:val="superscript"/>
          <w:lang w:val="es-ES_tradnl" w:eastAsia="en-US"/>
        </w:rPr>
        <w:t>10</w:t>
      </w:r>
      <w:r w:rsidRPr="003F3B0A">
        <w:rPr>
          <w:rFonts w:ascii="Arial" w:hAnsi="Arial" w:cs="Arial"/>
          <w:color w:val="000000"/>
          <w:lang w:val="es-ES_tradnl" w:eastAsia="en-US"/>
        </w:rPr>
        <w:t>.</w:t>
      </w:r>
    </w:p>
    <w:p w14:paraId="341388DF" w14:textId="77777777" w:rsidR="00D61AB2" w:rsidRDefault="00D61AB2" w:rsidP="00D61AB2">
      <w:pPr>
        <w:spacing w:before="120" w:after="120" w:line="276" w:lineRule="auto"/>
        <w:jc w:val="both"/>
        <w:rPr>
          <w:rFonts w:ascii="Arial" w:hAnsi="Arial" w:cs="Arial"/>
          <w:color w:val="000000"/>
          <w:lang w:val="es-ES_tradnl" w:eastAsia="en-US"/>
        </w:rPr>
      </w:pPr>
      <w:r w:rsidRPr="003F3B0A">
        <w:rPr>
          <w:rFonts w:ascii="Arial" w:hAnsi="Arial" w:cs="Arial"/>
          <w:color w:val="000000"/>
          <w:lang w:val="es-ES_tradnl" w:eastAsia="en-US"/>
        </w:rPr>
        <w:t>No hay ningún ensayo clínico que analice directamente el cambio desde dos ITIAN más un IP/p a RPV/FTC/TAF, pero sí evidencia indirecta, dada la eficacia del cambio desde dos ITIAN más un IP a RPV/FTC/TDF</w:t>
      </w:r>
      <w:r w:rsidRPr="006B0C24">
        <w:rPr>
          <w:rFonts w:ascii="Arial" w:hAnsi="Arial" w:cs="Arial"/>
          <w:color w:val="000000"/>
          <w:highlight w:val="yellow"/>
          <w:vertAlign w:val="superscript"/>
          <w:lang w:val="es-ES_tradnl" w:eastAsia="en-US"/>
        </w:rPr>
        <w:t>10</w:t>
      </w:r>
      <w:r w:rsidRPr="003F3B0A">
        <w:rPr>
          <w:rFonts w:ascii="Arial" w:hAnsi="Arial" w:cs="Arial"/>
          <w:color w:val="000000"/>
          <w:lang w:val="es-ES_tradnl" w:eastAsia="en-US"/>
        </w:rPr>
        <w:t xml:space="preserve"> y de RPV/FTC/TDF a RPV/FTC/TAF</w:t>
      </w:r>
      <w:r w:rsidRPr="006B0C24">
        <w:rPr>
          <w:rFonts w:ascii="Arial" w:hAnsi="Arial" w:cs="Arial"/>
          <w:color w:val="000000"/>
          <w:highlight w:val="yellow"/>
          <w:vertAlign w:val="superscript"/>
          <w:lang w:val="es-ES_tradnl" w:eastAsia="en-US"/>
        </w:rPr>
        <w:t>6</w:t>
      </w:r>
      <w:r w:rsidRPr="003F3B0A">
        <w:rPr>
          <w:rFonts w:ascii="Arial" w:hAnsi="Arial" w:cs="Arial"/>
          <w:color w:val="000000"/>
          <w:lang w:val="es-ES_tradnl" w:eastAsia="en-US"/>
        </w:rPr>
        <w:t>.</w:t>
      </w:r>
    </w:p>
    <w:p w14:paraId="6C76A08F" w14:textId="4831CC74" w:rsidR="00D61AB2" w:rsidRPr="003F3B0A" w:rsidRDefault="00D61AB2" w:rsidP="00D61AB2">
      <w:pPr>
        <w:spacing w:before="120" w:after="120" w:line="276" w:lineRule="auto"/>
        <w:jc w:val="both"/>
        <w:rPr>
          <w:rFonts w:ascii="Arial" w:hAnsi="Arial" w:cs="Arial"/>
          <w:color w:val="000000"/>
          <w:lang w:val="es-ES_tradnl" w:eastAsia="en-US"/>
        </w:rPr>
      </w:pPr>
      <w:r w:rsidRPr="003F3B0A">
        <w:rPr>
          <w:rFonts w:ascii="Arial" w:hAnsi="Arial" w:cs="Arial"/>
          <w:color w:val="000000"/>
          <w:lang w:eastAsia="en-US"/>
        </w:rPr>
        <w:t>Un ensayo clínico aleatorizado</w:t>
      </w:r>
      <w:r w:rsidRPr="00A838FD">
        <w:rPr>
          <w:rFonts w:ascii="Arial" w:hAnsi="Arial" w:cs="Arial"/>
          <w:color w:val="000000"/>
          <w:highlight w:val="yellow"/>
          <w:vertAlign w:val="superscript"/>
          <w:lang w:eastAsia="en-US"/>
        </w:rPr>
        <w:t>11</w:t>
      </w:r>
      <w:r w:rsidRPr="003F3B0A">
        <w:rPr>
          <w:rFonts w:ascii="Arial" w:hAnsi="Arial" w:cs="Arial"/>
          <w:color w:val="000000"/>
          <w:lang w:eastAsia="en-US"/>
        </w:rPr>
        <w:t xml:space="preserve"> ha demostrado que en pacientes con supresión virológica el cambio a DOR/3TC/TDF desde 2 ITIAN más un IP/p, un ITINN o un INI (</w:t>
      </w:r>
      <w:r w:rsidR="005748F0">
        <w:rPr>
          <w:rFonts w:ascii="Arial" w:hAnsi="Arial" w:cs="Arial"/>
          <w:color w:val="000000"/>
          <w:lang w:eastAsia="en-US"/>
        </w:rPr>
        <w:t xml:space="preserve">muy pocos con INI previo) es no </w:t>
      </w:r>
      <w:r w:rsidRPr="003F3B0A">
        <w:rPr>
          <w:rFonts w:ascii="Arial" w:hAnsi="Arial" w:cs="Arial"/>
          <w:color w:val="000000"/>
          <w:lang w:eastAsia="en-US"/>
        </w:rPr>
        <w:t>inferior a continuar con el tratamiento previo. En el subgrupo de pacientes con IP previo, el cambio se asoció a beneficios en el perfil lipídico.</w:t>
      </w:r>
    </w:p>
    <w:p w14:paraId="1DFA8E14" w14:textId="77777777" w:rsidR="00D61AB2" w:rsidRPr="003F3B0A" w:rsidRDefault="00D61AB2" w:rsidP="00D61AB2">
      <w:pPr>
        <w:spacing w:before="120" w:after="120" w:line="276" w:lineRule="auto"/>
        <w:jc w:val="both"/>
        <w:rPr>
          <w:rFonts w:ascii="Arial" w:hAnsi="Arial" w:cs="Arial"/>
          <w:color w:val="AE1C1F"/>
          <w:lang w:val="es-ES_tradnl" w:eastAsia="en-US"/>
        </w:rPr>
      </w:pPr>
      <w:r w:rsidRPr="00CA0B36">
        <w:rPr>
          <w:rFonts w:ascii="Arial" w:hAnsi="Arial" w:cs="Arial"/>
          <w:b/>
          <w:color w:val="AE1C1F"/>
          <w:lang w:val="es-ES_tradnl" w:eastAsia="en-US"/>
        </w:rPr>
        <w:t>Recomendación</w:t>
      </w:r>
    </w:p>
    <w:p w14:paraId="3029601F" w14:textId="77777777" w:rsidR="00D61AB2" w:rsidRPr="00EC534F" w:rsidRDefault="00D61AB2" w:rsidP="00D61AB2">
      <w:pPr>
        <w:pStyle w:val="Prrafodelista"/>
        <w:numPr>
          <w:ilvl w:val="0"/>
          <w:numId w:val="32"/>
        </w:numPr>
        <w:spacing w:before="120" w:after="120" w:line="276" w:lineRule="auto"/>
        <w:contextualSpacing w:val="0"/>
        <w:jc w:val="both"/>
        <w:rPr>
          <w:rFonts w:ascii="Arial" w:hAnsi="Arial" w:cs="Arial"/>
          <w:color w:val="FF0000"/>
          <w:highlight w:val="yellow"/>
        </w:rPr>
      </w:pPr>
      <w:r w:rsidRPr="00EC534F">
        <w:rPr>
          <w:rFonts w:ascii="Arial" w:hAnsi="Arial" w:cs="Arial"/>
          <w:highlight w:val="yellow"/>
        </w:rPr>
        <w:t xml:space="preserve">En pacientes con alteraciones gastrointestinales asociadas a IP/p estos fármacos deben suspenderse. El cambio </w:t>
      </w:r>
      <w:r>
        <w:rPr>
          <w:rFonts w:ascii="Arial" w:hAnsi="Arial" w:cs="Arial"/>
          <w:highlight w:val="yellow"/>
        </w:rPr>
        <w:t xml:space="preserve">de la pauta </w:t>
      </w:r>
      <w:r w:rsidRPr="00EC534F">
        <w:rPr>
          <w:rFonts w:ascii="Arial" w:hAnsi="Arial" w:cs="Arial"/>
          <w:highlight w:val="yellow"/>
        </w:rPr>
        <w:t>a RPV/FTC/TDF (</w:t>
      </w:r>
      <w:r w:rsidRPr="00EC534F">
        <w:rPr>
          <w:rFonts w:ascii="Arial" w:hAnsi="Arial" w:cs="Arial"/>
          <w:b/>
          <w:i/>
          <w:highlight w:val="yellow"/>
        </w:rPr>
        <w:t>A-I</w:t>
      </w:r>
      <w:r w:rsidRPr="00EC534F">
        <w:rPr>
          <w:rFonts w:ascii="Arial" w:hAnsi="Arial" w:cs="Arial"/>
          <w:highlight w:val="yellow"/>
        </w:rPr>
        <w:t>), a RPV/FTC/TAF (</w:t>
      </w:r>
      <w:r w:rsidRPr="00EC534F">
        <w:rPr>
          <w:rFonts w:ascii="Arial" w:hAnsi="Arial" w:cs="Arial"/>
          <w:b/>
          <w:i/>
          <w:highlight w:val="yellow"/>
        </w:rPr>
        <w:t>A-III</w:t>
      </w:r>
      <w:r w:rsidRPr="00EC534F">
        <w:rPr>
          <w:rFonts w:ascii="Arial" w:hAnsi="Arial" w:cs="Arial"/>
          <w:highlight w:val="yellow"/>
        </w:rPr>
        <w:t>) o a DOR/FTC/TDF (</w:t>
      </w:r>
      <w:r w:rsidRPr="00EC534F">
        <w:rPr>
          <w:rFonts w:ascii="Arial" w:hAnsi="Arial" w:cs="Arial"/>
          <w:b/>
          <w:i/>
          <w:highlight w:val="yellow"/>
        </w:rPr>
        <w:t>A-I</w:t>
      </w:r>
      <w:r w:rsidRPr="00EC534F">
        <w:rPr>
          <w:rFonts w:ascii="Arial" w:hAnsi="Arial" w:cs="Arial"/>
          <w:highlight w:val="yellow"/>
        </w:rPr>
        <w:t>) es adecuado.</w:t>
      </w:r>
    </w:p>
    <w:p w14:paraId="3E594A59" w14:textId="77777777" w:rsidR="00D61AB2" w:rsidRPr="00EC534F" w:rsidRDefault="00D61AB2" w:rsidP="00D61AB2">
      <w:pPr>
        <w:pStyle w:val="Prrafodelista"/>
        <w:numPr>
          <w:ilvl w:val="0"/>
          <w:numId w:val="32"/>
        </w:numPr>
        <w:spacing w:before="120" w:after="120" w:line="276" w:lineRule="auto"/>
        <w:contextualSpacing w:val="0"/>
        <w:jc w:val="both"/>
        <w:rPr>
          <w:rFonts w:ascii="Arial" w:hAnsi="Arial" w:cs="Arial"/>
          <w:i/>
          <w:color w:val="FF0000"/>
          <w:highlight w:val="yellow"/>
        </w:rPr>
      </w:pPr>
      <w:r w:rsidRPr="00EC534F">
        <w:rPr>
          <w:rFonts w:ascii="Arial" w:hAnsi="Arial" w:cs="Arial"/>
          <w:highlight w:val="yellow"/>
        </w:rPr>
        <w:t xml:space="preserve">En pacientes con dislipemia asociada a IP/p la suspensión de estos fármacos es una opción terapéutica. El cambio </w:t>
      </w:r>
      <w:r>
        <w:rPr>
          <w:rFonts w:ascii="Arial" w:hAnsi="Arial" w:cs="Arial"/>
          <w:highlight w:val="yellow"/>
        </w:rPr>
        <w:t xml:space="preserve">de la pauta </w:t>
      </w:r>
      <w:r w:rsidRPr="00EC534F">
        <w:rPr>
          <w:rFonts w:ascii="Arial" w:hAnsi="Arial" w:cs="Arial"/>
          <w:highlight w:val="yellow"/>
        </w:rPr>
        <w:t>a RPV/FTC/TDF (</w:t>
      </w:r>
      <w:r w:rsidRPr="00EC534F">
        <w:rPr>
          <w:rFonts w:ascii="Arial" w:hAnsi="Arial" w:cs="Arial"/>
          <w:b/>
          <w:i/>
          <w:highlight w:val="yellow"/>
        </w:rPr>
        <w:t>A-I</w:t>
      </w:r>
      <w:r w:rsidRPr="00EC534F">
        <w:rPr>
          <w:rFonts w:ascii="Arial" w:hAnsi="Arial" w:cs="Arial"/>
          <w:highlight w:val="yellow"/>
        </w:rPr>
        <w:t>), a RPV/FTC/TAF (</w:t>
      </w:r>
      <w:r w:rsidRPr="00EC534F">
        <w:rPr>
          <w:rFonts w:ascii="Arial" w:hAnsi="Arial" w:cs="Arial"/>
          <w:b/>
          <w:i/>
          <w:highlight w:val="yellow"/>
        </w:rPr>
        <w:t>A-III</w:t>
      </w:r>
      <w:r w:rsidRPr="00EC534F">
        <w:rPr>
          <w:rFonts w:ascii="Arial" w:hAnsi="Arial" w:cs="Arial"/>
          <w:highlight w:val="yellow"/>
        </w:rPr>
        <w:t>) o a DOR/FTC/TDF (</w:t>
      </w:r>
      <w:r w:rsidRPr="00EC534F">
        <w:rPr>
          <w:rFonts w:ascii="Arial" w:hAnsi="Arial" w:cs="Arial"/>
          <w:b/>
          <w:i/>
          <w:highlight w:val="yellow"/>
        </w:rPr>
        <w:t>A-I</w:t>
      </w:r>
      <w:r w:rsidRPr="00EC534F">
        <w:rPr>
          <w:rFonts w:ascii="Arial" w:hAnsi="Arial" w:cs="Arial"/>
          <w:highlight w:val="yellow"/>
        </w:rPr>
        <w:t>) es adecuado.</w:t>
      </w:r>
    </w:p>
    <w:p w14:paraId="0285FDF2" w14:textId="77777777" w:rsidR="00D61AB2" w:rsidRPr="003F3B0A" w:rsidRDefault="00D61AB2" w:rsidP="00D61AB2">
      <w:pPr>
        <w:spacing w:before="120" w:after="120" w:line="276" w:lineRule="auto"/>
        <w:jc w:val="both"/>
        <w:rPr>
          <w:rFonts w:ascii="Arial" w:hAnsi="Arial" w:cs="Arial"/>
          <w:i/>
          <w:color w:val="AE1C1F"/>
        </w:rPr>
      </w:pPr>
    </w:p>
    <w:p w14:paraId="696BD692" w14:textId="77777777" w:rsidR="00D61AB2" w:rsidRPr="00200441" w:rsidRDefault="00D61AB2" w:rsidP="00D61AB2">
      <w:pPr>
        <w:spacing w:before="120" w:after="120" w:line="276" w:lineRule="auto"/>
        <w:jc w:val="both"/>
        <w:rPr>
          <w:rFonts w:ascii="Arial" w:hAnsi="Arial" w:cs="Arial"/>
          <w:b/>
          <w:bCs/>
          <w:i/>
          <w:color w:val="AE1C1F"/>
        </w:rPr>
      </w:pPr>
      <w:r w:rsidRPr="00200441">
        <w:rPr>
          <w:rFonts w:ascii="Arial" w:hAnsi="Arial" w:cs="Arial"/>
          <w:b/>
          <w:bCs/>
          <w:i/>
          <w:color w:val="AE1C1F"/>
        </w:rPr>
        <w:t xml:space="preserve">4.2.3. Cambio a regímenes basados en IP/p </w:t>
      </w:r>
    </w:p>
    <w:p w14:paraId="69139EF1" w14:textId="77777777" w:rsidR="00D61AB2" w:rsidRPr="003F3B0A" w:rsidRDefault="00D61AB2" w:rsidP="00D61AB2">
      <w:pPr>
        <w:spacing w:before="120" w:after="120" w:line="276" w:lineRule="auto"/>
        <w:jc w:val="both"/>
        <w:rPr>
          <w:rFonts w:ascii="Arial" w:hAnsi="Arial" w:cs="Arial"/>
          <w:color w:val="000000"/>
        </w:rPr>
      </w:pPr>
      <w:r w:rsidRPr="003F3B0A">
        <w:rPr>
          <w:rFonts w:ascii="Arial" w:hAnsi="Arial" w:cs="Arial"/>
          <w:color w:val="000000"/>
        </w:rPr>
        <w:t>En este escenario, únicamente tenemos evidencia científica del cambio a partir de pautas que ya contienen un IP/p.</w:t>
      </w:r>
    </w:p>
    <w:p w14:paraId="30C576B8" w14:textId="77777777" w:rsidR="00D61AB2" w:rsidRDefault="00D61AB2" w:rsidP="00D61AB2">
      <w:pPr>
        <w:spacing w:before="120" w:after="120" w:line="276" w:lineRule="auto"/>
        <w:jc w:val="both"/>
        <w:rPr>
          <w:rFonts w:ascii="Arial" w:hAnsi="Arial" w:cs="Arial"/>
          <w:b/>
          <w:bCs/>
          <w:color w:val="AE1C1F"/>
          <w:lang w:val="es-ES_tradnl" w:eastAsia="en-US"/>
        </w:rPr>
      </w:pPr>
    </w:p>
    <w:p w14:paraId="22682B4A" w14:textId="77777777" w:rsidR="00D61AB2" w:rsidRPr="00200441" w:rsidRDefault="00D61AB2" w:rsidP="00D61AB2">
      <w:pPr>
        <w:spacing w:before="120" w:after="120" w:line="276" w:lineRule="auto"/>
        <w:jc w:val="both"/>
        <w:rPr>
          <w:rFonts w:ascii="Arial" w:hAnsi="Arial" w:cs="Arial"/>
          <w:b/>
          <w:bCs/>
          <w:color w:val="AE1C1F"/>
          <w:lang w:val="es-ES_tradnl" w:eastAsia="en-US"/>
        </w:rPr>
      </w:pPr>
      <w:r w:rsidRPr="00200441">
        <w:rPr>
          <w:rFonts w:ascii="Arial" w:hAnsi="Arial" w:cs="Arial"/>
          <w:b/>
          <w:bCs/>
          <w:color w:val="AE1C1F"/>
          <w:lang w:val="es-ES_tradnl" w:eastAsia="en-US"/>
        </w:rPr>
        <w:t xml:space="preserve">Cambio de </w:t>
      </w:r>
      <w:r>
        <w:rPr>
          <w:rFonts w:ascii="Arial" w:hAnsi="Arial" w:cs="Arial"/>
          <w:b/>
          <w:bCs/>
          <w:color w:val="AE1C1F"/>
          <w:lang w:val="es-ES_tradnl" w:eastAsia="en-US"/>
        </w:rPr>
        <w:t>IP/p</w:t>
      </w:r>
      <w:r w:rsidRPr="00200441">
        <w:rPr>
          <w:rFonts w:ascii="Arial" w:hAnsi="Arial" w:cs="Arial"/>
          <w:b/>
          <w:bCs/>
          <w:color w:val="AE1C1F"/>
          <w:lang w:val="es-ES_tradnl" w:eastAsia="en-US"/>
        </w:rPr>
        <w:t xml:space="preserve"> a ATV/c o DRV/c</w:t>
      </w:r>
    </w:p>
    <w:p w14:paraId="11518370" w14:textId="77777777" w:rsidR="00D61AB2" w:rsidRPr="003F3B0A" w:rsidRDefault="00D61AB2" w:rsidP="00D61AB2">
      <w:pPr>
        <w:spacing w:before="120" w:after="120" w:line="276" w:lineRule="auto"/>
        <w:jc w:val="both"/>
        <w:rPr>
          <w:rFonts w:ascii="Arial" w:hAnsi="Arial" w:cs="Arial"/>
          <w:color w:val="000000"/>
          <w:lang w:val="es-ES_tradnl" w:eastAsia="en-US"/>
        </w:rPr>
      </w:pPr>
      <w:r w:rsidRPr="003F3B0A">
        <w:rPr>
          <w:rFonts w:ascii="Arial" w:hAnsi="Arial" w:cs="Arial"/>
          <w:b/>
          <w:lang w:val="es-ES_tradnl" w:eastAsia="en-US"/>
        </w:rPr>
        <w:t xml:space="preserve">Fundamento. </w:t>
      </w:r>
      <w:r w:rsidRPr="00DB1100">
        <w:rPr>
          <w:rFonts w:ascii="Arial" w:hAnsi="Arial" w:cs="Arial"/>
          <w:bCs/>
          <w:lang w:val="es-ES_tradnl" w:eastAsia="en-US"/>
        </w:rPr>
        <w:t>Este cambio</w:t>
      </w:r>
      <w:r w:rsidRPr="003F3B0A">
        <w:rPr>
          <w:rFonts w:ascii="Arial" w:hAnsi="Arial" w:cs="Arial"/>
          <w:color w:val="000000"/>
          <w:lang w:val="es-ES_tradnl" w:eastAsia="en-US"/>
        </w:rPr>
        <w:t xml:space="preserve"> de potenciador </w:t>
      </w:r>
      <w:r w:rsidRPr="003F3B0A">
        <w:rPr>
          <w:rFonts w:ascii="Arial" w:hAnsi="Arial" w:cs="Arial"/>
          <w:lang w:val="es-ES_tradnl" w:eastAsia="en-US"/>
        </w:rPr>
        <w:t xml:space="preserve">está basado en los resultados de ATV/c en un ensayo clínico aleatorizado en pacientes </w:t>
      </w:r>
      <w:r w:rsidRPr="003F3B0A">
        <w:rPr>
          <w:rFonts w:ascii="Arial" w:hAnsi="Arial" w:cs="Arial"/>
          <w:i/>
          <w:lang w:val="es-ES_tradnl" w:eastAsia="en-US"/>
        </w:rPr>
        <w:t>naive</w:t>
      </w:r>
      <w:r w:rsidRPr="003F3B0A">
        <w:rPr>
          <w:rFonts w:ascii="Arial" w:hAnsi="Arial" w:cs="Arial"/>
          <w:lang w:val="es-ES_tradnl" w:eastAsia="en-US"/>
        </w:rPr>
        <w:t xml:space="preserve"> y los de DRV/c en un ensayo clínico de brazo único</w:t>
      </w:r>
      <w:r w:rsidRPr="00E96B04">
        <w:rPr>
          <w:rFonts w:ascii="Arial" w:hAnsi="Arial" w:cs="Arial"/>
          <w:noProof/>
          <w:color w:val="000000"/>
          <w:highlight w:val="yellow"/>
          <w:vertAlign w:val="superscript"/>
          <w:lang w:val="es-ES_tradnl" w:eastAsia="en-US"/>
        </w:rPr>
        <w:t>12,13</w:t>
      </w:r>
      <w:r w:rsidRPr="003F3B0A">
        <w:rPr>
          <w:rFonts w:ascii="Arial" w:hAnsi="Arial" w:cs="Arial"/>
          <w:color w:val="000000"/>
          <w:lang w:val="es-ES_tradnl" w:eastAsia="en-US"/>
        </w:rPr>
        <w:t>.</w:t>
      </w:r>
    </w:p>
    <w:p w14:paraId="7F2C1316" w14:textId="77777777" w:rsidR="00D61AB2"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Los resultados de los ensayos de los estudios de bioequivalencia hacen que este comité recomiende el uso indistinto de ATV/c o DRV/c en los escenarios descritos en este capítulo que afectan a ATV/r o DRV/r como parte de regímenes </w:t>
      </w:r>
      <w:r w:rsidRPr="003F3B0A">
        <w:rPr>
          <w:rFonts w:ascii="Arial" w:hAnsi="Arial" w:cs="Arial"/>
          <w:lang w:val="es-ES_tradnl" w:eastAsia="en-US"/>
        </w:rPr>
        <w:lastRenderedPageBreak/>
        <w:t>triples. En regímenes dobles o en monoterap</w:t>
      </w:r>
      <w:r>
        <w:rPr>
          <w:rFonts w:ascii="Arial" w:hAnsi="Arial" w:cs="Arial"/>
          <w:lang w:val="es-ES_tradnl" w:eastAsia="en-US"/>
        </w:rPr>
        <w:t>ia</w:t>
      </w:r>
      <w:r w:rsidRPr="003F3B0A">
        <w:rPr>
          <w:rFonts w:ascii="Arial" w:hAnsi="Arial" w:cs="Arial"/>
          <w:lang w:val="es-ES_tradnl" w:eastAsia="en-US"/>
        </w:rPr>
        <w:t xml:space="preserve"> </w:t>
      </w:r>
      <w:r w:rsidRPr="003F3B0A">
        <w:rPr>
          <w:rFonts w:ascii="Arial" w:hAnsi="Arial"/>
        </w:rPr>
        <w:t>no hay ensayos clínicos del cambio de ATV/r o DRV/r a ATV/c o DRV/c pero algunos estudios de cohorte han mostrado que el cambio de DRV/r a DRV/c es seguro y se mantiene la eficacia en el control de la replicación viral</w:t>
      </w:r>
      <w:r w:rsidRPr="001E495B">
        <w:rPr>
          <w:rFonts w:ascii="Arial" w:hAnsi="Arial"/>
          <w:highlight w:val="yellow"/>
          <w:vertAlign w:val="superscript"/>
        </w:rPr>
        <w:t>14-16</w:t>
      </w:r>
      <w:r w:rsidRPr="003F3B0A">
        <w:rPr>
          <w:rFonts w:ascii="Arial" w:hAnsi="Arial" w:cs="Arial"/>
          <w:lang w:val="es-ES_tradnl" w:eastAsia="en-US"/>
        </w:rPr>
        <w:t xml:space="preserve">. </w:t>
      </w:r>
    </w:p>
    <w:p w14:paraId="58E5240F" w14:textId="77777777" w:rsidR="00D61AB2"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Deben revisarse en todo caso las posibles interacciones con otros fármacos puesto que no son idénticas con RTV y con COBI.</w:t>
      </w:r>
    </w:p>
    <w:p w14:paraId="69A53108"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Un ensayo clínico </w:t>
      </w:r>
      <w:r w:rsidRPr="003F3B0A">
        <w:rPr>
          <w:rFonts w:ascii="Arial" w:hAnsi="Arial" w:cs="Arial"/>
          <w:color w:val="000000"/>
          <w:lang w:val="es-ES_tradnl" w:eastAsia="en-US"/>
        </w:rPr>
        <w:t>aleatorizado</w:t>
      </w:r>
      <w:r w:rsidRPr="001E495B">
        <w:rPr>
          <w:rFonts w:ascii="Arial" w:hAnsi="Arial" w:cs="Arial"/>
          <w:noProof/>
          <w:color w:val="000000"/>
          <w:highlight w:val="yellow"/>
          <w:vertAlign w:val="superscript"/>
          <w:lang w:val="es-ES_tradnl" w:eastAsia="en-US"/>
        </w:rPr>
        <w:t>17</w:t>
      </w:r>
      <w:r w:rsidRPr="003F3B0A">
        <w:rPr>
          <w:rFonts w:ascii="Arial" w:hAnsi="Arial" w:cs="Arial"/>
          <w:lang w:val="es-ES_tradnl" w:eastAsia="en-US"/>
        </w:rPr>
        <w:t xml:space="preserve"> ha demostrado que en pacientes sin fracasos previos a DRV y sin historia de resistencia a DRV, </w:t>
      </w:r>
      <w:r w:rsidRPr="003F3B0A">
        <w:rPr>
          <w:rFonts w:ascii="Arial" w:hAnsi="Arial" w:cs="Arial"/>
          <w:color w:val="000000"/>
          <w:lang w:val="es-ES_tradnl" w:eastAsia="en-US"/>
        </w:rPr>
        <w:t>aunque con posibles fallos virológicos a otras pautas,</w:t>
      </w:r>
      <w:r w:rsidRPr="003F3B0A">
        <w:rPr>
          <w:rFonts w:ascii="Arial" w:hAnsi="Arial" w:cs="Arial"/>
          <w:lang w:val="es-ES_tradnl" w:eastAsia="en-US"/>
        </w:rPr>
        <w:t xml:space="preserve"> el cambio de IP/p+TDF</w:t>
      </w:r>
      <w:r>
        <w:rPr>
          <w:rFonts w:ascii="Arial" w:hAnsi="Arial" w:cs="Arial"/>
          <w:lang w:val="es-ES_tradnl" w:eastAsia="en-US"/>
        </w:rPr>
        <w:t>/FTC</w:t>
      </w:r>
      <w:r w:rsidRPr="003F3B0A">
        <w:rPr>
          <w:rFonts w:ascii="Arial" w:hAnsi="Arial" w:cs="Arial"/>
          <w:lang w:val="es-ES_tradnl" w:eastAsia="en-US"/>
        </w:rPr>
        <w:t xml:space="preserve"> a DRV/c/FTC/TAF es virológicamente seguro y se asocia a disminución de proteinuria y mejoría de la densidad mineral ósea</w:t>
      </w:r>
      <w:r>
        <w:rPr>
          <w:rFonts w:ascii="Arial" w:hAnsi="Arial" w:cs="Arial"/>
          <w:lang w:val="es-ES_tradnl" w:eastAsia="en-US"/>
        </w:rPr>
        <w:t>.</w:t>
      </w:r>
    </w:p>
    <w:p w14:paraId="0156FB18"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00EB6C83" w14:textId="77777777" w:rsidR="00D61AB2" w:rsidRPr="00EC534F"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EC534F">
        <w:rPr>
          <w:rFonts w:ascii="Arial" w:hAnsi="Arial" w:cs="Arial"/>
          <w:highlight w:val="yellow"/>
        </w:rPr>
        <w:t>En pacientes tratados con IP/p con riesgo de adherencia selectiva o deseo de reducir el número de comprimidos el cambio de la pauta es una opción terapéutica. El cambio de ATV/r a ATV/c, de DRV/r a DRV/c y de cualquier IP/p + 2 ITIAN a DRV/c/FTC/TAF son opciones adecuadas (</w:t>
      </w:r>
      <w:r w:rsidRPr="00EC534F">
        <w:rPr>
          <w:rFonts w:ascii="Arial" w:hAnsi="Arial" w:cs="Arial"/>
          <w:b/>
          <w:bCs/>
          <w:i/>
          <w:iCs/>
          <w:highlight w:val="yellow"/>
        </w:rPr>
        <w:t>A-I</w:t>
      </w:r>
      <w:r w:rsidRPr="00EC534F">
        <w:rPr>
          <w:rFonts w:ascii="Arial" w:hAnsi="Arial" w:cs="Arial"/>
          <w:highlight w:val="yellow"/>
        </w:rPr>
        <w:t>).</w:t>
      </w:r>
    </w:p>
    <w:p w14:paraId="62AE982F" w14:textId="77777777" w:rsidR="00D61AB2" w:rsidRPr="003F3B0A" w:rsidRDefault="00D61AB2" w:rsidP="00D61AB2">
      <w:pPr>
        <w:spacing w:before="120" w:after="120" w:line="276" w:lineRule="auto"/>
        <w:jc w:val="both"/>
        <w:rPr>
          <w:rFonts w:ascii="Arial" w:hAnsi="Arial" w:cs="Arial"/>
          <w:b/>
          <w:strike/>
          <w:color w:val="006600"/>
          <w:lang w:val="es-ES_tradnl" w:eastAsia="en-US"/>
        </w:rPr>
      </w:pPr>
    </w:p>
    <w:p w14:paraId="5F112A0F" w14:textId="77777777" w:rsidR="00D61AB2" w:rsidRPr="00200441" w:rsidRDefault="00D61AB2" w:rsidP="00D61AB2">
      <w:pPr>
        <w:spacing w:before="120" w:after="120" w:line="276" w:lineRule="auto"/>
        <w:jc w:val="both"/>
        <w:rPr>
          <w:rFonts w:ascii="Arial" w:hAnsi="Arial" w:cs="Arial"/>
          <w:b/>
          <w:bCs/>
          <w:i/>
          <w:color w:val="AE1C1F"/>
        </w:rPr>
      </w:pPr>
      <w:r w:rsidRPr="00200441">
        <w:rPr>
          <w:rFonts w:ascii="Arial" w:hAnsi="Arial" w:cs="Arial"/>
          <w:b/>
          <w:bCs/>
          <w:i/>
          <w:color w:val="AE1C1F"/>
        </w:rPr>
        <w:t xml:space="preserve">4.2.4. Cambio a regímenes basados en INI </w:t>
      </w:r>
    </w:p>
    <w:p w14:paraId="30877105" w14:textId="77777777" w:rsidR="00D61AB2" w:rsidRDefault="00D61AB2" w:rsidP="00D61AB2">
      <w:pPr>
        <w:spacing w:before="120" w:after="120" w:line="276" w:lineRule="auto"/>
        <w:jc w:val="both"/>
        <w:rPr>
          <w:rFonts w:ascii="Arial" w:hAnsi="Arial" w:cs="Arial"/>
          <w:b/>
          <w:bCs/>
          <w:color w:val="AE1C1F"/>
        </w:rPr>
      </w:pPr>
    </w:p>
    <w:p w14:paraId="5707920D" w14:textId="77777777" w:rsidR="00D61AB2" w:rsidRPr="00200441" w:rsidRDefault="00D61AB2" w:rsidP="00D61AB2">
      <w:pPr>
        <w:spacing w:before="120" w:after="120" w:line="276" w:lineRule="auto"/>
        <w:jc w:val="both"/>
        <w:rPr>
          <w:rFonts w:ascii="Arial" w:hAnsi="Arial" w:cs="Arial"/>
          <w:b/>
          <w:bCs/>
          <w:color w:val="AE1C1F"/>
        </w:rPr>
      </w:pPr>
      <w:r w:rsidRPr="00200441">
        <w:rPr>
          <w:rFonts w:ascii="Arial" w:hAnsi="Arial" w:cs="Arial"/>
          <w:b/>
          <w:bCs/>
          <w:color w:val="AE1C1F"/>
        </w:rPr>
        <w:t>4.2.4.1. Cambio a regímenes basados en raltegravir</w:t>
      </w:r>
    </w:p>
    <w:p w14:paraId="587AD044" w14:textId="77777777" w:rsidR="00D61AB2" w:rsidRDefault="00D61AB2" w:rsidP="00D61AB2">
      <w:pPr>
        <w:spacing w:before="120" w:after="120" w:line="276" w:lineRule="auto"/>
        <w:jc w:val="both"/>
        <w:rPr>
          <w:rFonts w:ascii="Arial" w:hAnsi="Arial" w:cs="Arial"/>
          <w:b/>
          <w:bCs/>
          <w:color w:val="AE1C1F"/>
          <w:lang w:val="es-ES_tradnl" w:eastAsia="en-US"/>
        </w:rPr>
      </w:pPr>
    </w:p>
    <w:p w14:paraId="7A94AED8" w14:textId="77777777" w:rsidR="00D61AB2" w:rsidRPr="00200441" w:rsidRDefault="00D61AB2" w:rsidP="00D61AB2">
      <w:pPr>
        <w:spacing w:before="120" w:after="120" w:line="276" w:lineRule="auto"/>
        <w:jc w:val="both"/>
        <w:rPr>
          <w:rFonts w:ascii="Arial" w:hAnsi="Arial" w:cs="Arial"/>
          <w:b/>
          <w:bCs/>
          <w:color w:val="AE1C1F"/>
          <w:lang w:val="es-ES_tradnl" w:eastAsia="en-US"/>
        </w:rPr>
      </w:pPr>
      <w:r w:rsidRPr="00200441">
        <w:rPr>
          <w:rFonts w:ascii="Arial" w:hAnsi="Arial" w:cs="Arial"/>
          <w:b/>
          <w:bCs/>
          <w:color w:val="AE1C1F"/>
          <w:lang w:val="es-ES_tradnl" w:eastAsia="en-US"/>
        </w:rPr>
        <w:t>Cambio de EFV a RAL</w:t>
      </w:r>
    </w:p>
    <w:p w14:paraId="3504951F" w14:textId="77777777" w:rsidR="00D61AB2" w:rsidRPr="003F3B0A" w:rsidRDefault="00D61AB2" w:rsidP="00D61AB2">
      <w:pPr>
        <w:spacing w:before="120" w:after="120" w:line="276" w:lineRule="auto"/>
        <w:jc w:val="both"/>
        <w:rPr>
          <w:rFonts w:ascii="Arial" w:hAnsi="Arial" w:cs="Arial"/>
          <w:color w:val="000000"/>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En pacientes que toleran EFV, un ensayo clínico aleatorizado y doble ciego ha demostrado que el cambio de EFV a RAL mejora los niveles de lípidos (CT, C-LDL, TG) y </w:t>
      </w:r>
      <w:r w:rsidRPr="00EE088A">
        <w:rPr>
          <w:rFonts w:ascii="Arial" w:hAnsi="Arial" w:cs="Arial"/>
          <w:lang w:val="es-ES_tradnl" w:eastAsia="en-US"/>
        </w:rPr>
        <w:t xml:space="preserve">en algunos pacientes mejora los </w:t>
      </w:r>
      <w:r w:rsidRPr="00EE088A">
        <w:rPr>
          <w:rFonts w:ascii="Arial" w:hAnsi="Arial" w:cs="Arial"/>
          <w:i/>
          <w:lang w:val="es-ES_tradnl" w:eastAsia="en-US"/>
        </w:rPr>
        <w:t>scores</w:t>
      </w:r>
      <w:r w:rsidRPr="00EE088A">
        <w:rPr>
          <w:rFonts w:ascii="Arial" w:hAnsi="Arial" w:cs="Arial"/>
          <w:lang w:val="es-ES_tradnl" w:eastAsia="en-US"/>
        </w:rPr>
        <w:t xml:space="preserve"> de ansiedad y de estrés, manteniendo la supresión </w:t>
      </w:r>
      <w:r w:rsidRPr="00EE088A">
        <w:rPr>
          <w:rFonts w:ascii="Arial" w:hAnsi="Arial" w:cs="Arial"/>
          <w:color w:val="000000"/>
          <w:lang w:val="es-ES_tradnl" w:eastAsia="en-US"/>
        </w:rPr>
        <w:t>virológica</w:t>
      </w:r>
      <w:r w:rsidRPr="00A9727D">
        <w:rPr>
          <w:rFonts w:ascii="Arial" w:hAnsi="Arial" w:cs="Arial"/>
          <w:noProof/>
          <w:color w:val="000000"/>
          <w:highlight w:val="yellow"/>
          <w:vertAlign w:val="superscript"/>
          <w:lang w:val="es-ES_tradnl" w:eastAsia="en-US"/>
        </w:rPr>
        <w:t>18</w:t>
      </w:r>
      <w:r w:rsidRPr="00EE088A">
        <w:rPr>
          <w:rFonts w:ascii="Arial" w:hAnsi="Arial" w:cs="Arial"/>
          <w:color w:val="000000"/>
          <w:lang w:val="es-ES_tradnl" w:eastAsia="en-US"/>
        </w:rPr>
        <w:t xml:space="preserve">. </w:t>
      </w:r>
      <w:r w:rsidRPr="00EE088A">
        <w:rPr>
          <w:rFonts w:ascii="Arial" w:hAnsi="Arial" w:cs="Arial"/>
          <w:lang w:val="es-ES_tradnl" w:eastAsia="en-US"/>
        </w:rPr>
        <w:t>No hay datos para recomendar un cambio proactivo de EFV para evitar la toxicidad del SNC en pacientes sin síntomas del SNC. No</w:t>
      </w:r>
      <w:r w:rsidRPr="003F3B0A">
        <w:rPr>
          <w:rFonts w:ascii="Arial" w:hAnsi="Arial" w:cs="Arial"/>
          <w:lang w:val="es-ES_tradnl" w:eastAsia="en-US"/>
        </w:rPr>
        <w:t xml:space="preserve"> hay datos comparativos del cambio de EFV por RAL frente al cambio por otros antirretrovirales que tampoco causan síntomas del SNC.</w:t>
      </w:r>
    </w:p>
    <w:p w14:paraId="0BD99B75" w14:textId="77777777" w:rsidR="00D61AB2" w:rsidRPr="003F3B0A" w:rsidRDefault="00D61AB2" w:rsidP="00D61AB2">
      <w:pPr>
        <w:spacing w:before="120" w:after="120" w:line="276" w:lineRule="auto"/>
        <w:jc w:val="both"/>
        <w:rPr>
          <w:rFonts w:ascii="Arial" w:hAnsi="Arial" w:cs="Arial"/>
          <w:color w:val="AE1C1F"/>
          <w:lang w:val="es-ES_tradnl" w:eastAsia="en-US"/>
        </w:rPr>
      </w:pPr>
      <w:r w:rsidRPr="003F3B0A">
        <w:rPr>
          <w:rFonts w:ascii="Arial" w:hAnsi="Arial" w:cs="Arial"/>
          <w:b/>
          <w:color w:val="AE1C1F"/>
          <w:lang w:val="es-ES_tradnl" w:eastAsia="en-US"/>
        </w:rPr>
        <w:t>Recomendaciones</w:t>
      </w:r>
    </w:p>
    <w:p w14:paraId="362D9F23" w14:textId="77777777" w:rsidR="00D61AB2" w:rsidRPr="00EC534F"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EC534F">
        <w:rPr>
          <w:rFonts w:ascii="Arial" w:hAnsi="Arial" w:cs="Arial"/>
          <w:highlight w:val="yellow"/>
        </w:rPr>
        <w:t xml:space="preserve">En pacientes con efectos adversos del SNC causados por EFV, éste fármaco debe suspenderse. El cambio a RAL es una opción adecuada </w:t>
      </w:r>
      <w:r w:rsidRPr="00EC534F">
        <w:rPr>
          <w:rFonts w:ascii="Arial" w:hAnsi="Arial" w:cs="Arial"/>
          <w:b/>
          <w:i/>
          <w:highlight w:val="yellow"/>
        </w:rPr>
        <w:t>(A-I)</w:t>
      </w:r>
      <w:r>
        <w:rPr>
          <w:rFonts w:ascii="Arial" w:hAnsi="Arial" w:cs="Arial"/>
          <w:b/>
          <w:i/>
          <w:highlight w:val="yellow"/>
        </w:rPr>
        <w:t>.</w:t>
      </w:r>
    </w:p>
    <w:p w14:paraId="0F3ECE12" w14:textId="77777777" w:rsidR="00D61AB2" w:rsidRDefault="00D61AB2" w:rsidP="00D61AB2">
      <w:pPr>
        <w:spacing w:before="120" w:after="120" w:line="276" w:lineRule="auto"/>
        <w:jc w:val="both"/>
        <w:rPr>
          <w:rFonts w:ascii="Arial" w:hAnsi="Arial" w:cs="Arial"/>
          <w:b/>
          <w:bCs/>
          <w:color w:val="AE1C1F"/>
          <w:lang w:val="es-ES_tradnl" w:eastAsia="en-US"/>
        </w:rPr>
      </w:pPr>
    </w:p>
    <w:p w14:paraId="77743F89" w14:textId="77777777" w:rsidR="00D61AB2" w:rsidRPr="00200441" w:rsidRDefault="00D61AB2" w:rsidP="00D61AB2">
      <w:pPr>
        <w:spacing w:before="120" w:after="120" w:line="276" w:lineRule="auto"/>
        <w:jc w:val="both"/>
        <w:rPr>
          <w:rFonts w:ascii="Arial" w:hAnsi="Arial" w:cs="Arial"/>
          <w:b/>
          <w:bCs/>
          <w:color w:val="AE1C1F"/>
          <w:lang w:val="es-ES_tradnl" w:eastAsia="en-US"/>
        </w:rPr>
      </w:pPr>
      <w:r w:rsidRPr="00200441">
        <w:rPr>
          <w:rFonts w:ascii="Arial" w:hAnsi="Arial" w:cs="Arial"/>
          <w:b/>
          <w:bCs/>
          <w:color w:val="AE1C1F"/>
          <w:lang w:val="es-ES_tradnl" w:eastAsia="en-US"/>
        </w:rPr>
        <w:t>Cambio de IP/p a RAL</w:t>
      </w:r>
    </w:p>
    <w:p w14:paraId="41B6510C"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3F3B0A">
        <w:rPr>
          <w:rFonts w:ascii="Arial" w:hAnsi="Arial" w:cs="Arial"/>
          <w:lang w:val="es-ES_tradnl" w:eastAsia="en-US"/>
        </w:rPr>
        <w:t xml:space="preserve">Tres ensayos clínicos aleatorizados han demostrado que el cambio de IP/p a RAL es seguro virológicamente si los dos ITIAN son completamente activos. El cambio se asocia en una mejoría de los niveles de </w:t>
      </w:r>
      <w:r w:rsidRPr="003F3B0A">
        <w:rPr>
          <w:rFonts w:ascii="Arial" w:hAnsi="Arial" w:cs="Arial"/>
          <w:lang w:val="es-ES_tradnl" w:eastAsia="en-US"/>
        </w:rPr>
        <w:lastRenderedPageBreak/>
        <w:t xml:space="preserve">CT, C-LDL, cociente CT/C-HDL </w:t>
      </w:r>
      <w:r w:rsidRPr="003F3B0A">
        <w:rPr>
          <w:rFonts w:ascii="Arial" w:hAnsi="Arial" w:cs="Arial"/>
          <w:color w:val="000000"/>
          <w:lang w:val="es-ES_tradnl" w:eastAsia="en-US"/>
        </w:rPr>
        <w:t>y TG</w:t>
      </w:r>
      <w:r w:rsidRPr="00A9727D">
        <w:rPr>
          <w:rFonts w:ascii="Arial" w:hAnsi="Arial" w:cs="Arial"/>
          <w:noProof/>
          <w:color w:val="000000"/>
          <w:highlight w:val="yellow"/>
          <w:vertAlign w:val="superscript"/>
          <w:lang w:val="es-ES_tradnl" w:eastAsia="en-US"/>
        </w:rPr>
        <w:t>19,20</w:t>
      </w:r>
      <w:r w:rsidRPr="003F3B0A">
        <w:rPr>
          <w:rFonts w:ascii="Arial" w:hAnsi="Arial" w:cs="Arial"/>
          <w:color w:val="000000"/>
          <w:lang w:val="es-ES_tradnl" w:eastAsia="en-US"/>
        </w:rPr>
        <w:t>. Los</w:t>
      </w:r>
      <w:r w:rsidRPr="003F3B0A">
        <w:rPr>
          <w:rFonts w:ascii="Arial" w:hAnsi="Arial" w:cs="Arial"/>
          <w:lang w:val="es-ES_tradnl" w:eastAsia="en-US"/>
        </w:rPr>
        <w:t xml:space="preserve"> resultados del estudio </w:t>
      </w:r>
      <w:r w:rsidRPr="003F3B0A">
        <w:rPr>
          <w:rFonts w:ascii="Arial" w:hAnsi="Arial" w:cs="Arial"/>
          <w:color w:val="000000"/>
          <w:lang w:val="es-ES_tradnl" w:eastAsia="en-US"/>
        </w:rPr>
        <w:t>SPIRAL</w:t>
      </w:r>
      <w:r w:rsidRPr="00A9727D">
        <w:rPr>
          <w:rFonts w:ascii="Arial" w:hAnsi="Arial" w:cs="Arial"/>
          <w:noProof/>
          <w:color w:val="000000"/>
          <w:highlight w:val="yellow"/>
          <w:vertAlign w:val="superscript"/>
          <w:lang w:val="es-ES_tradnl" w:eastAsia="en-US"/>
        </w:rPr>
        <w:t>20</w:t>
      </w:r>
      <w:r w:rsidRPr="003F3B0A">
        <w:rPr>
          <w:rFonts w:ascii="Arial" w:hAnsi="Arial" w:cs="Arial"/>
          <w:color w:val="000000"/>
          <w:lang w:val="es-ES_tradnl" w:eastAsia="en-US"/>
        </w:rPr>
        <w:t xml:space="preserve"> sugieren</w:t>
      </w:r>
      <w:r w:rsidRPr="003F3B0A">
        <w:rPr>
          <w:rFonts w:ascii="Arial" w:hAnsi="Arial" w:cs="Arial"/>
          <w:lang w:val="es-ES_tradnl" w:eastAsia="en-US"/>
        </w:rPr>
        <w:t xml:space="preserve"> que si el tiempo de supresión viral es muy prolongado, el riesgo de fracaso virológico es menor, independientemente de la actividad de los ITIAN. </w:t>
      </w:r>
    </w:p>
    <w:p w14:paraId="0A5010F4" w14:textId="77777777" w:rsidR="00D61AB2" w:rsidRPr="003F3B0A" w:rsidRDefault="00D61AB2" w:rsidP="00D61AB2">
      <w:pPr>
        <w:spacing w:before="120" w:after="120" w:line="276" w:lineRule="auto"/>
        <w:jc w:val="both"/>
        <w:rPr>
          <w:rFonts w:ascii="Arial" w:hAnsi="Arial" w:cs="Arial"/>
          <w:color w:val="AE1C1F"/>
          <w:lang w:val="es-ES_tradnl" w:eastAsia="en-US"/>
        </w:rPr>
      </w:pPr>
      <w:r w:rsidRPr="003F3B0A">
        <w:rPr>
          <w:rFonts w:ascii="Arial" w:hAnsi="Arial" w:cs="Arial"/>
          <w:b/>
          <w:color w:val="AE1C1F"/>
          <w:lang w:val="es-ES_tradnl" w:eastAsia="en-US"/>
        </w:rPr>
        <w:t>Recomendación</w:t>
      </w:r>
    </w:p>
    <w:p w14:paraId="3CA72114" w14:textId="77777777" w:rsidR="00D61AB2" w:rsidRPr="00EC534F" w:rsidRDefault="00D61AB2" w:rsidP="00D61AB2">
      <w:pPr>
        <w:pStyle w:val="Prrafodelista"/>
        <w:numPr>
          <w:ilvl w:val="0"/>
          <w:numId w:val="32"/>
        </w:numPr>
        <w:spacing w:before="120" w:after="120" w:line="276" w:lineRule="auto"/>
        <w:contextualSpacing w:val="0"/>
        <w:jc w:val="both"/>
        <w:rPr>
          <w:rFonts w:ascii="Arial" w:hAnsi="Arial" w:cs="Arial"/>
          <w:color w:val="AE1C1F"/>
          <w:highlight w:val="yellow"/>
        </w:rPr>
      </w:pPr>
      <w:r w:rsidRPr="00EC534F">
        <w:rPr>
          <w:rFonts w:ascii="Arial" w:hAnsi="Arial" w:cs="Arial"/>
          <w:highlight w:val="yellow"/>
        </w:rPr>
        <w:t>En pacientes tratados con IP/p y dislipemia la suspensión del IP/p es una opción terapéutica. El cambio a una pauta basada en RAL es una opción adecuada (</w:t>
      </w:r>
      <w:r w:rsidRPr="00EC534F">
        <w:rPr>
          <w:rFonts w:ascii="Arial" w:hAnsi="Arial" w:cs="Arial"/>
          <w:b/>
          <w:bCs/>
          <w:i/>
          <w:iCs/>
          <w:highlight w:val="yellow"/>
        </w:rPr>
        <w:t>A-I</w:t>
      </w:r>
      <w:r w:rsidRPr="00EC534F">
        <w:rPr>
          <w:rFonts w:ascii="Arial" w:hAnsi="Arial" w:cs="Arial"/>
          <w:highlight w:val="yellow"/>
        </w:rPr>
        <w:t>)</w:t>
      </w:r>
      <w:r>
        <w:rPr>
          <w:rFonts w:ascii="Arial" w:hAnsi="Arial" w:cs="Arial"/>
          <w:highlight w:val="yellow"/>
        </w:rPr>
        <w:t>.</w:t>
      </w:r>
      <w:r w:rsidRPr="00EC534F">
        <w:rPr>
          <w:rFonts w:ascii="Arial" w:hAnsi="Arial" w:cs="Arial"/>
          <w:highlight w:val="yellow"/>
        </w:rPr>
        <w:t xml:space="preserve"> </w:t>
      </w:r>
    </w:p>
    <w:p w14:paraId="72ACDE32" w14:textId="77777777" w:rsidR="00D61AB2" w:rsidRPr="000151E2" w:rsidRDefault="00D61AB2" w:rsidP="00D61AB2">
      <w:pPr>
        <w:spacing w:before="120" w:after="120" w:line="276" w:lineRule="auto"/>
        <w:ind w:left="360"/>
        <w:jc w:val="both"/>
        <w:rPr>
          <w:rFonts w:ascii="Arial" w:hAnsi="Arial" w:cs="Arial"/>
          <w:color w:val="AE1C1F"/>
        </w:rPr>
      </w:pPr>
    </w:p>
    <w:p w14:paraId="6CD50D83" w14:textId="77777777" w:rsidR="00D61AB2" w:rsidRPr="00200441" w:rsidRDefault="00D61AB2" w:rsidP="00D61AB2">
      <w:pPr>
        <w:spacing w:before="120" w:after="120" w:line="276" w:lineRule="auto"/>
        <w:jc w:val="both"/>
        <w:rPr>
          <w:rFonts w:ascii="Arial" w:hAnsi="Arial" w:cs="Arial"/>
          <w:b/>
          <w:bCs/>
          <w:color w:val="AE1C1F"/>
        </w:rPr>
      </w:pPr>
      <w:r w:rsidRPr="00200441">
        <w:rPr>
          <w:rFonts w:ascii="Arial" w:hAnsi="Arial" w:cs="Arial"/>
          <w:b/>
          <w:bCs/>
          <w:color w:val="AE1C1F"/>
        </w:rPr>
        <w:t>4.2.4.2. Cambio a EVG/c/</w:t>
      </w:r>
      <w:r>
        <w:rPr>
          <w:rFonts w:ascii="Arial" w:hAnsi="Arial" w:cs="Arial"/>
          <w:b/>
          <w:bCs/>
          <w:color w:val="AE1C1F"/>
        </w:rPr>
        <w:t>FTC/TAF</w:t>
      </w:r>
    </w:p>
    <w:p w14:paraId="4474436A" w14:textId="77777777" w:rsidR="00D61AB2" w:rsidRDefault="00D61AB2" w:rsidP="00D61AB2">
      <w:pPr>
        <w:spacing w:before="120" w:after="120" w:line="276" w:lineRule="auto"/>
        <w:jc w:val="both"/>
        <w:rPr>
          <w:rFonts w:ascii="Arial" w:hAnsi="Arial" w:cs="Arial"/>
          <w:b/>
          <w:bCs/>
          <w:color w:val="AE1C1F"/>
        </w:rPr>
      </w:pPr>
    </w:p>
    <w:p w14:paraId="3B4B17D8" w14:textId="77777777" w:rsidR="00D61AB2" w:rsidRPr="00200441" w:rsidRDefault="00D61AB2" w:rsidP="00D61AB2">
      <w:pPr>
        <w:spacing w:before="120" w:after="120" w:line="276" w:lineRule="auto"/>
        <w:jc w:val="both"/>
        <w:rPr>
          <w:rFonts w:ascii="Arial" w:hAnsi="Arial" w:cs="Arial"/>
          <w:b/>
          <w:bCs/>
          <w:color w:val="AE1C1F"/>
        </w:rPr>
      </w:pPr>
      <w:r w:rsidRPr="00200441">
        <w:rPr>
          <w:rFonts w:ascii="Arial" w:hAnsi="Arial" w:cs="Arial"/>
          <w:b/>
          <w:bCs/>
          <w:color w:val="AE1C1F"/>
        </w:rPr>
        <w:t>Cambio a EVG/c/FTC/TAF desde pautas que contienen TDF</w:t>
      </w:r>
    </w:p>
    <w:p w14:paraId="4ADE873E" w14:textId="4C675034" w:rsidR="00D61AB2"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w:t>
      </w:r>
      <w:r w:rsidRPr="004E0D4C">
        <w:rPr>
          <w:rFonts w:ascii="Arial" w:hAnsi="Arial" w:cs="Arial"/>
          <w:highlight w:val="yellow"/>
          <w:lang w:val="es-ES_tradnl" w:eastAsia="en-US"/>
        </w:rPr>
        <w:t>Dos ensayos clínicos aleatorizados han demostrado que el cambio desde pautas con EVG/c/</w:t>
      </w:r>
      <w:r>
        <w:rPr>
          <w:rFonts w:ascii="Arial" w:hAnsi="Arial" w:cs="Arial"/>
          <w:highlight w:val="yellow"/>
          <w:lang w:val="es-ES_tradnl" w:eastAsia="en-US"/>
        </w:rPr>
        <w:t>FTC/TDF</w:t>
      </w:r>
      <w:r w:rsidRPr="004E0D4C">
        <w:rPr>
          <w:rFonts w:ascii="Arial" w:hAnsi="Arial" w:cs="Arial"/>
          <w:highlight w:val="yellow"/>
          <w:lang w:val="es-ES_tradnl" w:eastAsia="en-US"/>
        </w:rPr>
        <w:t>, EFV</w:t>
      </w:r>
      <w:r>
        <w:rPr>
          <w:rFonts w:ascii="Arial" w:hAnsi="Arial" w:cs="Arial"/>
          <w:highlight w:val="yellow"/>
          <w:lang w:val="es-ES_tradnl" w:eastAsia="en-US"/>
        </w:rPr>
        <w:t>/FTC/TDF</w:t>
      </w:r>
      <w:r w:rsidRPr="004E0D4C">
        <w:rPr>
          <w:rFonts w:ascii="Arial" w:hAnsi="Arial" w:cs="Arial"/>
          <w:highlight w:val="yellow"/>
          <w:lang w:val="es-ES_tradnl" w:eastAsia="en-US"/>
        </w:rPr>
        <w:t xml:space="preserve"> o ATV/r+TDF</w:t>
      </w:r>
      <w:r>
        <w:rPr>
          <w:rFonts w:ascii="Arial" w:hAnsi="Arial" w:cs="Arial"/>
          <w:highlight w:val="yellow"/>
          <w:lang w:val="es-ES_tradnl" w:eastAsia="en-US"/>
        </w:rPr>
        <w:t>/FTC</w:t>
      </w:r>
      <w:r w:rsidRPr="004E0D4C">
        <w:rPr>
          <w:rFonts w:ascii="Arial" w:hAnsi="Arial" w:cs="Arial"/>
          <w:highlight w:val="yellow"/>
          <w:lang w:val="es-ES_tradnl" w:eastAsia="en-US"/>
        </w:rPr>
        <w:t xml:space="preserve"> a EVG/c/</w:t>
      </w:r>
      <w:r>
        <w:rPr>
          <w:rFonts w:ascii="Arial" w:hAnsi="Arial" w:cs="Arial"/>
          <w:highlight w:val="yellow"/>
          <w:lang w:val="es-ES_tradnl" w:eastAsia="en-US"/>
        </w:rPr>
        <w:t>FTC/TAF</w:t>
      </w:r>
      <w:r w:rsidRPr="004E0D4C">
        <w:rPr>
          <w:rFonts w:ascii="Arial" w:hAnsi="Arial" w:cs="Arial"/>
          <w:highlight w:val="yellow"/>
          <w:lang w:val="es-ES_tradnl" w:eastAsia="en-US"/>
        </w:rPr>
        <w:t xml:space="preserve"> en pacientes con replicación viral suprimida y sensibilidad a todos los </w:t>
      </w:r>
      <w:r w:rsidRPr="00EE2FB8">
        <w:rPr>
          <w:rFonts w:ascii="Arial" w:hAnsi="Arial" w:cs="Arial"/>
          <w:highlight w:val="yellow"/>
          <w:lang w:val="es-ES_tradnl" w:eastAsia="en-US"/>
        </w:rPr>
        <w:t>compo</w:t>
      </w:r>
      <w:r w:rsidR="003E05E9">
        <w:rPr>
          <w:rFonts w:ascii="Arial" w:hAnsi="Arial" w:cs="Arial"/>
          <w:highlight w:val="yellow"/>
          <w:lang w:val="es-ES_tradnl" w:eastAsia="en-US"/>
        </w:rPr>
        <w:t xml:space="preserve">nentes del nuevo régimen, es no </w:t>
      </w:r>
      <w:r w:rsidRPr="00EE2FB8">
        <w:rPr>
          <w:rFonts w:ascii="Arial" w:hAnsi="Arial" w:cs="Arial"/>
          <w:highlight w:val="yellow"/>
          <w:lang w:val="es-ES_tradnl" w:eastAsia="en-US"/>
        </w:rPr>
        <w:t>inferior a continuar con el tratamiento previo</w:t>
      </w:r>
      <w:r w:rsidRPr="00EE2FB8">
        <w:rPr>
          <w:rFonts w:ascii="Arial" w:hAnsi="Arial" w:cs="Arial"/>
          <w:highlight w:val="yellow"/>
          <w:vertAlign w:val="superscript"/>
          <w:lang w:val="es-ES_tradnl" w:eastAsia="en-US"/>
        </w:rPr>
        <w:t>21,22</w:t>
      </w:r>
      <w:r w:rsidRPr="00EE2FB8">
        <w:rPr>
          <w:rFonts w:ascii="Arial" w:hAnsi="Arial" w:cs="Arial"/>
          <w:highlight w:val="yellow"/>
          <w:lang w:val="es-ES_tradnl" w:eastAsia="en-US"/>
        </w:rPr>
        <w:t>. La eficacia a 96 semanas resultó superior a la del brazo control</w:t>
      </w:r>
      <w:r w:rsidRPr="00EE2FB8">
        <w:rPr>
          <w:rFonts w:ascii="Arial" w:hAnsi="Arial" w:cs="Arial"/>
          <w:highlight w:val="yellow"/>
          <w:vertAlign w:val="superscript"/>
          <w:lang w:val="es-ES_tradnl" w:eastAsia="en-US"/>
        </w:rPr>
        <w:t>21</w:t>
      </w:r>
      <w:r w:rsidRPr="00EE2FB8">
        <w:rPr>
          <w:rFonts w:ascii="Arial" w:hAnsi="Arial" w:cs="Arial"/>
          <w:highlight w:val="yellow"/>
          <w:lang w:val="es-ES_tradnl" w:eastAsia="en-US"/>
        </w:rPr>
        <w:t>. Se observó una mejoría significativa en la densidad mineral ósea y en las pruebas de función renal con respecto a los pacientes que continuaron recibiendo las pautas con TDF.</w:t>
      </w:r>
      <w:r>
        <w:rPr>
          <w:rFonts w:ascii="Arial" w:hAnsi="Arial" w:cs="Arial"/>
          <w:lang w:val="es-ES_tradnl" w:eastAsia="en-US"/>
        </w:rPr>
        <w:t xml:space="preserve"> </w:t>
      </w:r>
    </w:p>
    <w:p w14:paraId="55F74431" w14:textId="77777777" w:rsidR="00D61AB2" w:rsidRDefault="00D61AB2" w:rsidP="00D61AB2">
      <w:pPr>
        <w:spacing w:before="120" w:after="120" w:line="276" w:lineRule="auto"/>
        <w:jc w:val="both"/>
        <w:rPr>
          <w:rFonts w:ascii="Arial" w:hAnsi="Arial" w:cs="Arial"/>
          <w:lang w:val="es-ES_tradnl" w:eastAsia="en-US"/>
        </w:rPr>
      </w:pPr>
      <w:r w:rsidRPr="00EE2FB8">
        <w:rPr>
          <w:rFonts w:ascii="Arial" w:hAnsi="Arial" w:cs="Arial"/>
          <w:highlight w:val="yellow"/>
          <w:lang w:val="es-ES_tradnl" w:eastAsia="en-US"/>
        </w:rPr>
        <w:t xml:space="preserve">Un ensayo clínico no comparativo mostró la </w:t>
      </w:r>
      <w:r>
        <w:rPr>
          <w:rFonts w:ascii="Arial" w:hAnsi="Arial" w:cs="Arial"/>
          <w:highlight w:val="yellow"/>
          <w:lang w:val="es-ES_tradnl" w:eastAsia="en-US"/>
        </w:rPr>
        <w:t xml:space="preserve">eficacia y seguridad </w:t>
      </w:r>
      <w:r w:rsidRPr="00EE2FB8">
        <w:rPr>
          <w:rFonts w:ascii="Arial" w:hAnsi="Arial" w:cs="Arial"/>
          <w:highlight w:val="yellow"/>
          <w:lang w:val="es-ES_tradnl" w:eastAsia="en-US"/>
        </w:rPr>
        <w:t>EVG/c/</w:t>
      </w:r>
      <w:r>
        <w:rPr>
          <w:rFonts w:ascii="Arial" w:hAnsi="Arial" w:cs="Arial"/>
          <w:highlight w:val="yellow"/>
          <w:lang w:val="es-ES_tradnl" w:eastAsia="en-US"/>
        </w:rPr>
        <w:t>FTC/TAF</w:t>
      </w:r>
      <w:r w:rsidRPr="00EE2FB8">
        <w:rPr>
          <w:rFonts w:ascii="Arial" w:hAnsi="Arial" w:cs="Arial"/>
          <w:highlight w:val="yellow"/>
          <w:lang w:val="es-ES_tradnl" w:eastAsia="en-US"/>
        </w:rPr>
        <w:t xml:space="preserve"> en pacientes con insuficiencia renal leve o moderada (FGe: 30–69 mL/min)</w:t>
      </w:r>
      <w:r w:rsidRPr="00EE2FB8">
        <w:rPr>
          <w:rFonts w:ascii="Arial" w:hAnsi="Arial" w:cs="Arial"/>
          <w:noProof/>
          <w:highlight w:val="yellow"/>
          <w:vertAlign w:val="superscript"/>
          <w:lang w:val="es-ES_tradnl" w:eastAsia="en-US"/>
        </w:rPr>
        <w:t>23</w:t>
      </w:r>
      <w:r w:rsidRPr="00EE2FB8">
        <w:rPr>
          <w:rFonts w:ascii="Arial" w:hAnsi="Arial" w:cs="Arial"/>
          <w:highlight w:val="yellow"/>
          <w:lang w:val="es-ES_tradnl" w:eastAsia="en-US"/>
        </w:rPr>
        <w:t>.</w:t>
      </w:r>
    </w:p>
    <w:p w14:paraId="09FFF082"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3ABA6380" w14:textId="327CA6F2" w:rsidR="00D61AB2" w:rsidRPr="003F3B0A" w:rsidRDefault="00D61AB2" w:rsidP="00D61AB2">
      <w:pPr>
        <w:pStyle w:val="Prrafodelista"/>
        <w:numPr>
          <w:ilvl w:val="0"/>
          <w:numId w:val="32"/>
        </w:numPr>
        <w:spacing w:before="120" w:after="120" w:line="276" w:lineRule="auto"/>
        <w:contextualSpacing w:val="0"/>
        <w:jc w:val="both"/>
        <w:rPr>
          <w:rFonts w:ascii="Arial" w:hAnsi="Arial" w:cs="Arial"/>
          <w:b/>
        </w:rPr>
      </w:pPr>
      <w:r w:rsidRPr="00EC534F">
        <w:rPr>
          <w:rFonts w:ascii="Arial" w:hAnsi="Arial" w:cs="Arial"/>
          <w:highlight w:val="yellow"/>
        </w:rPr>
        <w:t xml:space="preserve">En pacientes tratados con EVG/c/FTC/TDF, EFV/FTC/TDF o ATV/r + TDF/FTC y con alteraciones significativas de la función renal o de la densidad mineral ósea u otros factores de riesgo para desarrollarlas, TDF debe suspenderse. El cambio a EVG/c/FTC/TAF es una opción adecuada </w:t>
      </w:r>
      <w:r w:rsidRPr="00EC534F">
        <w:rPr>
          <w:rFonts w:ascii="Arial" w:hAnsi="Arial" w:cs="Arial"/>
          <w:b/>
          <w:i/>
          <w:highlight w:val="yellow"/>
        </w:rPr>
        <w:t>(A-I)</w:t>
      </w:r>
      <w:r w:rsidR="003E05E9">
        <w:rPr>
          <w:rFonts w:ascii="Arial" w:hAnsi="Arial" w:cs="Arial"/>
          <w:b/>
          <w:i/>
        </w:rPr>
        <w:t>.</w:t>
      </w:r>
      <w:r>
        <w:rPr>
          <w:rFonts w:ascii="Arial" w:hAnsi="Arial" w:cs="Arial"/>
          <w:b/>
          <w:i/>
        </w:rPr>
        <w:t xml:space="preserve"> </w:t>
      </w:r>
      <w:r w:rsidRPr="003F3B0A">
        <w:rPr>
          <w:rFonts w:ascii="Arial" w:hAnsi="Arial" w:cs="Arial"/>
        </w:rPr>
        <w:t xml:space="preserve">Este cambio es factible incluso en pacientes con insuficiencia renal leve o moderada </w:t>
      </w:r>
      <w:r w:rsidRPr="003F3B0A">
        <w:rPr>
          <w:rFonts w:ascii="Arial" w:hAnsi="Arial" w:cs="Arial"/>
          <w:b/>
        </w:rPr>
        <w:t>(</w:t>
      </w:r>
      <w:r w:rsidRPr="003F3B0A">
        <w:rPr>
          <w:rFonts w:ascii="Arial" w:hAnsi="Arial" w:cs="Arial"/>
          <w:b/>
          <w:i/>
        </w:rPr>
        <w:t>A-I</w:t>
      </w:r>
      <w:r w:rsidRPr="003F3B0A">
        <w:rPr>
          <w:rFonts w:ascii="Arial" w:hAnsi="Arial" w:cs="Arial"/>
          <w:b/>
        </w:rPr>
        <w:t>)</w:t>
      </w:r>
      <w:r>
        <w:rPr>
          <w:rFonts w:ascii="Arial" w:hAnsi="Arial" w:cs="Arial"/>
          <w:b/>
        </w:rPr>
        <w:t>.</w:t>
      </w:r>
    </w:p>
    <w:p w14:paraId="1B87E8CA" w14:textId="77777777" w:rsidR="00D61AB2" w:rsidRDefault="00D61AB2" w:rsidP="00D61AB2">
      <w:pPr>
        <w:spacing w:before="120" w:after="120" w:line="276" w:lineRule="auto"/>
        <w:jc w:val="both"/>
        <w:rPr>
          <w:rFonts w:ascii="Arial" w:hAnsi="Arial" w:cs="Arial"/>
          <w:color w:val="AE1C1F"/>
        </w:rPr>
      </w:pPr>
    </w:p>
    <w:p w14:paraId="47FA4534" w14:textId="77777777" w:rsidR="00D61AB2" w:rsidRPr="00200441" w:rsidRDefault="00D61AB2" w:rsidP="00D61AB2">
      <w:pPr>
        <w:spacing w:before="120" w:after="120" w:line="276" w:lineRule="auto"/>
        <w:jc w:val="both"/>
        <w:rPr>
          <w:rFonts w:ascii="Arial" w:hAnsi="Arial" w:cs="Arial"/>
          <w:b/>
          <w:bCs/>
          <w:color w:val="AE1C1F"/>
        </w:rPr>
      </w:pPr>
      <w:r w:rsidRPr="00200441">
        <w:rPr>
          <w:rFonts w:ascii="Arial" w:hAnsi="Arial" w:cs="Arial"/>
          <w:b/>
          <w:bCs/>
          <w:color w:val="AE1C1F"/>
        </w:rPr>
        <w:t>4.2.4.3. Cambio a regímenes basados en dolutegravir</w:t>
      </w:r>
    </w:p>
    <w:p w14:paraId="673DC217" w14:textId="77777777" w:rsidR="00D61AB2" w:rsidRDefault="00D61AB2" w:rsidP="00D61AB2">
      <w:pPr>
        <w:spacing w:before="120" w:after="120" w:line="276" w:lineRule="auto"/>
        <w:jc w:val="both"/>
        <w:rPr>
          <w:rFonts w:ascii="Arial" w:hAnsi="Arial" w:cs="Arial"/>
          <w:b/>
          <w:bCs/>
          <w:color w:val="AE1C1F"/>
        </w:rPr>
      </w:pPr>
    </w:p>
    <w:p w14:paraId="474BE344" w14:textId="77777777" w:rsidR="00D61AB2" w:rsidRPr="00200441" w:rsidRDefault="00D61AB2" w:rsidP="00D61AB2">
      <w:pPr>
        <w:spacing w:before="120" w:after="120" w:line="276" w:lineRule="auto"/>
        <w:jc w:val="both"/>
        <w:rPr>
          <w:rFonts w:ascii="Arial" w:hAnsi="Arial" w:cs="Arial"/>
          <w:b/>
          <w:bCs/>
          <w:color w:val="AE1C1F"/>
        </w:rPr>
      </w:pPr>
      <w:r w:rsidRPr="00200441">
        <w:rPr>
          <w:rFonts w:ascii="Arial" w:hAnsi="Arial" w:cs="Arial"/>
          <w:b/>
          <w:bCs/>
          <w:color w:val="AE1C1F"/>
        </w:rPr>
        <w:t>Cambio a DTG/ABC/3TC desde pautas que contienen IP, ITINN o INI + 2 ITIAN</w:t>
      </w:r>
    </w:p>
    <w:p w14:paraId="455A8BA8"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Un ensayo clínico abierto ha demostrado que en pacientes con replicación viral suprimida que están recibiendo IP, ITNN o INI + 2 ITIAN, el cambio a DTG/ABC/3TC es virológicamente no-inferior</w:t>
      </w:r>
      <w:r w:rsidRPr="000217A0">
        <w:rPr>
          <w:rFonts w:ascii="Arial" w:hAnsi="Arial" w:cs="Arial"/>
          <w:noProof/>
          <w:highlight w:val="yellow"/>
          <w:vertAlign w:val="superscript"/>
          <w:lang w:val="es-ES_tradnl" w:eastAsia="en-US"/>
        </w:rPr>
        <w:t>24</w:t>
      </w:r>
      <w:r w:rsidRPr="003F3B0A">
        <w:rPr>
          <w:rFonts w:ascii="Arial" w:hAnsi="Arial" w:cs="Arial"/>
          <w:lang w:val="es-ES_tradnl" w:eastAsia="en-US"/>
        </w:rPr>
        <w:t>. El estudio demostró una mejoría en las escalas subjetivas de satisfacción con el tratamiento, pero no en otras variables clínicas.</w:t>
      </w:r>
    </w:p>
    <w:p w14:paraId="3DAC91B6"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lastRenderedPageBreak/>
        <w:t>Recomendación</w:t>
      </w:r>
    </w:p>
    <w:p w14:paraId="205EB941" w14:textId="77777777" w:rsidR="00D61AB2" w:rsidRPr="003F3B0A" w:rsidRDefault="00D61AB2" w:rsidP="00D61AB2">
      <w:pPr>
        <w:spacing w:before="120" w:after="120"/>
        <w:ind w:left="714" w:hanging="357"/>
        <w:jc w:val="both"/>
        <w:rPr>
          <w:rFonts w:ascii="Arial" w:hAnsi="Arial" w:cs="Arial"/>
          <w:lang w:val="es-ES_tradnl" w:eastAsia="en-US"/>
        </w:rPr>
      </w:pPr>
      <w:r w:rsidRPr="000A02EB">
        <w:rPr>
          <w:rFonts w:ascii="Arial" w:hAnsi="Arial" w:cs="Arial"/>
          <w:color w:val="C00000"/>
          <w:highlight w:val="yellow"/>
          <w:lang w:val="es-ES_tradnl" w:eastAsia="en-US"/>
        </w:rPr>
        <w:t>-</w:t>
      </w:r>
      <w:r w:rsidRPr="000A02EB">
        <w:rPr>
          <w:rFonts w:ascii="Arial" w:hAnsi="Arial" w:cs="Arial"/>
          <w:highlight w:val="yellow"/>
          <w:lang w:val="es-ES_tradnl" w:eastAsia="en-US"/>
        </w:rPr>
        <w:tab/>
        <w:t>En pacientes tratados con IP/p, ITINN o INI + 2 ITIAN que quieran simplificar su régimen el cambio a una a una pauta de comprimido único es una opción terapéutica. El cambio a DTG/ABC/3TC es una opción adecuada si el HLA-B*5701 es negativo (</w:t>
      </w:r>
      <w:r w:rsidRPr="000A02EB">
        <w:rPr>
          <w:rFonts w:ascii="Arial" w:hAnsi="Arial" w:cs="Arial"/>
          <w:b/>
          <w:i/>
          <w:highlight w:val="yellow"/>
          <w:lang w:val="es-ES_tradnl" w:eastAsia="en-US"/>
        </w:rPr>
        <w:t>A-I</w:t>
      </w:r>
      <w:r w:rsidRPr="000A02EB">
        <w:rPr>
          <w:rFonts w:ascii="Arial" w:hAnsi="Arial" w:cs="Arial"/>
          <w:highlight w:val="yellow"/>
          <w:lang w:val="es-ES_tradnl" w:eastAsia="en-US"/>
        </w:rPr>
        <w:t>)</w:t>
      </w:r>
      <w:r>
        <w:rPr>
          <w:rFonts w:ascii="Arial" w:hAnsi="Arial" w:cs="Arial"/>
          <w:lang w:val="es-ES_tradnl" w:eastAsia="en-US"/>
        </w:rPr>
        <w:t>.</w:t>
      </w:r>
    </w:p>
    <w:p w14:paraId="6CF5A6B0" w14:textId="77777777" w:rsidR="00D61AB2" w:rsidRDefault="00D61AB2" w:rsidP="00D61AB2">
      <w:pPr>
        <w:spacing w:before="120" w:after="120" w:line="276" w:lineRule="auto"/>
        <w:jc w:val="both"/>
        <w:rPr>
          <w:rFonts w:ascii="Arial" w:hAnsi="Arial" w:cs="Arial"/>
          <w:b/>
          <w:bCs/>
          <w:color w:val="AE1C1F"/>
          <w:lang w:val="es-ES_tradnl" w:eastAsia="en-US"/>
        </w:rPr>
      </w:pPr>
    </w:p>
    <w:p w14:paraId="270890FF" w14:textId="77777777" w:rsidR="00D61AB2" w:rsidRPr="002401A3" w:rsidRDefault="00D61AB2" w:rsidP="00D61AB2">
      <w:pPr>
        <w:spacing w:before="120" w:after="120" w:line="276" w:lineRule="auto"/>
        <w:jc w:val="both"/>
        <w:rPr>
          <w:rFonts w:ascii="Arial" w:hAnsi="Arial" w:cs="Arial"/>
          <w:b/>
          <w:bCs/>
          <w:color w:val="AE1C1F"/>
          <w:lang w:val="es-ES_tradnl" w:eastAsia="en-US"/>
        </w:rPr>
      </w:pPr>
      <w:r w:rsidRPr="002401A3">
        <w:rPr>
          <w:rFonts w:ascii="Arial" w:hAnsi="Arial" w:cs="Arial"/>
          <w:b/>
          <w:bCs/>
          <w:color w:val="AE1C1F"/>
          <w:lang w:val="es-ES_tradnl" w:eastAsia="en-US"/>
        </w:rPr>
        <w:t xml:space="preserve">Cambio de IP/p+2 ITIAN a DTG+2 ITIAN </w:t>
      </w:r>
    </w:p>
    <w:p w14:paraId="0EAF3F36" w14:textId="77777777" w:rsidR="00D61AB2"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3F3B0A">
        <w:rPr>
          <w:rFonts w:ascii="Arial" w:hAnsi="Arial" w:cs="Arial"/>
          <w:lang w:val="es-ES_tradnl" w:eastAsia="en-US"/>
        </w:rPr>
        <w:t>Un</w:t>
      </w:r>
      <w:r w:rsidRPr="003F3B0A">
        <w:rPr>
          <w:rFonts w:ascii="Arial" w:hAnsi="Arial" w:cs="Arial"/>
          <w:b/>
          <w:lang w:val="es-ES_tradnl" w:eastAsia="en-US"/>
        </w:rPr>
        <w:t xml:space="preserve"> </w:t>
      </w:r>
      <w:r w:rsidRPr="003F3B0A">
        <w:rPr>
          <w:rFonts w:ascii="Arial" w:hAnsi="Arial" w:cs="Arial"/>
          <w:lang w:val="es-ES_tradnl" w:eastAsia="en-US"/>
        </w:rPr>
        <w:t xml:space="preserve">ensayo clínico aleatorizado y abierto con pacientes con replicación viral suprimida, sin historia de FV, mayores de 50 años y/o un </w:t>
      </w:r>
      <w:r w:rsidRPr="003F3B0A">
        <w:rPr>
          <w:rFonts w:ascii="Arial" w:hAnsi="Arial" w:cs="Arial"/>
          <w:i/>
          <w:lang w:val="es-ES_tradnl" w:eastAsia="en-US"/>
        </w:rPr>
        <w:t>score</w:t>
      </w:r>
      <w:r w:rsidRPr="003F3B0A">
        <w:rPr>
          <w:rFonts w:ascii="Arial" w:hAnsi="Arial" w:cs="Arial"/>
          <w:lang w:val="es-ES_tradnl" w:eastAsia="en-US"/>
        </w:rPr>
        <w:t xml:space="preserve"> de Framingham &gt;10% ha demostrado que el cambio de 2 ITIAN más un IP/p (fundamentalmente ATV/r, DRV/r) a DTG+2 ITIAN es seguro virológicamente. Los </w:t>
      </w:r>
      <w:r w:rsidRPr="003F3B0A">
        <w:rPr>
          <w:rFonts w:ascii="Arial" w:hAnsi="Arial" w:cs="Arial"/>
          <w:color w:val="000000"/>
          <w:lang w:val="es-ES_tradnl" w:eastAsia="en-US"/>
        </w:rPr>
        <w:t>pacientes que cambiaron de tratamiento mejoraron significativamente el perfil lipídico</w:t>
      </w:r>
      <w:r w:rsidRPr="00976C9D">
        <w:rPr>
          <w:rFonts w:ascii="Arial" w:hAnsi="Arial" w:cs="Arial"/>
          <w:noProof/>
          <w:color w:val="000000"/>
          <w:highlight w:val="yellow"/>
          <w:vertAlign w:val="superscript"/>
          <w:lang w:val="es-ES_tradnl" w:eastAsia="en-US"/>
        </w:rPr>
        <w:t>25</w:t>
      </w:r>
      <w:r w:rsidRPr="003F3B0A">
        <w:rPr>
          <w:rFonts w:ascii="Arial" w:hAnsi="Arial" w:cs="Arial"/>
          <w:color w:val="000000"/>
          <w:lang w:val="es-ES_tradnl" w:eastAsia="en-US"/>
        </w:rPr>
        <w:t>.</w:t>
      </w:r>
      <w:r w:rsidRPr="003F3B0A">
        <w:rPr>
          <w:rFonts w:ascii="Arial" w:hAnsi="Arial" w:cs="Arial"/>
          <w:lang w:val="es-ES_tradnl" w:eastAsia="en-US"/>
        </w:rPr>
        <w:t xml:space="preserve"> </w:t>
      </w:r>
    </w:p>
    <w:p w14:paraId="7418B369" w14:textId="3E232C57" w:rsidR="00D61AB2" w:rsidRPr="00976C9D" w:rsidRDefault="00D61AB2" w:rsidP="00D61AB2">
      <w:pPr>
        <w:shd w:val="clear" w:color="auto" w:fill="FFFF00"/>
        <w:spacing w:before="120" w:after="120" w:line="276" w:lineRule="auto"/>
        <w:jc w:val="both"/>
        <w:rPr>
          <w:rFonts w:ascii="Arial" w:hAnsi="Arial" w:cs="Arial"/>
          <w:b/>
        </w:rPr>
      </w:pPr>
      <w:r w:rsidRPr="003F3B0A">
        <w:rPr>
          <w:rFonts w:ascii="Arial" w:hAnsi="Arial" w:cs="Arial"/>
          <w:lang w:val="es-ES_tradnl" w:eastAsia="en-US"/>
        </w:rPr>
        <w:t xml:space="preserve">En </w:t>
      </w:r>
      <w:r>
        <w:rPr>
          <w:rFonts w:ascii="Arial" w:hAnsi="Arial" w:cs="Arial"/>
          <w:lang w:val="es-ES_tradnl" w:eastAsia="en-US"/>
        </w:rPr>
        <w:t xml:space="preserve">un estudio aleatorizado en </w:t>
      </w:r>
      <w:r w:rsidRPr="003F3B0A">
        <w:rPr>
          <w:rFonts w:ascii="Arial" w:hAnsi="Arial" w:cs="Arial"/>
          <w:lang w:val="es-ES_tradnl" w:eastAsia="en-US"/>
        </w:rPr>
        <w:t>pacientes</w:t>
      </w:r>
      <w:r>
        <w:rPr>
          <w:rFonts w:ascii="Arial" w:hAnsi="Arial" w:cs="Arial"/>
          <w:lang w:val="es-ES_tradnl" w:eastAsia="en-US"/>
        </w:rPr>
        <w:t xml:space="preserve"> en el escenario clínico de primer </w:t>
      </w:r>
      <w:r w:rsidR="003E05E9">
        <w:rPr>
          <w:rFonts w:ascii="Arial" w:hAnsi="Arial" w:cs="Arial"/>
          <w:lang w:val="es-ES_tradnl" w:eastAsia="en-US"/>
        </w:rPr>
        <w:t>FV</w:t>
      </w:r>
      <w:r>
        <w:rPr>
          <w:rFonts w:ascii="Arial" w:hAnsi="Arial" w:cs="Arial"/>
          <w:lang w:val="es-ES_tradnl" w:eastAsia="en-US"/>
        </w:rPr>
        <w:t xml:space="preserve"> y </w:t>
      </w:r>
      <w:r w:rsidR="003E05E9">
        <w:rPr>
          <w:rFonts w:ascii="Arial" w:hAnsi="Arial" w:cs="Arial"/>
          <w:lang w:val="es-ES_tradnl" w:eastAsia="en-US"/>
        </w:rPr>
        <w:t>MR</w:t>
      </w:r>
      <w:r>
        <w:rPr>
          <w:rFonts w:ascii="Arial" w:hAnsi="Arial" w:cs="Arial"/>
          <w:lang w:val="es-ES_tradnl" w:eastAsia="en-US"/>
        </w:rPr>
        <w:t xml:space="preserve"> a ITIAN y a ITINN, DTG+2 ITIAN resultó más eficaz que LPV/r+2 ITIAN</w:t>
      </w:r>
      <w:r>
        <w:rPr>
          <w:rFonts w:ascii="Arial" w:hAnsi="Arial" w:cs="Arial"/>
          <w:vertAlign w:val="superscript"/>
          <w:lang w:val="es-ES_tradnl" w:eastAsia="en-US"/>
        </w:rPr>
        <w:t>26</w:t>
      </w:r>
      <w:r>
        <w:rPr>
          <w:rFonts w:ascii="Arial" w:hAnsi="Arial" w:cs="Arial"/>
          <w:lang w:val="es-ES_tradnl" w:eastAsia="en-US"/>
        </w:rPr>
        <w:t>. Ello sugiere que en pacientes con supresión virológica la existencia de mutaciones previas a ITIAN, especialmente la M184V/I no comportaría una mayor incidencia de fallo virológico que continuar con el IP/p.</w:t>
      </w:r>
    </w:p>
    <w:p w14:paraId="72A7B735"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272C5408"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color w:val="AE1C1F"/>
          <w:highlight w:val="yellow"/>
        </w:rPr>
      </w:pPr>
      <w:r w:rsidRPr="000A02EB">
        <w:rPr>
          <w:rFonts w:ascii="Arial" w:hAnsi="Arial" w:cs="Arial"/>
          <w:highlight w:val="yellow"/>
        </w:rPr>
        <w:t>En pacientes tratados con IP/p y dislipemia la suspensión del IP/p es una opción terapéutica. El cambio a una pauta basada en DTG es una opción adecuada (</w:t>
      </w:r>
      <w:r w:rsidRPr="000A02EB">
        <w:rPr>
          <w:rFonts w:ascii="Arial" w:hAnsi="Arial" w:cs="Arial"/>
          <w:b/>
          <w:bCs/>
          <w:i/>
          <w:iCs/>
          <w:highlight w:val="yellow"/>
        </w:rPr>
        <w:t>A-I</w:t>
      </w:r>
      <w:r w:rsidRPr="000A02EB">
        <w:rPr>
          <w:rFonts w:ascii="Arial" w:hAnsi="Arial" w:cs="Arial"/>
          <w:highlight w:val="yellow"/>
        </w:rPr>
        <w:t>)</w:t>
      </w:r>
      <w:r>
        <w:rPr>
          <w:rFonts w:ascii="Arial" w:hAnsi="Arial" w:cs="Arial"/>
          <w:highlight w:val="yellow"/>
        </w:rPr>
        <w:t>.</w:t>
      </w:r>
      <w:r w:rsidRPr="000A02EB">
        <w:rPr>
          <w:rFonts w:ascii="Arial" w:hAnsi="Arial" w:cs="Arial"/>
          <w:highlight w:val="yellow"/>
        </w:rPr>
        <w:t xml:space="preserve"> </w:t>
      </w:r>
    </w:p>
    <w:p w14:paraId="6AA08069" w14:textId="77777777" w:rsidR="00D61AB2" w:rsidRDefault="00D61AB2" w:rsidP="00D61AB2">
      <w:pPr>
        <w:spacing w:before="120" w:after="120" w:line="276" w:lineRule="auto"/>
        <w:jc w:val="both"/>
        <w:rPr>
          <w:rFonts w:ascii="Arial" w:hAnsi="Arial" w:cs="Arial"/>
          <w:color w:val="AE1C1F"/>
        </w:rPr>
      </w:pPr>
    </w:p>
    <w:p w14:paraId="2A6B1D41" w14:textId="77777777" w:rsidR="00D61AB2" w:rsidRPr="007A7554" w:rsidRDefault="00D61AB2" w:rsidP="00D61AB2">
      <w:pPr>
        <w:spacing w:before="120" w:after="120" w:line="276" w:lineRule="auto"/>
        <w:jc w:val="both"/>
        <w:rPr>
          <w:rFonts w:ascii="Arial" w:hAnsi="Arial" w:cs="Arial"/>
          <w:b/>
          <w:bCs/>
          <w:color w:val="AE1C1F"/>
        </w:rPr>
      </w:pPr>
      <w:r w:rsidRPr="007A7554">
        <w:rPr>
          <w:rFonts w:ascii="Arial" w:hAnsi="Arial" w:cs="Arial"/>
          <w:b/>
          <w:bCs/>
          <w:color w:val="AE1C1F"/>
        </w:rPr>
        <w:t>4.2.4.4 Cambio a BIC/FTC/TAF</w:t>
      </w:r>
    </w:p>
    <w:p w14:paraId="6A4E09AC" w14:textId="77777777" w:rsidR="00D61AB2" w:rsidRDefault="00D61AB2" w:rsidP="00D61AB2">
      <w:pPr>
        <w:spacing w:before="120" w:after="120" w:line="276" w:lineRule="auto"/>
        <w:jc w:val="both"/>
        <w:rPr>
          <w:rFonts w:ascii="Arial" w:hAnsi="Arial" w:cs="Arial"/>
          <w:b/>
          <w:bCs/>
          <w:color w:val="AE1C1F"/>
        </w:rPr>
      </w:pPr>
    </w:p>
    <w:p w14:paraId="4ED5FB20" w14:textId="77777777" w:rsidR="00D61AB2" w:rsidRPr="007A7554" w:rsidRDefault="00D61AB2" w:rsidP="00D61AB2">
      <w:pPr>
        <w:spacing w:before="120" w:after="120" w:line="276" w:lineRule="auto"/>
        <w:jc w:val="both"/>
        <w:rPr>
          <w:rFonts w:ascii="Arial" w:hAnsi="Arial" w:cs="Arial"/>
          <w:b/>
          <w:bCs/>
          <w:color w:val="AE1C1F"/>
        </w:rPr>
      </w:pPr>
      <w:r w:rsidRPr="007A7554">
        <w:rPr>
          <w:rFonts w:ascii="Arial" w:hAnsi="Arial" w:cs="Arial"/>
          <w:b/>
          <w:bCs/>
          <w:color w:val="AE1C1F"/>
        </w:rPr>
        <w:t>Cambio a BIC/FTC/TAF desde pautas que contienen un IP/p +2 ITIAN, DTG/ABC/3TC o EVG/c/FTC/TDF</w:t>
      </w:r>
    </w:p>
    <w:p w14:paraId="020FED32" w14:textId="269A4E23" w:rsidR="00D61AB2" w:rsidRDefault="00D61AB2" w:rsidP="00D61AB2">
      <w:pPr>
        <w:spacing w:before="120" w:after="120" w:line="276" w:lineRule="auto"/>
        <w:jc w:val="both"/>
        <w:rPr>
          <w:rFonts w:ascii="Arial" w:hAnsi="Arial" w:cs="Arial"/>
          <w:color w:val="000000"/>
          <w:lang w:eastAsia="en-US"/>
        </w:rPr>
      </w:pPr>
      <w:r w:rsidRPr="003F3B0A">
        <w:rPr>
          <w:rFonts w:ascii="Arial" w:hAnsi="Arial" w:cs="Arial"/>
          <w:b/>
          <w:color w:val="000000"/>
          <w:lang w:eastAsia="en-US"/>
        </w:rPr>
        <w:t>Fundamento</w:t>
      </w:r>
      <w:r w:rsidRPr="003F3B0A">
        <w:rPr>
          <w:rFonts w:ascii="Arial" w:hAnsi="Arial" w:cs="Arial"/>
          <w:color w:val="000000"/>
          <w:lang w:eastAsia="en-US"/>
        </w:rPr>
        <w:t>. Tres ensayos clínicos aleatorizados</w:t>
      </w:r>
      <w:r w:rsidRPr="00AB48E2">
        <w:rPr>
          <w:rFonts w:ascii="Arial" w:hAnsi="Arial" w:cs="Arial"/>
          <w:color w:val="000000"/>
          <w:highlight w:val="yellow"/>
          <w:vertAlign w:val="superscript"/>
          <w:lang w:eastAsia="en-US"/>
        </w:rPr>
        <w:t>2</w:t>
      </w:r>
      <w:r>
        <w:rPr>
          <w:rFonts w:ascii="Arial" w:hAnsi="Arial" w:cs="Arial"/>
          <w:color w:val="000000"/>
          <w:highlight w:val="yellow"/>
          <w:vertAlign w:val="superscript"/>
          <w:lang w:eastAsia="en-US"/>
        </w:rPr>
        <w:t>7</w:t>
      </w:r>
      <w:r w:rsidRPr="00AB48E2">
        <w:rPr>
          <w:rFonts w:ascii="Arial" w:hAnsi="Arial" w:cs="Arial"/>
          <w:color w:val="000000"/>
          <w:highlight w:val="yellow"/>
          <w:vertAlign w:val="superscript"/>
          <w:lang w:eastAsia="en-US"/>
        </w:rPr>
        <w:t>-</w:t>
      </w:r>
      <w:r>
        <w:rPr>
          <w:rFonts w:ascii="Arial" w:hAnsi="Arial" w:cs="Arial"/>
          <w:color w:val="000000"/>
          <w:highlight w:val="yellow"/>
          <w:vertAlign w:val="superscript"/>
          <w:lang w:eastAsia="en-US"/>
        </w:rPr>
        <w:t>29</w:t>
      </w:r>
      <w:r w:rsidRPr="003F3B0A">
        <w:rPr>
          <w:rFonts w:ascii="Arial" w:hAnsi="Arial" w:cs="Arial"/>
          <w:color w:val="000000"/>
          <w:lang w:eastAsia="en-US"/>
        </w:rPr>
        <w:t xml:space="preserve"> han demostrado que el cambio a BIC/FTC/TAF desde diferentes regímenes en pacientes</w:t>
      </w:r>
      <w:r w:rsidR="003E05E9">
        <w:rPr>
          <w:rFonts w:ascii="Arial" w:hAnsi="Arial" w:cs="Arial"/>
          <w:color w:val="000000"/>
          <w:lang w:eastAsia="en-US"/>
        </w:rPr>
        <w:t xml:space="preserve"> con supresión virológica es no </w:t>
      </w:r>
      <w:r w:rsidRPr="003F3B0A">
        <w:rPr>
          <w:rFonts w:ascii="Arial" w:hAnsi="Arial" w:cs="Arial"/>
          <w:color w:val="000000"/>
          <w:lang w:eastAsia="en-US"/>
        </w:rPr>
        <w:t>inferior a continuar con el tratamiento previo. En el primero</w:t>
      </w:r>
      <w:r w:rsidRPr="003D7117">
        <w:rPr>
          <w:rFonts w:ascii="Arial" w:hAnsi="Arial" w:cs="Arial"/>
          <w:color w:val="000000"/>
          <w:highlight w:val="yellow"/>
          <w:vertAlign w:val="superscript"/>
          <w:lang w:eastAsia="en-US"/>
        </w:rPr>
        <w:t>2</w:t>
      </w:r>
      <w:r>
        <w:rPr>
          <w:rFonts w:ascii="Arial" w:hAnsi="Arial" w:cs="Arial"/>
          <w:color w:val="000000"/>
          <w:vertAlign w:val="superscript"/>
          <w:lang w:eastAsia="en-US"/>
        </w:rPr>
        <w:t>7</w:t>
      </w:r>
      <w:r w:rsidRPr="003F3B0A">
        <w:rPr>
          <w:rFonts w:ascii="Arial" w:hAnsi="Arial" w:cs="Arial"/>
          <w:color w:val="000000"/>
          <w:lang w:eastAsia="en-US"/>
        </w:rPr>
        <w:t xml:space="preserve"> se incluyeron pacientes en tratamiento con DRV/p o ATV/p + 2</w:t>
      </w:r>
      <w:r w:rsidRPr="003F3B0A">
        <w:rPr>
          <w:rFonts w:ascii="Arial" w:hAnsi="Arial" w:cs="Arial"/>
          <w:color w:val="FF0000"/>
          <w:lang w:eastAsia="en-US"/>
        </w:rPr>
        <w:t xml:space="preserve"> </w:t>
      </w:r>
      <w:r w:rsidRPr="003F3B0A">
        <w:rPr>
          <w:rFonts w:ascii="Arial" w:hAnsi="Arial" w:cs="Arial"/>
          <w:color w:val="000000"/>
          <w:lang w:eastAsia="en-US"/>
        </w:rPr>
        <w:t>ITIAN y se demuestra la no-inferioridad virológica y ligera mejoría del perfil lipídico y de la proteinuria tubular al cambiar a BIC/FTC/TAF frente a continuar el tratamiento previo. En el segundo</w:t>
      </w:r>
      <w:r w:rsidRPr="00684C46">
        <w:rPr>
          <w:rFonts w:ascii="Arial" w:hAnsi="Arial" w:cs="Arial"/>
          <w:color w:val="000000"/>
          <w:highlight w:val="yellow"/>
          <w:vertAlign w:val="superscript"/>
          <w:lang w:eastAsia="en-US"/>
        </w:rPr>
        <w:t>28</w:t>
      </w:r>
      <w:r w:rsidRPr="003F3B0A">
        <w:rPr>
          <w:rFonts w:ascii="Arial" w:hAnsi="Arial" w:cs="Arial"/>
          <w:color w:val="000000"/>
          <w:lang w:eastAsia="en-US"/>
        </w:rPr>
        <w:t xml:space="preserve"> se incluyeron pacientes en tratamiento con D</w:t>
      </w:r>
      <w:r w:rsidR="003E05E9">
        <w:rPr>
          <w:rFonts w:ascii="Arial" w:hAnsi="Arial" w:cs="Arial"/>
          <w:color w:val="000000"/>
          <w:lang w:eastAsia="en-US"/>
        </w:rPr>
        <w:t xml:space="preserve">TG/ABC/3TC y se demuestra la no </w:t>
      </w:r>
      <w:r w:rsidRPr="003F3B0A">
        <w:rPr>
          <w:rFonts w:ascii="Arial" w:hAnsi="Arial" w:cs="Arial"/>
          <w:color w:val="000000"/>
          <w:lang w:eastAsia="en-US"/>
        </w:rPr>
        <w:t>inferioridad del cambio, pero no se asocia a beneficios en el perfil lipídico, función renal o densidad mineral ósea. En el tercero</w:t>
      </w:r>
      <w:r>
        <w:rPr>
          <w:rFonts w:ascii="Arial" w:hAnsi="Arial" w:cs="Arial"/>
          <w:color w:val="000000"/>
          <w:highlight w:val="yellow"/>
          <w:vertAlign w:val="superscript"/>
          <w:lang w:eastAsia="en-US"/>
        </w:rPr>
        <w:t>29</w:t>
      </w:r>
      <w:r w:rsidRPr="003F3B0A">
        <w:rPr>
          <w:rFonts w:ascii="Arial" w:hAnsi="Arial" w:cs="Arial"/>
          <w:color w:val="000000"/>
          <w:lang w:eastAsia="en-US"/>
        </w:rPr>
        <w:t xml:space="preserve"> se incluyeron únicamente mujeres en tratamiento con EVG/c/FTC/TAF, EVG/c/FTC/TDF o ATV/r</w:t>
      </w:r>
      <w:r>
        <w:rPr>
          <w:rFonts w:ascii="Arial" w:hAnsi="Arial" w:cs="Arial"/>
          <w:color w:val="000000"/>
          <w:lang w:eastAsia="en-US"/>
        </w:rPr>
        <w:t xml:space="preserve"> </w:t>
      </w:r>
      <w:r w:rsidRPr="003F3B0A">
        <w:rPr>
          <w:rFonts w:ascii="Arial" w:hAnsi="Arial" w:cs="Arial"/>
          <w:color w:val="000000"/>
          <w:lang w:eastAsia="en-US"/>
        </w:rPr>
        <w:t>+</w:t>
      </w:r>
      <w:r>
        <w:rPr>
          <w:rFonts w:ascii="Arial" w:hAnsi="Arial" w:cs="Arial"/>
          <w:color w:val="000000"/>
          <w:lang w:eastAsia="en-US"/>
        </w:rPr>
        <w:t xml:space="preserve"> </w:t>
      </w:r>
      <w:r w:rsidRPr="003F3B0A">
        <w:rPr>
          <w:rFonts w:ascii="Arial" w:hAnsi="Arial" w:cs="Arial"/>
          <w:color w:val="000000"/>
          <w:lang w:eastAsia="en-US"/>
        </w:rPr>
        <w:t>TDF</w:t>
      </w:r>
      <w:r>
        <w:rPr>
          <w:rFonts w:ascii="Arial" w:hAnsi="Arial" w:cs="Arial"/>
          <w:color w:val="000000"/>
          <w:lang w:eastAsia="en-US"/>
        </w:rPr>
        <w:t>/FTC</w:t>
      </w:r>
      <w:r w:rsidRPr="003F3B0A">
        <w:rPr>
          <w:rFonts w:ascii="Arial" w:hAnsi="Arial" w:cs="Arial"/>
          <w:color w:val="000000"/>
          <w:lang w:eastAsia="en-US"/>
        </w:rPr>
        <w:t>, demostrándose la no-inferioridad del cambio, sin mejoras destacables en el perfil lipídico, ni en la función renal, ni en la densidad mineral ósea.</w:t>
      </w:r>
    </w:p>
    <w:p w14:paraId="380B403A" w14:textId="0B86A055" w:rsidR="00D61AB2" w:rsidRPr="003F3B0A" w:rsidRDefault="00D61AB2" w:rsidP="00D61AB2">
      <w:pPr>
        <w:spacing w:before="120" w:after="120" w:line="276" w:lineRule="auto"/>
        <w:jc w:val="both"/>
        <w:rPr>
          <w:rFonts w:ascii="Arial" w:hAnsi="Arial" w:cs="Arial"/>
          <w:color w:val="000000"/>
          <w:lang w:eastAsia="en-US"/>
        </w:rPr>
      </w:pPr>
      <w:r w:rsidRPr="00F536E4">
        <w:rPr>
          <w:rFonts w:ascii="Arial" w:hAnsi="Arial" w:cs="Arial"/>
          <w:color w:val="000000"/>
          <w:highlight w:val="yellow"/>
          <w:lang w:eastAsia="en-US"/>
        </w:rPr>
        <w:lastRenderedPageBreak/>
        <w:t>El cambio a BIC/FTC/TAF en pacientes con supresión virológica se ha mostrado eficaz</w:t>
      </w:r>
      <w:r>
        <w:rPr>
          <w:rFonts w:ascii="Arial" w:hAnsi="Arial" w:cs="Arial"/>
          <w:color w:val="000000"/>
          <w:highlight w:val="yellow"/>
          <w:lang w:eastAsia="en-US"/>
        </w:rPr>
        <w:t xml:space="preserve"> y no inferior a continuar con el tratamiento previo basado en IP/p o DTG,</w:t>
      </w:r>
      <w:r w:rsidRPr="00F536E4">
        <w:rPr>
          <w:rFonts w:ascii="Arial" w:hAnsi="Arial" w:cs="Arial"/>
          <w:color w:val="000000"/>
          <w:highlight w:val="yellow"/>
          <w:lang w:eastAsia="en-US"/>
        </w:rPr>
        <w:t xml:space="preserve"> </w:t>
      </w:r>
      <w:r>
        <w:rPr>
          <w:rFonts w:ascii="Arial" w:hAnsi="Arial" w:cs="Arial"/>
          <w:color w:val="000000"/>
          <w:highlight w:val="yellow"/>
          <w:lang w:eastAsia="en-US"/>
        </w:rPr>
        <w:t xml:space="preserve">incluso </w:t>
      </w:r>
      <w:r w:rsidRPr="00F536E4">
        <w:rPr>
          <w:rFonts w:ascii="Arial" w:hAnsi="Arial" w:cs="Arial"/>
          <w:color w:val="000000"/>
          <w:highlight w:val="yellow"/>
          <w:lang w:eastAsia="en-US"/>
        </w:rPr>
        <w:t xml:space="preserve">en presencia de </w:t>
      </w:r>
      <w:r w:rsidR="003E05E9">
        <w:rPr>
          <w:rFonts w:ascii="Arial" w:hAnsi="Arial" w:cs="Arial"/>
          <w:color w:val="000000"/>
          <w:highlight w:val="yellow"/>
          <w:lang w:eastAsia="en-US"/>
        </w:rPr>
        <w:t>MR</w:t>
      </w:r>
      <w:r w:rsidRPr="00F536E4">
        <w:rPr>
          <w:rFonts w:ascii="Arial" w:hAnsi="Arial" w:cs="Arial"/>
          <w:color w:val="000000"/>
          <w:highlight w:val="yellow"/>
          <w:lang w:eastAsia="en-US"/>
        </w:rPr>
        <w:t xml:space="preserve"> a ITIAN archivadas</w:t>
      </w:r>
      <w:r>
        <w:rPr>
          <w:rFonts w:ascii="Arial" w:hAnsi="Arial" w:cs="Arial"/>
          <w:color w:val="000000"/>
          <w:highlight w:val="yellow"/>
          <w:vertAlign w:val="superscript"/>
          <w:lang w:eastAsia="en-US"/>
        </w:rPr>
        <w:t>30,31</w:t>
      </w:r>
      <w:r w:rsidRPr="00F536E4">
        <w:rPr>
          <w:rFonts w:ascii="Arial" w:hAnsi="Arial" w:cs="Arial"/>
          <w:color w:val="000000"/>
          <w:highlight w:val="yellow"/>
          <w:lang w:eastAsia="en-US"/>
        </w:rPr>
        <w:t>.</w:t>
      </w:r>
    </w:p>
    <w:p w14:paraId="22ABB93B"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30EDD3D7"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color w:val="000000"/>
          <w:highlight w:val="yellow"/>
        </w:rPr>
      </w:pPr>
      <w:r w:rsidRPr="000A02EB">
        <w:rPr>
          <w:rFonts w:ascii="Arial" w:hAnsi="Arial" w:cs="Arial"/>
          <w:color w:val="000000"/>
          <w:highlight w:val="yellow"/>
        </w:rPr>
        <w:t xml:space="preserve">En pacientes tratados con IP/p + 2 ITIAN con alteraciones renales u óseas significativas asociadas a TDF o riesgo de desarrollarlas, </w:t>
      </w:r>
      <w:r>
        <w:rPr>
          <w:rFonts w:ascii="Arial" w:hAnsi="Arial" w:cs="Arial"/>
          <w:color w:val="000000"/>
          <w:highlight w:val="yellow"/>
        </w:rPr>
        <w:t>TDF debe suspenderse</w:t>
      </w:r>
      <w:r w:rsidRPr="000A02EB">
        <w:rPr>
          <w:rFonts w:ascii="Arial" w:hAnsi="Arial" w:cs="Arial"/>
          <w:color w:val="000000"/>
          <w:highlight w:val="yellow"/>
        </w:rPr>
        <w:t>. El cambio a BIC/FTC/TAF es una opción adecuada (</w:t>
      </w:r>
      <w:r w:rsidRPr="000A02EB">
        <w:rPr>
          <w:rFonts w:ascii="Arial" w:hAnsi="Arial" w:cs="Arial"/>
          <w:b/>
          <w:bCs/>
          <w:i/>
          <w:iCs/>
          <w:color w:val="000000"/>
          <w:highlight w:val="yellow"/>
        </w:rPr>
        <w:t>A-I</w:t>
      </w:r>
      <w:r w:rsidRPr="000A02EB">
        <w:rPr>
          <w:rFonts w:ascii="Arial" w:hAnsi="Arial" w:cs="Arial"/>
          <w:color w:val="000000"/>
          <w:highlight w:val="yellow"/>
        </w:rPr>
        <w:t>)</w:t>
      </w:r>
      <w:r>
        <w:rPr>
          <w:rFonts w:ascii="Arial" w:hAnsi="Arial" w:cs="Arial"/>
          <w:color w:val="000000"/>
          <w:highlight w:val="yellow"/>
        </w:rPr>
        <w:t>.</w:t>
      </w:r>
    </w:p>
    <w:p w14:paraId="2EE4BCEB"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color w:val="000000"/>
          <w:highlight w:val="yellow"/>
        </w:rPr>
      </w:pPr>
      <w:r w:rsidRPr="000A02EB">
        <w:rPr>
          <w:rFonts w:ascii="Arial" w:hAnsi="Arial" w:cs="Arial"/>
          <w:highlight w:val="yellow"/>
        </w:rPr>
        <w:t>En pacientes tratados con IP/p y dislipemia la suspensión del IP/p es una opción terapéutica. El cambio a BIC/FTC/TAF es una opción adecuada (</w:t>
      </w:r>
      <w:r w:rsidRPr="000A02EB">
        <w:rPr>
          <w:rFonts w:ascii="Arial" w:hAnsi="Arial" w:cs="Arial"/>
          <w:b/>
          <w:bCs/>
          <w:i/>
          <w:iCs/>
          <w:highlight w:val="yellow"/>
        </w:rPr>
        <w:t>A-I</w:t>
      </w:r>
      <w:r w:rsidRPr="000A02EB">
        <w:rPr>
          <w:rFonts w:ascii="Arial" w:hAnsi="Arial" w:cs="Arial"/>
          <w:highlight w:val="yellow"/>
        </w:rPr>
        <w:t>)</w:t>
      </w:r>
      <w:r>
        <w:rPr>
          <w:rFonts w:ascii="Arial" w:hAnsi="Arial" w:cs="Arial"/>
          <w:highlight w:val="yellow"/>
        </w:rPr>
        <w:t>.</w:t>
      </w:r>
    </w:p>
    <w:p w14:paraId="183046BC" w14:textId="77777777" w:rsidR="00D61AB2" w:rsidRPr="00D92CE1" w:rsidRDefault="00D61AB2" w:rsidP="00D61AB2">
      <w:pPr>
        <w:pStyle w:val="Prrafodelista"/>
        <w:numPr>
          <w:ilvl w:val="0"/>
          <w:numId w:val="32"/>
        </w:numPr>
        <w:spacing w:before="120" w:after="120" w:line="276" w:lineRule="auto"/>
        <w:contextualSpacing w:val="0"/>
        <w:jc w:val="both"/>
        <w:rPr>
          <w:rFonts w:ascii="Arial" w:hAnsi="Arial" w:cs="Arial"/>
          <w:i/>
          <w:color w:val="AE1C1F"/>
          <w:highlight w:val="yellow"/>
        </w:rPr>
      </w:pPr>
      <w:r w:rsidRPr="00D92CE1">
        <w:rPr>
          <w:rFonts w:ascii="Arial" w:hAnsi="Arial" w:cs="Arial"/>
          <w:color w:val="000000"/>
          <w:highlight w:val="yellow"/>
        </w:rPr>
        <w:t>El cambio de DTG/ABC/3TC a BIC/FTC/TAF puede realizarse por decisión clínica, pero no puede recomendarse el cambio  buscando un beneficio en perfil lipídico, función renal o densidad mineral ósea, ni una reducción del riesgo cardiovascular (</w:t>
      </w:r>
      <w:r w:rsidRPr="00D92CE1">
        <w:rPr>
          <w:rFonts w:ascii="Arial" w:hAnsi="Arial" w:cs="Arial"/>
          <w:b/>
          <w:i/>
          <w:color w:val="000000"/>
          <w:highlight w:val="yellow"/>
        </w:rPr>
        <w:t>C-I</w:t>
      </w:r>
      <w:r w:rsidRPr="00D92CE1">
        <w:rPr>
          <w:rFonts w:ascii="Arial" w:hAnsi="Arial" w:cs="Arial"/>
          <w:color w:val="000000"/>
          <w:highlight w:val="yellow"/>
        </w:rPr>
        <w:t>)</w:t>
      </w:r>
      <w:r>
        <w:rPr>
          <w:rFonts w:ascii="Arial" w:hAnsi="Arial" w:cs="Arial"/>
          <w:color w:val="000000"/>
          <w:highlight w:val="yellow"/>
        </w:rPr>
        <w:t>.</w:t>
      </w:r>
    </w:p>
    <w:p w14:paraId="0F165917" w14:textId="77777777" w:rsidR="00D61AB2" w:rsidRDefault="00D61AB2" w:rsidP="00D61AB2">
      <w:pPr>
        <w:spacing w:before="120" w:after="120" w:line="276" w:lineRule="auto"/>
        <w:jc w:val="both"/>
        <w:rPr>
          <w:rFonts w:ascii="Arial" w:hAnsi="Arial" w:cs="Arial"/>
          <w:i/>
          <w:color w:val="AE1C1F"/>
        </w:rPr>
      </w:pPr>
    </w:p>
    <w:p w14:paraId="67648312" w14:textId="77777777" w:rsidR="00D61AB2" w:rsidRPr="00D13C09" w:rsidRDefault="00D61AB2" w:rsidP="00D61AB2">
      <w:pPr>
        <w:spacing w:before="120" w:after="120" w:line="276" w:lineRule="auto"/>
        <w:jc w:val="both"/>
        <w:rPr>
          <w:rFonts w:ascii="Arial" w:hAnsi="Arial" w:cs="Arial"/>
          <w:b/>
          <w:bCs/>
          <w:color w:val="C00000"/>
          <w:highlight w:val="yellow"/>
          <w:lang w:val="es-ES_tradnl" w:eastAsia="en-US"/>
        </w:rPr>
      </w:pPr>
      <w:r w:rsidRPr="00D13C09">
        <w:rPr>
          <w:rFonts w:ascii="Arial" w:hAnsi="Arial" w:cs="Arial"/>
          <w:b/>
          <w:bCs/>
          <w:color w:val="C00000"/>
          <w:highlight w:val="yellow"/>
          <w:lang w:val="es-ES_tradnl" w:eastAsia="en-US"/>
        </w:rPr>
        <w:t>4.2.5. Tratamiento triple administrado menos de 7 días a la semana</w:t>
      </w:r>
    </w:p>
    <w:p w14:paraId="160540D4" w14:textId="77777777" w:rsidR="00D61AB2" w:rsidRPr="00D13C09" w:rsidRDefault="00D61AB2" w:rsidP="00D61AB2">
      <w:pPr>
        <w:spacing w:before="120" w:after="120" w:line="276" w:lineRule="auto"/>
        <w:jc w:val="both"/>
        <w:rPr>
          <w:rFonts w:ascii="Arial" w:hAnsi="Arial" w:cs="Arial"/>
          <w:b/>
          <w:bCs/>
          <w:color w:val="C00000"/>
          <w:highlight w:val="yellow"/>
          <w:lang w:val="es-ES_tradnl" w:eastAsia="en-US"/>
        </w:rPr>
      </w:pPr>
      <w:r w:rsidRPr="00D13C09">
        <w:rPr>
          <w:rFonts w:ascii="Arial" w:hAnsi="Arial" w:cs="Arial"/>
          <w:b/>
          <w:bCs/>
          <w:color w:val="C00000"/>
          <w:highlight w:val="yellow"/>
          <w:lang w:val="es-ES_tradnl" w:eastAsia="en-US"/>
        </w:rPr>
        <w:t>Cambio de TAR diario a 4 días a la semana</w:t>
      </w:r>
    </w:p>
    <w:p w14:paraId="6294BF15" w14:textId="0FC5E735" w:rsidR="00D61AB2" w:rsidRPr="00D13C09" w:rsidRDefault="00D61AB2" w:rsidP="00D61AB2">
      <w:pPr>
        <w:spacing w:before="120" w:after="120" w:line="276" w:lineRule="auto"/>
        <w:jc w:val="both"/>
        <w:rPr>
          <w:rFonts w:ascii="Arial" w:hAnsi="Arial" w:cs="Arial"/>
          <w:highlight w:val="yellow"/>
          <w:lang w:val="es-ES_tradnl" w:eastAsia="en-US"/>
        </w:rPr>
      </w:pPr>
      <w:r w:rsidRPr="00D13C09">
        <w:rPr>
          <w:rFonts w:ascii="Arial" w:hAnsi="Arial" w:cs="Arial"/>
          <w:b/>
          <w:bCs/>
          <w:highlight w:val="yellow"/>
          <w:lang w:val="es-ES_tradnl" w:eastAsia="en-US"/>
        </w:rPr>
        <w:t>Fundamento</w:t>
      </w:r>
      <w:r w:rsidRPr="00D13C09">
        <w:rPr>
          <w:rFonts w:ascii="Arial" w:hAnsi="Arial" w:cs="Arial"/>
          <w:highlight w:val="yellow"/>
          <w:lang w:val="es-ES_tradnl" w:eastAsia="en-US"/>
        </w:rPr>
        <w:t>. Un ensayo clínico aleatorizado fase 3</w:t>
      </w:r>
      <w:r>
        <w:rPr>
          <w:rFonts w:ascii="Arial" w:hAnsi="Arial" w:cs="Arial"/>
          <w:highlight w:val="yellow"/>
          <w:lang w:val="es-ES_tradnl" w:eastAsia="en-US"/>
        </w:rPr>
        <w:t>,</w:t>
      </w:r>
      <w:r w:rsidRPr="00D13C09">
        <w:rPr>
          <w:rFonts w:ascii="Arial" w:hAnsi="Arial" w:cs="Arial"/>
          <w:highlight w:val="yellow"/>
          <w:lang w:val="es-ES_tradnl" w:eastAsia="en-US"/>
        </w:rPr>
        <w:t xml:space="preserve"> que incluye pacientes en tratamiento estable con IP, ITINN o INI + 2 ITIAN, con CVP suprimida al menos durante 12 meses, CD4&gt;250 cél/mm</w:t>
      </w:r>
      <w:r w:rsidRPr="00D13C09">
        <w:rPr>
          <w:rFonts w:ascii="Arial" w:hAnsi="Arial" w:cs="Arial"/>
          <w:highlight w:val="yellow"/>
          <w:vertAlign w:val="superscript"/>
          <w:lang w:val="es-ES_tradnl" w:eastAsia="en-US"/>
        </w:rPr>
        <w:t>3</w:t>
      </w:r>
      <w:r w:rsidRPr="00D13C09">
        <w:rPr>
          <w:rFonts w:ascii="Arial" w:hAnsi="Arial" w:cs="Arial"/>
          <w:highlight w:val="yellow"/>
          <w:lang w:val="es-ES_tradnl" w:eastAsia="en-US"/>
        </w:rPr>
        <w:t xml:space="preserve"> y sin resistencias previas, muestra que </w:t>
      </w:r>
      <w:r>
        <w:rPr>
          <w:rFonts w:ascii="Arial" w:hAnsi="Arial" w:cs="Arial"/>
          <w:highlight w:val="yellow"/>
          <w:lang w:val="es-ES_tradnl" w:eastAsia="en-US"/>
        </w:rPr>
        <w:t xml:space="preserve">tras 48 semanas de tratamiento, </w:t>
      </w:r>
      <w:r w:rsidRPr="00D13C09">
        <w:rPr>
          <w:rFonts w:ascii="Arial" w:hAnsi="Arial" w:cs="Arial"/>
          <w:highlight w:val="yellow"/>
          <w:lang w:val="es-ES_tradnl" w:eastAsia="en-US"/>
        </w:rPr>
        <w:t>administrar el tratamiento 4 días</w:t>
      </w:r>
      <w:r w:rsidR="003E05E9">
        <w:rPr>
          <w:rFonts w:ascii="Arial" w:hAnsi="Arial" w:cs="Arial"/>
          <w:highlight w:val="yellow"/>
          <w:lang w:val="es-ES_tradnl" w:eastAsia="en-US"/>
        </w:rPr>
        <w:t xml:space="preserve"> consecutivos a la semana es no </w:t>
      </w:r>
      <w:r w:rsidRPr="00D13C09">
        <w:rPr>
          <w:rFonts w:ascii="Arial" w:hAnsi="Arial" w:cs="Arial"/>
          <w:highlight w:val="yellow"/>
          <w:lang w:val="es-ES_tradnl" w:eastAsia="en-US"/>
        </w:rPr>
        <w:t>inferior a administrarlo diariamente</w:t>
      </w:r>
      <w:r>
        <w:rPr>
          <w:rFonts w:ascii="Arial" w:hAnsi="Arial" w:cs="Arial"/>
          <w:highlight w:val="yellow"/>
          <w:vertAlign w:val="superscript"/>
          <w:lang w:val="es-ES_tradnl" w:eastAsia="en-US"/>
        </w:rPr>
        <w:t>32</w:t>
      </w:r>
      <w:r w:rsidRPr="00D13C09">
        <w:rPr>
          <w:rFonts w:ascii="Arial" w:hAnsi="Arial" w:cs="Arial"/>
          <w:highlight w:val="yellow"/>
          <w:lang w:val="es-ES_tradnl" w:eastAsia="en-US"/>
        </w:rPr>
        <w:t xml:space="preserve">. </w:t>
      </w:r>
      <w:r>
        <w:rPr>
          <w:rFonts w:ascii="Arial" w:hAnsi="Arial" w:cs="Arial"/>
          <w:highlight w:val="yellow"/>
          <w:lang w:val="es-ES_tradnl" w:eastAsia="en-US"/>
        </w:rPr>
        <w:t xml:space="preserve">En el grupo de 4 días, 3 de los 6 pacientes con FV presentaron </w:t>
      </w:r>
      <w:r w:rsidR="003E05E9">
        <w:rPr>
          <w:rFonts w:ascii="Arial" w:hAnsi="Arial" w:cs="Arial"/>
          <w:highlight w:val="yellow"/>
          <w:lang w:val="es-ES_tradnl" w:eastAsia="en-US"/>
        </w:rPr>
        <w:t>MR</w:t>
      </w:r>
      <w:r>
        <w:rPr>
          <w:rFonts w:ascii="Arial" w:hAnsi="Arial" w:cs="Arial"/>
          <w:highlight w:val="yellow"/>
          <w:lang w:val="es-ES_tradnl" w:eastAsia="en-US"/>
        </w:rPr>
        <w:t xml:space="preserve"> (los 3 a FTC/3TC, 2 a RPV y 1 a RAL), mientras que en el grupo de 7 días, de los 4 pacientes con FV solo uno desarrolló </w:t>
      </w:r>
      <w:r w:rsidR="003E05E9">
        <w:rPr>
          <w:rFonts w:ascii="Arial" w:hAnsi="Arial" w:cs="Arial"/>
          <w:highlight w:val="yellow"/>
          <w:lang w:val="es-ES_tradnl" w:eastAsia="en-US"/>
        </w:rPr>
        <w:t>MR</w:t>
      </w:r>
      <w:r>
        <w:rPr>
          <w:rFonts w:ascii="Arial" w:hAnsi="Arial" w:cs="Arial"/>
          <w:highlight w:val="yellow"/>
          <w:lang w:val="es-ES_tradnl" w:eastAsia="en-US"/>
        </w:rPr>
        <w:t xml:space="preserve"> a FTC/3TC y RAL.</w:t>
      </w:r>
    </w:p>
    <w:p w14:paraId="7F738010" w14:textId="36439E6B" w:rsidR="00D61AB2" w:rsidRPr="00D13C09" w:rsidRDefault="00D61AB2" w:rsidP="00D61AB2">
      <w:pPr>
        <w:spacing w:before="120" w:after="120" w:line="276" w:lineRule="auto"/>
        <w:jc w:val="both"/>
        <w:rPr>
          <w:rFonts w:ascii="Arial" w:hAnsi="Arial" w:cs="Arial"/>
          <w:lang w:val="es-ES_tradnl" w:eastAsia="en-US"/>
        </w:rPr>
      </w:pPr>
      <w:r w:rsidRPr="00D13C09">
        <w:rPr>
          <w:rFonts w:ascii="Arial" w:hAnsi="Arial" w:cs="Arial"/>
          <w:highlight w:val="yellow"/>
          <w:lang w:val="es-ES_tradnl" w:eastAsia="en-US"/>
        </w:rPr>
        <w:t xml:space="preserve">Es importante tener datos a más largo plazo, teniendo en cuenta que la adherencia puede disminuir con el tiempo y ello posiblemente tendría mucha más repercusión en pacientes </w:t>
      </w:r>
      <w:r>
        <w:rPr>
          <w:rFonts w:ascii="Arial" w:hAnsi="Arial" w:cs="Arial"/>
          <w:highlight w:val="yellow"/>
          <w:lang w:val="es-ES_tradnl" w:eastAsia="en-US"/>
        </w:rPr>
        <w:t>con</w:t>
      </w:r>
      <w:r w:rsidRPr="00D13C09">
        <w:rPr>
          <w:rFonts w:ascii="Arial" w:hAnsi="Arial" w:cs="Arial"/>
          <w:highlight w:val="yellow"/>
          <w:lang w:val="es-ES_tradnl" w:eastAsia="en-US"/>
        </w:rPr>
        <w:t xml:space="preserve"> TAR 4 días a la semana</w:t>
      </w:r>
      <w:r>
        <w:rPr>
          <w:rFonts w:ascii="Arial" w:hAnsi="Arial" w:cs="Arial"/>
          <w:highlight w:val="yellow"/>
          <w:lang w:val="es-ES_tradnl" w:eastAsia="en-US"/>
        </w:rPr>
        <w:t>, especialmente con tratamientos de baja barrera genética</w:t>
      </w:r>
      <w:r w:rsidRPr="00D13C09">
        <w:rPr>
          <w:rFonts w:ascii="Arial" w:hAnsi="Arial" w:cs="Arial"/>
          <w:highlight w:val="yellow"/>
          <w:lang w:val="es-ES_tradnl" w:eastAsia="en-US"/>
        </w:rPr>
        <w:t>.</w:t>
      </w:r>
    </w:p>
    <w:p w14:paraId="0D04D42F" w14:textId="77777777" w:rsidR="00D61AB2" w:rsidRPr="00D13C09" w:rsidRDefault="00D61AB2" w:rsidP="00D61AB2">
      <w:pPr>
        <w:spacing w:before="120" w:after="120" w:line="276" w:lineRule="auto"/>
        <w:jc w:val="both"/>
        <w:rPr>
          <w:rFonts w:ascii="Arial" w:hAnsi="Arial" w:cs="Arial"/>
          <w:b/>
          <w:bCs/>
          <w:color w:val="C00000"/>
          <w:highlight w:val="yellow"/>
          <w:lang w:val="es-ES_tradnl" w:eastAsia="en-US"/>
        </w:rPr>
      </w:pPr>
      <w:r w:rsidRPr="00D13C09">
        <w:rPr>
          <w:rFonts w:ascii="Arial" w:hAnsi="Arial" w:cs="Arial"/>
          <w:b/>
          <w:bCs/>
          <w:color w:val="C00000"/>
          <w:highlight w:val="yellow"/>
          <w:lang w:val="es-ES_tradnl" w:eastAsia="en-US"/>
        </w:rPr>
        <w:t>Recomendación</w:t>
      </w:r>
    </w:p>
    <w:p w14:paraId="0D4CD7FC" w14:textId="77777777" w:rsidR="00D61AB2" w:rsidRPr="00D13C09"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Pr>
          <w:rFonts w:ascii="Arial" w:hAnsi="Arial" w:cs="Arial"/>
          <w:highlight w:val="yellow"/>
        </w:rPr>
        <w:t>Este comité no recomienda</w:t>
      </w:r>
      <w:r w:rsidRPr="00D13C09">
        <w:rPr>
          <w:rFonts w:ascii="Arial" w:hAnsi="Arial" w:cs="Arial"/>
          <w:highlight w:val="yellow"/>
        </w:rPr>
        <w:t xml:space="preserve"> administrar TAR menos de 7 días a la </w:t>
      </w:r>
      <w:r w:rsidRPr="000C735B">
        <w:rPr>
          <w:rFonts w:ascii="Arial" w:hAnsi="Arial" w:cs="Arial"/>
          <w:highlight w:val="yellow"/>
        </w:rPr>
        <w:t xml:space="preserve">semana </w:t>
      </w:r>
      <w:r>
        <w:rPr>
          <w:rFonts w:ascii="Arial" w:hAnsi="Arial" w:cs="Arial"/>
          <w:highlight w:val="yellow"/>
        </w:rPr>
        <w:t>hasta disponer de datos de durabilidad y resistencias a más largo plazo (</w:t>
      </w:r>
      <w:r w:rsidRPr="00A67FD2">
        <w:rPr>
          <w:rFonts w:ascii="Arial" w:hAnsi="Arial" w:cs="Arial"/>
          <w:b/>
          <w:i/>
          <w:highlight w:val="yellow"/>
        </w:rPr>
        <w:t>A-III</w:t>
      </w:r>
      <w:r w:rsidRPr="000C735B">
        <w:rPr>
          <w:rFonts w:ascii="Arial" w:hAnsi="Arial" w:cs="Arial"/>
          <w:highlight w:val="yellow"/>
        </w:rPr>
        <w:t>)</w:t>
      </w:r>
      <w:r>
        <w:rPr>
          <w:rFonts w:ascii="Arial" w:hAnsi="Arial" w:cs="Arial"/>
          <w:highlight w:val="yellow"/>
        </w:rPr>
        <w:t>.</w:t>
      </w:r>
    </w:p>
    <w:p w14:paraId="580687E8" w14:textId="77777777" w:rsidR="00D61AB2" w:rsidRPr="00786669" w:rsidDel="00FC1E9D" w:rsidRDefault="00D61AB2" w:rsidP="00D61AB2">
      <w:pPr>
        <w:spacing w:before="120" w:after="120" w:line="276" w:lineRule="auto"/>
        <w:jc w:val="both"/>
        <w:rPr>
          <w:rFonts w:ascii="Arial" w:hAnsi="Arial" w:cs="Arial"/>
          <w:lang w:val="es-ES_tradnl" w:eastAsia="en-US"/>
        </w:rPr>
      </w:pPr>
      <w:r>
        <w:rPr>
          <w:rFonts w:ascii="Arial" w:hAnsi="Arial" w:cs="Arial"/>
          <w:lang w:val="es-ES_tradnl" w:eastAsia="en-US"/>
        </w:rPr>
        <w:t xml:space="preserve"> </w:t>
      </w:r>
    </w:p>
    <w:p w14:paraId="0D98B350" w14:textId="77777777" w:rsidR="00D61AB2" w:rsidRPr="003F3B0A" w:rsidRDefault="00D61AB2" w:rsidP="00D61AB2">
      <w:pPr>
        <w:spacing w:before="120" w:after="120" w:line="276" w:lineRule="auto"/>
        <w:jc w:val="both"/>
        <w:rPr>
          <w:rFonts w:ascii="Arial" w:hAnsi="Arial" w:cs="Arial"/>
          <w:color w:val="AE1C1F"/>
          <w:lang w:val="es-ES_tradnl" w:eastAsia="en-US"/>
        </w:rPr>
      </w:pPr>
      <w:r w:rsidRPr="007A7554">
        <w:rPr>
          <w:rFonts w:ascii="Arial" w:hAnsi="Arial" w:cs="Arial"/>
          <w:b/>
          <w:color w:val="AE1C1F"/>
          <w:sz w:val="28"/>
          <w:szCs w:val="28"/>
          <w:lang w:val="es-ES_tradnl" w:eastAsia="en-US"/>
        </w:rPr>
        <w:t xml:space="preserve">4.3. Cambios a regímenes que incluyen menos de tres fármacos antirretrovirales </w:t>
      </w:r>
      <w:r w:rsidRPr="003F3B0A">
        <w:rPr>
          <w:rFonts w:ascii="Arial" w:hAnsi="Arial" w:cs="Arial"/>
          <w:color w:val="AE1C1F"/>
          <w:lang w:val="es-ES_tradnl" w:eastAsia="en-US"/>
        </w:rPr>
        <w:t>(Tabla 5).</w:t>
      </w:r>
    </w:p>
    <w:p w14:paraId="3623CA59" w14:textId="77777777" w:rsidR="00D61AB2" w:rsidRDefault="00D61AB2" w:rsidP="00D61AB2">
      <w:pPr>
        <w:spacing w:before="120" w:after="120" w:line="276" w:lineRule="auto"/>
        <w:jc w:val="both"/>
        <w:rPr>
          <w:rFonts w:ascii="Arial" w:hAnsi="Arial" w:cs="Arial"/>
          <w:i/>
          <w:color w:val="AE1C1F"/>
        </w:rPr>
      </w:pPr>
    </w:p>
    <w:p w14:paraId="16167A59" w14:textId="77777777" w:rsidR="00D61AB2" w:rsidRPr="0054423C" w:rsidRDefault="00D61AB2" w:rsidP="00D61AB2">
      <w:pPr>
        <w:spacing w:before="120" w:after="120" w:line="276" w:lineRule="auto"/>
        <w:jc w:val="both"/>
        <w:rPr>
          <w:rFonts w:ascii="Arial" w:hAnsi="Arial" w:cs="Arial"/>
          <w:b/>
          <w:bCs/>
          <w:i/>
          <w:color w:val="AE1C1F"/>
        </w:rPr>
      </w:pPr>
      <w:r w:rsidRPr="0054423C">
        <w:rPr>
          <w:rFonts w:ascii="Arial" w:hAnsi="Arial" w:cs="Arial"/>
          <w:b/>
          <w:bCs/>
          <w:i/>
          <w:color w:val="AE1C1F"/>
        </w:rPr>
        <w:t>4.3.1. Terapia dual con IP/p + 3TC</w:t>
      </w:r>
    </w:p>
    <w:p w14:paraId="77605CC7" w14:textId="77777777" w:rsidR="00D61AB2" w:rsidRPr="00B70332" w:rsidRDefault="00D61AB2" w:rsidP="00D61AB2">
      <w:pPr>
        <w:spacing w:before="120" w:after="120" w:line="276" w:lineRule="auto"/>
        <w:jc w:val="both"/>
        <w:rPr>
          <w:rFonts w:ascii="Arial" w:hAnsi="Arial" w:cs="Arial"/>
          <w:bCs/>
          <w:color w:val="000000" w:themeColor="text1"/>
          <w:lang w:val="es-ES_tradnl" w:eastAsia="en-US"/>
        </w:rPr>
      </w:pPr>
      <w:r w:rsidRPr="000A02EB">
        <w:rPr>
          <w:rFonts w:ascii="Arial" w:hAnsi="Arial" w:cs="Arial"/>
          <w:bCs/>
          <w:color w:val="000000" w:themeColor="text1"/>
          <w:highlight w:val="yellow"/>
          <w:lang w:val="es-ES_tradnl" w:eastAsia="en-US"/>
        </w:rPr>
        <w:lastRenderedPageBreak/>
        <w:t>En este escenario, ninguna de las pautas recomendadas es eficaz frente a la infección crónica por VHB y es necesario descartarla si se piensa suspender TFV (TDF o TAF)</w:t>
      </w:r>
      <w:r>
        <w:rPr>
          <w:rFonts w:ascii="Arial" w:hAnsi="Arial" w:cs="Arial"/>
          <w:bCs/>
          <w:color w:val="000000" w:themeColor="text1"/>
          <w:lang w:val="es-ES_tradnl" w:eastAsia="en-US"/>
        </w:rPr>
        <w:t>.</w:t>
      </w:r>
    </w:p>
    <w:p w14:paraId="46D44431" w14:textId="77777777" w:rsidR="00D61AB2" w:rsidRPr="0054423C" w:rsidRDefault="00D61AB2" w:rsidP="00D61AB2">
      <w:pPr>
        <w:spacing w:before="120" w:after="120" w:line="276" w:lineRule="auto"/>
        <w:jc w:val="both"/>
        <w:rPr>
          <w:rFonts w:ascii="Arial" w:hAnsi="Arial" w:cs="Arial"/>
          <w:b/>
          <w:bCs/>
          <w:color w:val="AE1C1F"/>
          <w:lang w:val="es-ES_tradnl" w:eastAsia="en-US"/>
        </w:rPr>
      </w:pPr>
      <w:r w:rsidRPr="0054423C">
        <w:rPr>
          <w:rFonts w:ascii="Arial" w:hAnsi="Arial" w:cs="Arial"/>
          <w:b/>
          <w:bCs/>
          <w:color w:val="AE1C1F"/>
          <w:lang w:val="es-ES_tradnl" w:eastAsia="en-US"/>
        </w:rPr>
        <w:t xml:space="preserve">Cambio de ATV/r o DRV/r + 2 ITIAN a ATV/r o DRV/r + 3TC </w:t>
      </w:r>
    </w:p>
    <w:p w14:paraId="5848D60E"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3F3B0A">
        <w:rPr>
          <w:rFonts w:ascii="Arial" w:hAnsi="Arial" w:cs="Arial"/>
          <w:lang w:val="es-ES_tradnl" w:eastAsia="en-US"/>
        </w:rPr>
        <w:t>Tres</w:t>
      </w:r>
      <w:r w:rsidRPr="003F3B0A">
        <w:rPr>
          <w:rFonts w:ascii="Arial" w:hAnsi="Arial" w:cs="Arial"/>
          <w:b/>
          <w:lang w:val="es-ES_tradnl" w:eastAsia="en-US"/>
        </w:rPr>
        <w:t xml:space="preserve"> </w:t>
      </w:r>
      <w:r w:rsidRPr="003F3B0A">
        <w:rPr>
          <w:rFonts w:ascii="Arial" w:hAnsi="Arial" w:cs="Arial"/>
          <w:lang w:val="es-ES_tradnl" w:eastAsia="en-US"/>
        </w:rPr>
        <w:t xml:space="preserve">ensayos clínicos aleatorizados y abiertos han demostrado que el cambio de ATV/r+2 ITIAN a terapia dual con </w:t>
      </w:r>
      <w:r w:rsidRPr="003F3B0A">
        <w:rPr>
          <w:rFonts w:ascii="Arial" w:hAnsi="Arial" w:cs="Arial"/>
          <w:color w:val="000000"/>
          <w:lang w:val="es-ES_tradnl" w:eastAsia="en-US"/>
        </w:rPr>
        <w:t>ATV/r+3TC</w:t>
      </w:r>
      <w:r w:rsidRPr="00C713DD">
        <w:rPr>
          <w:rFonts w:ascii="Arial" w:hAnsi="Arial" w:cs="Arial"/>
          <w:noProof/>
          <w:color w:val="000000"/>
          <w:highlight w:val="yellow"/>
          <w:vertAlign w:val="superscript"/>
          <w:lang w:val="es-ES_tradnl" w:eastAsia="en-US"/>
        </w:rPr>
        <w:t>3</w:t>
      </w:r>
      <w:r>
        <w:rPr>
          <w:rFonts w:ascii="Arial" w:hAnsi="Arial" w:cs="Arial"/>
          <w:noProof/>
          <w:color w:val="000000"/>
          <w:highlight w:val="yellow"/>
          <w:vertAlign w:val="superscript"/>
          <w:lang w:val="es-ES_tradnl" w:eastAsia="en-US"/>
        </w:rPr>
        <w:t>3</w:t>
      </w:r>
      <w:r w:rsidRPr="00C713DD">
        <w:rPr>
          <w:rFonts w:ascii="Arial" w:hAnsi="Arial" w:cs="Arial"/>
          <w:noProof/>
          <w:color w:val="000000"/>
          <w:highlight w:val="yellow"/>
          <w:vertAlign w:val="superscript"/>
          <w:lang w:val="es-ES_tradnl" w:eastAsia="en-US"/>
        </w:rPr>
        <w:t>,3</w:t>
      </w:r>
      <w:r>
        <w:rPr>
          <w:rFonts w:ascii="Arial" w:hAnsi="Arial" w:cs="Arial"/>
          <w:noProof/>
          <w:color w:val="000000"/>
          <w:highlight w:val="yellow"/>
          <w:vertAlign w:val="superscript"/>
          <w:lang w:val="es-ES_tradnl" w:eastAsia="en-US"/>
        </w:rPr>
        <w:t>4</w:t>
      </w:r>
      <w:r w:rsidRPr="003F3B0A">
        <w:rPr>
          <w:rFonts w:ascii="Arial" w:hAnsi="Arial" w:cs="Arial"/>
          <w:color w:val="000000"/>
          <w:lang w:val="es-ES_tradnl" w:eastAsia="en-US"/>
        </w:rPr>
        <w:t xml:space="preserve"> </w:t>
      </w:r>
      <w:r w:rsidRPr="003F3B0A">
        <w:rPr>
          <w:rFonts w:ascii="Arial" w:hAnsi="Arial" w:cs="Arial"/>
          <w:noProof/>
          <w:color w:val="000000"/>
          <w:lang w:val="es-ES_tradnl" w:eastAsia="en-US"/>
        </w:rPr>
        <w:t>o</w:t>
      </w:r>
      <w:r w:rsidRPr="003F3B0A">
        <w:rPr>
          <w:rFonts w:ascii="Arial" w:hAnsi="Arial" w:cs="Arial"/>
          <w:noProof/>
          <w:lang w:val="es-ES_tradnl" w:eastAsia="en-US"/>
        </w:rPr>
        <w:t xml:space="preserve"> DRV/r+2 ITIAN a terapia dual </w:t>
      </w:r>
      <w:r w:rsidRPr="003F3B0A">
        <w:rPr>
          <w:rFonts w:ascii="Arial" w:hAnsi="Arial" w:cs="Arial"/>
          <w:noProof/>
          <w:color w:val="000000"/>
          <w:lang w:val="es-ES_tradnl" w:eastAsia="en-US"/>
        </w:rPr>
        <w:t>DRV/r+3TC</w:t>
      </w:r>
      <w:r w:rsidRPr="00C713DD">
        <w:rPr>
          <w:rFonts w:ascii="Arial" w:hAnsi="Arial" w:cs="Arial"/>
          <w:noProof/>
          <w:color w:val="000000"/>
          <w:highlight w:val="yellow"/>
          <w:vertAlign w:val="superscript"/>
          <w:lang w:val="es-ES_tradnl" w:eastAsia="en-US"/>
        </w:rPr>
        <w:t>3</w:t>
      </w:r>
      <w:r>
        <w:rPr>
          <w:rFonts w:ascii="Arial" w:hAnsi="Arial" w:cs="Arial"/>
          <w:noProof/>
          <w:color w:val="000000"/>
          <w:highlight w:val="yellow"/>
          <w:vertAlign w:val="superscript"/>
          <w:lang w:val="es-ES_tradnl" w:eastAsia="en-US"/>
        </w:rPr>
        <w:t>5</w:t>
      </w:r>
      <w:r w:rsidRPr="003F3B0A">
        <w:rPr>
          <w:rFonts w:ascii="Arial" w:hAnsi="Arial" w:cs="Arial"/>
          <w:noProof/>
          <w:color w:val="000000"/>
          <w:lang w:val="es-ES_tradnl" w:eastAsia="en-US"/>
        </w:rPr>
        <w:t xml:space="preserve"> </w:t>
      </w:r>
      <w:r w:rsidRPr="003F3B0A">
        <w:rPr>
          <w:rFonts w:ascii="Arial" w:hAnsi="Arial" w:cs="Arial"/>
          <w:color w:val="000000"/>
          <w:lang w:val="es-ES_tradnl" w:eastAsia="en-US"/>
        </w:rPr>
        <w:t>es no</w:t>
      </w:r>
      <w:r w:rsidRPr="003F3B0A">
        <w:rPr>
          <w:rFonts w:ascii="Arial" w:hAnsi="Arial" w:cs="Arial"/>
          <w:lang w:val="es-ES_tradnl" w:eastAsia="en-US"/>
        </w:rPr>
        <w:t xml:space="preserve"> inferior a </w:t>
      </w:r>
      <w:r w:rsidRPr="003F3B0A">
        <w:rPr>
          <w:rFonts w:ascii="Arial" w:hAnsi="Arial" w:cs="Arial"/>
          <w:color w:val="000000"/>
          <w:lang w:val="es-ES_tradnl" w:eastAsia="en-US"/>
        </w:rPr>
        <w:t>continuar</w:t>
      </w:r>
      <w:r w:rsidRPr="003F3B0A">
        <w:rPr>
          <w:rFonts w:ascii="Arial" w:hAnsi="Arial" w:cs="Arial"/>
          <w:lang w:val="es-ES_tradnl" w:eastAsia="en-US"/>
        </w:rPr>
        <w:t xml:space="preserve"> la triple terapia </w:t>
      </w:r>
      <w:r w:rsidRPr="003F3B0A">
        <w:rPr>
          <w:rFonts w:ascii="Arial" w:hAnsi="Arial" w:cs="Arial"/>
          <w:color w:val="000000"/>
          <w:lang w:val="es-ES_tradnl" w:eastAsia="en-US"/>
        </w:rPr>
        <w:t xml:space="preserve">basada </w:t>
      </w:r>
      <w:r w:rsidRPr="000A02EB">
        <w:rPr>
          <w:rFonts w:ascii="Arial" w:hAnsi="Arial" w:cs="Arial"/>
          <w:color w:val="000000"/>
          <w:highlight w:val="yellow"/>
          <w:lang w:val="es-ES_tradnl" w:eastAsia="en-US"/>
        </w:rPr>
        <w:t>en IP/r en pacientes sin resistencias previas a IP o 3TC</w:t>
      </w:r>
      <w:r w:rsidRPr="000A02EB">
        <w:rPr>
          <w:rFonts w:ascii="Arial" w:hAnsi="Arial" w:cs="Arial"/>
          <w:highlight w:val="yellow"/>
          <w:lang w:val="es-ES_tradnl" w:eastAsia="en-US"/>
        </w:rPr>
        <w:t>.</w:t>
      </w:r>
      <w:r w:rsidRPr="003F3B0A">
        <w:rPr>
          <w:rFonts w:ascii="Arial" w:hAnsi="Arial" w:cs="Arial"/>
          <w:lang w:val="es-ES_tradnl" w:eastAsia="en-US"/>
        </w:rPr>
        <w:t xml:space="preserve"> </w:t>
      </w:r>
      <w:r w:rsidRPr="003F3B0A">
        <w:rPr>
          <w:rFonts w:ascii="Arial" w:hAnsi="Arial" w:cs="Arial"/>
          <w:color w:val="000000"/>
          <w:lang w:val="es-ES_tradnl" w:eastAsia="en-US"/>
        </w:rPr>
        <w:t>Un</w:t>
      </w:r>
      <w:r w:rsidRPr="003F3B0A">
        <w:rPr>
          <w:rFonts w:ascii="Arial" w:hAnsi="Arial" w:cs="Arial"/>
          <w:lang w:val="es-ES_tradnl" w:eastAsia="en-US"/>
        </w:rPr>
        <w:t xml:space="preserve"> meta-análisis de datos de pacientes individuales ha demostrado que la terapia dual con un IP/p+3TC es no inferior a la terapia triple con un IP/p+2 </w:t>
      </w:r>
      <w:r w:rsidRPr="003F3B0A">
        <w:rPr>
          <w:rFonts w:ascii="Arial" w:hAnsi="Arial" w:cs="Arial"/>
          <w:color w:val="000000"/>
          <w:lang w:val="es-ES_tradnl" w:eastAsia="en-US"/>
        </w:rPr>
        <w:t>ITIAN y sin mayor riesgo de desarrollar resistencias</w:t>
      </w:r>
      <w:r w:rsidRPr="00397249">
        <w:rPr>
          <w:rFonts w:ascii="Arial" w:hAnsi="Arial" w:cs="Arial"/>
          <w:noProof/>
          <w:color w:val="000000"/>
          <w:highlight w:val="yellow"/>
          <w:vertAlign w:val="superscript"/>
          <w:lang w:val="es-ES_tradnl" w:eastAsia="en-US"/>
        </w:rPr>
        <w:t>36</w:t>
      </w:r>
      <w:r w:rsidRPr="003F3B0A">
        <w:rPr>
          <w:rFonts w:ascii="Arial" w:hAnsi="Arial" w:cs="Arial"/>
          <w:color w:val="000000"/>
          <w:lang w:val="es-ES_tradnl" w:eastAsia="en-US"/>
        </w:rPr>
        <w:t>.</w:t>
      </w:r>
    </w:p>
    <w:p w14:paraId="7D48B125"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68C0E561"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0A02EB">
        <w:rPr>
          <w:rFonts w:ascii="Arial" w:hAnsi="Arial" w:cs="Arial"/>
          <w:highlight w:val="yellow"/>
        </w:rPr>
        <w:t>En pacientes en tratamiento con IP/p + 2 ITIAN que quieran simplificar el TAR y/o evitar los efectos adversos causados por los ITIAN, el cambio a IP/p + 3TC es una opción adecuada (</w:t>
      </w:r>
      <w:r w:rsidRPr="000A02EB">
        <w:rPr>
          <w:rFonts w:ascii="Arial" w:hAnsi="Arial" w:cs="Arial"/>
          <w:b/>
          <w:i/>
          <w:highlight w:val="yellow"/>
        </w:rPr>
        <w:t>C-I</w:t>
      </w:r>
      <w:r w:rsidRPr="000A02EB">
        <w:rPr>
          <w:rFonts w:ascii="Arial" w:hAnsi="Arial" w:cs="Arial"/>
          <w:highlight w:val="yellow"/>
        </w:rPr>
        <w:t>)</w:t>
      </w:r>
      <w:r>
        <w:rPr>
          <w:rFonts w:ascii="Arial" w:hAnsi="Arial" w:cs="Arial"/>
          <w:highlight w:val="yellow"/>
        </w:rPr>
        <w:t>.</w:t>
      </w:r>
    </w:p>
    <w:p w14:paraId="4B2CADB4" w14:textId="77777777" w:rsidR="00D61AB2" w:rsidRDefault="00D61AB2" w:rsidP="00D61AB2">
      <w:pPr>
        <w:spacing w:before="120" w:after="120" w:line="276" w:lineRule="auto"/>
        <w:jc w:val="both"/>
        <w:rPr>
          <w:rFonts w:ascii="Arial" w:hAnsi="Arial" w:cs="Arial"/>
          <w:b/>
          <w:bCs/>
          <w:i/>
          <w:color w:val="AE1C1F"/>
        </w:rPr>
      </w:pPr>
    </w:p>
    <w:p w14:paraId="0C10A8B6" w14:textId="77777777" w:rsidR="00D61AB2" w:rsidRPr="0054423C" w:rsidRDefault="00D61AB2" w:rsidP="00D61AB2">
      <w:pPr>
        <w:spacing w:before="120" w:after="120" w:line="276" w:lineRule="auto"/>
        <w:jc w:val="both"/>
        <w:rPr>
          <w:rFonts w:ascii="Arial" w:hAnsi="Arial" w:cs="Arial"/>
          <w:b/>
          <w:bCs/>
          <w:i/>
          <w:color w:val="AE1C1F"/>
        </w:rPr>
      </w:pPr>
      <w:r w:rsidRPr="0054423C">
        <w:rPr>
          <w:rFonts w:ascii="Arial" w:hAnsi="Arial" w:cs="Arial"/>
          <w:b/>
          <w:bCs/>
          <w:i/>
          <w:color w:val="AE1C1F"/>
        </w:rPr>
        <w:t>4.3.2. Terapia dual con DTG + RPV</w:t>
      </w:r>
    </w:p>
    <w:p w14:paraId="76250B2E" w14:textId="77777777" w:rsidR="00D61AB2" w:rsidRDefault="00D61AB2" w:rsidP="00D61AB2">
      <w:pPr>
        <w:spacing w:before="120" w:after="120" w:line="276" w:lineRule="auto"/>
        <w:jc w:val="both"/>
        <w:rPr>
          <w:rFonts w:ascii="Arial" w:hAnsi="Arial" w:cs="Arial"/>
          <w:color w:val="AE1C1F"/>
        </w:rPr>
      </w:pPr>
    </w:p>
    <w:p w14:paraId="062AE557" w14:textId="77777777" w:rsidR="00D61AB2" w:rsidRPr="0054423C" w:rsidRDefault="00D61AB2" w:rsidP="00D61AB2">
      <w:pPr>
        <w:spacing w:before="120" w:after="120" w:line="276" w:lineRule="auto"/>
        <w:jc w:val="both"/>
        <w:rPr>
          <w:rFonts w:ascii="Arial" w:hAnsi="Arial" w:cs="Arial"/>
          <w:b/>
          <w:bCs/>
          <w:color w:val="AE1C1F"/>
        </w:rPr>
      </w:pPr>
      <w:r w:rsidRPr="0054423C">
        <w:rPr>
          <w:rFonts w:ascii="Arial" w:hAnsi="Arial" w:cs="Arial"/>
          <w:b/>
          <w:bCs/>
          <w:color w:val="AE1C1F"/>
        </w:rPr>
        <w:t>Cambio a DTG + RPV desde pautas que contienen IP/p, ITNN o INI + 2 ITIAN</w:t>
      </w:r>
    </w:p>
    <w:p w14:paraId="36ACF760" w14:textId="77777777" w:rsidR="00D61AB2" w:rsidRPr="003F3B0A"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Fundamento.</w:t>
      </w:r>
      <w:r w:rsidRPr="003F3B0A">
        <w:rPr>
          <w:rFonts w:ascii="Arial" w:hAnsi="Arial" w:cs="Arial"/>
          <w:lang w:val="es-ES_tradnl" w:eastAsia="en-US"/>
        </w:rPr>
        <w:t xml:space="preserve"> Dos ensayos clínicos abiertos han demostrado que en pacientes con replicación viral suprimida durante al menos 12 meses y sin fracaso viral previo, que están recibiendo 2 </w:t>
      </w:r>
      <w:r w:rsidRPr="003F3B0A">
        <w:rPr>
          <w:rFonts w:ascii="Arial" w:hAnsi="Arial" w:cs="Arial"/>
          <w:color w:val="000000"/>
          <w:lang w:val="es-ES_tradnl" w:eastAsia="en-US"/>
        </w:rPr>
        <w:t>ITIAN + IP/p,</w:t>
      </w:r>
      <w:r w:rsidRPr="003F3B0A">
        <w:rPr>
          <w:rFonts w:ascii="Arial" w:hAnsi="Arial" w:cs="Arial"/>
          <w:lang w:val="es-ES_tradnl" w:eastAsia="en-US"/>
        </w:rPr>
        <w:t xml:space="preserve"> ITINN o </w:t>
      </w:r>
      <w:r w:rsidRPr="003F3B0A">
        <w:rPr>
          <w:rFonts w:ascii="Arial" w:hAnsi="Arial" w:cs="Arial"/>
          <w:color w:val="000000"/>
          <w:lang w:val="es-ES_tradnl" w:eastAsia="en-US"/>
        </w:rPr>
        <w:t>INI</w:t>
      </w:r>
      <w:r w:rsidRPr="003F3B0A">
        <w:rPr>
          <w:rFonts w:ascii="Arial" w:hAnsi="Arial" w:cs="Arial"/>
          <w:lang w:val="es-ES_tradnl" w:eastAsia="en-US"/>
        </w:rPr>
        <w:t>, el cambio a DTG + RPV es virológicamente no-</w:t>
      </w:r>
      <w:r w:rsidRPr="003F3B0A">
        <w:rPr>
          <w:rFonts w:ascii="Arial" w:hAnsi="Arial" w:cs="Arial"/>
          <w:color w:val="000000"/>
          <w:lang w:val="es-ES_tradnl" w:eastAsia="en-US"/>
        </w:rPr>
        <w:t>inferior a las 48 semanas, sin un riesgo aumentado de selección de resistencias</w:t>
      </w:r>
      <w:r w:rsidRPr="00397249">
        <w:rPr>
          <w:rFonts w:ascii="Arial" w:hAnsi="Arial" w:cs="Arial"/>
          <w:noProof/>
          <w:color w:val="000000"/>
          <w:highlight w:val="yellow"/>
          <w:vertAlign w:val="superscript"/>
          <w:lang w:val="es-ES_tradnl" w:eastAsia="en-US"/>
        </w:rPr>
        <w:t>37</w:t>
      </w:r>
      <w:r w:rsidRPr="003F3B0A">
        <w:rPr>
          <w:rFonts w:ascii="Arial" w:hAnsi="Arial" w:cs="Arial"/>
          <w:lang w:val="es-ES_tradnl" w:eastAsia="en-US"/>
        </w:rPr>
        <w:t xml:space="preserve">. </w:t>
      </w:r>
      <w:r w:rsidRPr="00505396">
        <w:rPr>
          <w:rFonts w:ascii="Arial" w:hAnsi="Arial" w:cs="Arial"/>
          <w:highlight w:val="yellow"/>
          <w:lang w:val="es-ES_tradnl" w:eastAsia="en-US"/>
        </w:rPr>
        <w:t xml:space="preserve">Se observó una mejoría en los biomarcadores de recambio óseo y en la densidad mineral ósea, sin </w:t>
      </w:r>
      <w:r w:rsidRPr="00505396">
        <w:rPr>
          <w:rFonts w:ascii="Arial" w:hAnsi="Arial" w:cs="Arial"/>
          <w:color w:val="000000"/>
          <w:highlight w:val="yellow"/>
          <w:lang w:val="es-ES_tradnl" w:eastAsia="en-US"/>
        </w:rPr>
        <w:t>diferencias en los marcadores inflamatorios</w:t>
      </w:r>
      <w:r>
        <w:rPr>
          <w:rFonts w:ascii="Arial" w:hAnsi="Arial" w:cs="Arial"/>
          <w:color w:val="000000"/>
          <w:highlight w:val="yellow"/>
          <w:lang w:val="es-ES_tradnl" w:eastAsia="en-US"/>
        </w:rPr>
        <w:t>,</w:t>
      </w:r>
      <w:r w:rsidRPr="00505396">
        <w:rPr>
          <w:rFonts w:ascii="Arial" w:hAnsi="Arial" w:cs="Arial"/>
          <w:color w:val="000000"/>
          <w:highlight w:val="yellow"/>
          <w:lang w:val="es-ES_tradnl" w:eastAsia="en-US"/>
        </w:rPr>
        <w:t xml:space="preserve"> entre la terapia dual y el comparador</w:t>
      </w:r>
      <w:r w:rsidRPr="00505396">
        <w:rPr>
          <w:rFonts w:ascii="Arial" w:hAnsi="Arial" w:cs="Arial"/>
          <w:highlight w:val="yellow"/>
          <w:lang w:val="es-ES_tradnl" w:eastAsia="en-US"/>
        </w:rPr>
        <w:t xml:space="preserve"> y con más</w:t>
      </w:r>
      <w:r w:rsidRPr="003F3B0A">
        <w:rPr>
          <w:rFonts w:ascii="Arial" w:hAnsi="Arial" w:cs="Arial"/>
          <w:lang w:val="es-ES_tradnl" w:eastAsia="en-US"/>
        </w:rPr>
        <w:t xml:space="preserve"> interrupciones debidas a efectos adversos</w:t>
      </w:r>
      <w:r>
        <w:rPr>
          <w:rFonts w:ascii="Arial" w:hAnsi="Arial" w:cs="Arial"/>
          <w:lang w:val="es-ES_tradnl" w:eastAsia="en-US"/>
        </w:rPr>
        <w:t xml:space="preserve"> con DTG + RPV</w:t>
      </w:r>
      <w:r w:rsidRPr="003F3B0A">
        <w:rPr>
          <w:rFonts w:ascii="Arial" w:hAnsi="Arial" w:cs="Arial"/>
          <w:lang w:val="es-ES_tradnl" w:eastAsia="en-US"/>
        </w:rPr>
        <w:t xml:space="preserve"> (3% vs. &lt;1%)</w:t>
      </w:r>
      <w:r>
        <w:rPr>
          <w:rFonts w:ascii="Arial" w:hAnsi="Arial" w:cs="Arial"/>
          <w:color w:val="000000"/>
          <w:lang w:val="es-ES_tradnl" w:eastAsia="en-US"/>
        </w:rPr>
        <w:t xml:space="preserve">. </w:t>
      </w:r>
      <w:r w:rsidRPr="00196464">
        <w:rPr>
          <w:rFonts w:ascii="Arial" w:hAnsi="Arial" w:cs="Arial"/>
          <w:color w:val="000000"/>
          <w:lang w:val="es-ES_tradnl" w:eastAsia="en-US"/>
        </w:rPr>
        <w:t>A</w:t>
      </w:r>
      <w:r>
        <w:rPr>
          <w:rFonts w:ascii="Arial" w:hAnsi="Arial" w:cs="Arial"/>
          <w:color w:val="000000"/>
          <w:lang w:val="es-ES_tradnl" w:eastAsia="en-US"/>
        </w:rPr>
        <w:t xml:space="preserve"> </w:t>
      </w:r>
      <w:r w:rsidRPr="00CC12E7">
        <w:rPr>
          <w:rFonts w:ascii="Arial" w:hAnsi="Arial" w:cs="Arial"/>
          <w:color w:val="000000"/>
          <w:highlight w:val="yellow"/>
          <w:lang w:val="es-ES_tradnl" w:eastAsia="en-US"/>
        </w:rPr>
        <w:t>los 3 años de tratamiento se mantiene</w:t>
      </w:r>
      <w:r w:rsidRPr="003F3B0A">
        <w:rPr>
          <w:rFonts w:ascii="Arial" w:hAnsi="Arial" w:cs="Arial"/>
          <w:color w:val="000000"/>
          <w:lang w:val="es-ES_tradnl" w:eastAsia="en-US"/>
        </w:rPr>
        <w:t xml:space="preserve"> la elevada eficacia de la terapia dual</w:t>
      </w:r>
      <w:r>
        <w:rPr>
          <w:rFonts w:ascii="Arial" w:hAnsi="Arial" w:cs="Arial"/>
          <w:color w:val="000000"/>
          <w:highlight w:val="yellow"/>
          <w:vertAlign w:val="superscript"/>
          <w:lang w:val="es-ES_tradnl" w:eastAsia="en-US"/>
        </w:rPr>
        <w:t>38</w:t>
      </w:r>
      <w:r w:rsidRPr="003F3B0A">
        <w:rPr>
          <w:rFonts w:ascii="Arial" w:hAnsi="Arial" w:cs="Arial"/>
          <w:color w:val="000000"/>
          <w:lang w:val="es-ES_tradnl" w:eastAsia="en-US"/>
        </w:rPr>
        <w:t>.</w:t>
      </w:r>
    </w:p>
    <w:p w14:paraId="249ADD44"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642746CD"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0A02EB">
        <w:rPr>
          <w:rFonts w:ascii="Arial" w:hAnsi="Arial" w:cs="Arial"/>
          <w:highlight w:val="yellow"/>
        </w:rPr>
        <w:t>En pacientes en tratamiento con IP/p, ITNN o INI + 2 ITIAN que quieran simplificar el TAR y/o evitar los efectos adversos causados por los ITIAN, el cambio a DTG + RPV es una opción adecuada (</w:t>
      </w:r>
      <w:r w:rsidRPr="000A02EB">
        <w:rPr>
          <w:rFonts w:ascii="Arial" w:hAnsi="Arial" w:cs="Arial"/>
          <w:b/>
          <w:i/>
          <w:highlight w:val="yellow"/>
        </w:rPr>
        <w:t>A-I</w:t>
      </w:r>
      <w:r w:rsidRPr="000A02EB">
        <w:rPr>
          <w:rFonts w:ascii="Arial" w:hAnsi="Arial" w:cs="Arial"/>
          <w:highlight w:val="yellow"/>
        </w:rPr>
        <w:t>)</w:t>
      </w:r>
      <w:r>
        <w:rPr>
          <w:rFonts w:ascii="Arial" w:hAnsi="Arial" w:cs="Arial"/>
          <w:highlight w:val="yellow"/>
        </w:rPr>
        <w:t>.</w:t>
      </w:r>
    </w:p>
    <w:p w14:paraId="51D42327" w14:textId="77777777" w:rsidR="00D61AB2" w:rsidRDefault="00D61AB2" w:rsidP="00D61AB2">
      <w:pPr>
        <w:spacing w:before="120" w:after="120" w:line="276" w:lineRule="auto"/>
        <w:jc w:val="both"/>
        <w:rPr>
          <w:rFonts w:ascii="Arial" w:hAnsi="Arial" w:cs="Arial"/>
          <w:b/>
          <w:bCs/>
          <w:i/>
          <w:color w:val="AE1C1F"/>
        </w:rPr>
      </w:pPr>
    </w:p>
    <w:p w14:paraId="52557299" w14:textId="77777777" w:rsidR="00D61AB2" w:rsidRPr="007A7554" w:rsidRDefault="00D61AB2" w:rsidP="00D61AB2">
      <w:pPr>
        <w:spacing w:before="120" w:after="120" w:line="276" w:lineRule="auto"/>
        <w:jc w:val="both"/>
        <w:rPr>
          <w:rFonts w:ascii="Arial" w:hAnsi="Arial" w:cs="Arial"/>
          <w:b/>
          <w:bCs/>
          <w:i/>
          <w:color w:val="AE1C1F"/>
        </w:rPr>
      </w:pPr>
      <w:r w:rsidRPr="007A7554">
        <w:rPr>
          <w:rFonts w:ascii="Arial" w:hAnsi="Arial" w:cs="Arial"/>
          <w:b/>
          <w:bCs/>
          <w:i/>
          <w:color w:val="AE1C1F"/>
        </w:rPr>
        <w:t>4.3.3. Terapia dual con DTG + 3TC</w:t>
      </w:r>
    </w:p>
    <w:p w14:paraId="331A32D9" w14:textId="77777777" w:rsidR="00D61AB2" w:rsidRDefault="00D61AB2" w:rsidP="00D61AB2">
      <w:pPr>
        <w:spacing w:before="120" w:after="120" w:line="276" w:lineRule="auto"/>
        <w:jc w:val="both"/>
        <w:rPr>
          <w:rFonts w:ascii="Arial" w:hAnsi="Arial" w:cs="Arial"/>
          <w:b/>
          <w:bCs/>
          <w:color w:val="AE1C1F"/>
        </w:rPr>
      </w:pPr>
    </w:p>
    <w:p w14:paraId="0F1D6B74" w14:textId="77777777" w:rsidR="00D61AB2" w:rsidRPr="007A7554" w:rsidRDefault="00D61AB2" w:rsidP="00D61AB2">
      <w:pPr>
        <w:spacing w:before="120" w:after="120" w:line="276" w:lineRule="auto"/>
        <w:jc w:val="both"/>
        <w:rPr>
          <w:rFonts w:ascii="Arial" w:hAnsi="Arial" w:cs="Arial"/>
          <w:b/>
          <w:bCs/>
          <w:color w:val="AE1C1F"/>
        </w:rPr>
      </w:pPr>
      <w:r w:rsidRPr="007A7554">
        <w:rPr>
          <w:rFonts w:ascii="Arial" w:hAnsi="Arial" w:cs="Arial"/>
          <w:b/>
          <w:bCs/>
          <w:color w:val="AE1C1F"/>
        </w:rPr>
        <w:t>Cambio a DTG + 3TC desde pautas que contienen IP/p, ITINN o INI + 2 ITIAN</w:t>
      </w:r>
    </w:p>
    <w:p w14:paraId="76AFF297" w14:textId="0C55C7B1" w:rsidR="00D61AB2" w:rsidRPr="00FC6939"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AF02E2">
        <w:rPr>
          <w:rFonts w:ascii="Arial" w:hAnsi="Arial" w:cs="Arial"/>
          <w:highlight w:val="yellow"/>
          <w:lang w:val="es-ES_tradnl" w:eastAsia="en-US"/>
        </w:rPr>
        <w:t>Un e</w:t>
      </w:r>
      <w:r>
        <w:rPr>
          <w:rFonts w:ascii="Arial" w:hAnsi="Arial" w:cs="Arial"/>
          <w:highlight w:val="yellow"/>
          <w:lang w:val="es-ES_tradnl" w:eastAsia="en-US"/>
        </w:rPr>
        <w:t>nsayo clínico</w:t>
      </w:r>
      <w:r w:rsidRPr="00AF02E2">
        <w:rPr>
          <w:rFonts w:ascii="Arial" w:hAnsi="Arial" w:cs="Arial"/>
          <w:highlight w:val="yellow"/>
          <w:lang w:val="es-ES_tradnl" w:eastAsia="en-US"/>
        </w:rPr>
        <w:t xml:space="preserve"> aleatorizado fase 3 ha demostrado que en pacientes con supresión virológica durante al menos 6 meses con un régimen </w:t>
      </w:r>
      <w:r>
        <w:rPr>
          <w:rFonts w:ascii="Arial" w:hAnsi="Arial" w:cs="Arial"/>
          <w:highlight w:val="yellow"/>
          <w:lang w:val="es-ES_tradnl" w:eastAsia="en-US"/>
        </w:rPr>
        <w:lastRenderedPageBreak/>
        <w:t xml:space="preserve">que </w:t>
      </w:r>
      <w:r w:rsidRPr="000A02EB">
        <w:rPr>
          <w:rFonts w:ascii="Arial" w:hAnsi="Arial" w:cs="Arial"/>
          <w:highlight w:val="yellow"/>
          <w:lang w:val="es-ES_tradnl" w:eastAsia="en-US"/>
        </w:rPr>
        <w:t xml:space="preserve">contiene TAF y sin fallos virológicos previos, el </w:t>
      </w:r>
      <w:r w:rsidR="003E05E9">
        <w:rPr>
          <w:rFonts w:ascii="Arial" w:hAnsi="Arial" w:cs="Arial"/>
          <w:highlight w:val="yellow"/>
          <w:lang w:val="es-ES_tradnl" w:eastAsia="en-US"/>
        </w:rPr>
        <w:t xml:space="preserve">cambio a DTG+3TC es no </w:t>
      </w:r>
      <w:r w:rsidRPr="00AF02E2">
        <w:rPr>
          <w:rFonts w:ascii="Arial" w:hAnsi="Arial" w:cs="Arial"/>
          <w:highlight w:val="yellow"/>
          <w:lang w:val="es-ES_tradnl" w:eastAsia="en-US"/>
        </w:rPr>
        <w:t xml:space="preserve">inferior a continuar el TAR previo </w:t>
      </w:r>
      <w:r>
        <w:rPr>
          <w:rFonts w:ascii="Arial" w:hAnsi="Arial" w:cs="Arial"/>
          <w:highlight w:val="yellow"/>
          <w:lang w:val="es-ES_tradnl" w:eastAsia="en-US"/>
        </w:rPr>
        <w:t xml:space="preserve">a 48 semanas, </w:t>
      </w:r>
      <w:r w:rsidRPr="00AF02E2">
        <w:rPr>
          <w:rFonts w:ascii="Arial" w:hAnsi="Arial" w:cs="Arial"/>
          <w:highlight w:val="yellow"/>
          <w:lang w:val="es-ES_tradnl" w:eastAsia="en-US"/>
        </w:rPr>
        <w:t xml:space="preserve">sin que se desarrollaran </w:t>
      </w:r>
      <w:r w:rsidR="003E05E9">
        <w:rPr>
          <w:rFonts w:ascii="Arial" w:hAnsi="Arial" w:cs="Arial"/>
          <w:highlight w:val="yellow"/>
          <w:lang w:val="es-ES_tradnl" w:eastAsia="en-US"/>
        </w:rPr>
        <w:t xml:space="preserve">MR </w:t>
      </w:r>
      <w:r w:rsidRPr="00AF02E2">
        <w:rPr>
          <w:rFonts w:ascii="Arial" w:hAnsi="Arial" w:cs="Arial"/>
          <w:highlight w:val="yellow"/>
          <w:lang w:val="es-ES_tradnl" w:eastAsia="en-US"/>
        </w:rPr>
        <w:t xml:space="preserve"> en ningún paciente</w:t>
      </w:r>
      <w:r>
        <w:rPr>
          <w:rFonts w:ascii="Arial" w:hAnsi="Arial" w:cs="Arial"/>
          <w:highlight w:val="yellow"/>
          <w:vertAlign w:val="superscript"/>
          <w:lang w:val="es-ES_tradnl" w:eastAsia="en-US"/>
        </w:rPr>
        <w:t>39</w:t>
      </w:r>
      <w:r w:rsidRPr="00AF02E2">
        <w:rPr>
          <w:rFonts w:ascii="Arial" w:hAnsi="Arial" w:cs="Arial"/>
          <w:highlight w:val="yellow"/>
          <w:lang w:val="es-ES_tradnl" w:eastAsia="en-US"/>
        </w:rPr>
        <w:t xml:space="preserve">. Un </w:t>
      </w:r>
      <w:r>
        <w:rPr>
          <w:rFonts w:ascii="Arial" w:hAnsi="Arial" w:cs="Arial"/>
          <w:highlight w:val="yellow"/>
          <w:lang w:val="es-ES_tradnl" w:eastAsia="en-US"/>
        </w:rPr>
        <w:t>e</w:t>
      </w:r>
      <w:r w:rsidRPr="00AF02E2">
        <w:rPr>
          <w:rFonts w:ascii="Arial" w:hAnsi="Arial" w:cs="Arial"/>
          <w:highlight w:val="yellow"/>
          <w:lang w:val="es-ES_tradnl" w:eastAsia="en-US"/>
        </w:rPr>
        <w:t xml:space="preserve">studio piloto </w:t>
      </w:r>
      <w:r>
        <w:rPr>
          <w:rFonts w:ascii="Arial" w:hAnsi="Arial" w:cs="Arial"/>
          <w:highlight w:val="yellow"/>
          <w:lang w:val="es-ES_tradnl" w:eastAsia="en-US"/>
        </w:rPr>
        <w:t xml:space="preserve">aleatorizado </w:t>
      </w:r>
      <w:r w:rsidRPr="00AF02E2">
        <w:rPr>
          <w:rFonts w:ascii="Arial" w:hAnsi="Arial" w:cs="Arial"/>
          <w:highlight w:val="yellow"/>
          <w:lang w:val="es-ES_tradnl" w:eastAsia="en-US"/>
        </w:rPr>
        <w:t xml:space="preserve">y estudios no comparativos también sugieren que el cambio desde diferentes pautas </w:t>
      </w:r>
      <w:r>
        <w:rPr>
          <w:rFonts w:ascii="Arial" w:hAnsi="Arial" w:cs="Arial"/>
          <w:highlight w:val="yellow"/>
          <w:lang w:val="es-ES_tradnl" w:eastAsia="en-US"/>
        </w:rPr>
        <w:t xml:space="preserve">a DTG+3TC </w:t>
      </w:r>
      <w:r w:rsidRPr="00AF02E2">
        <w:rPr>
          <w:rFonts w:ascii="Arial" w:hAnsi="Arial" w:cs="Arial"/>
          <w:highlight w:val="yellow"/>
          <w:lang w:val="es-ES_tradnl" w:eastAsia="en-US"/>
        </w:rPr>
        <w:t xml:space="preserve">es virológicamente </w:t>
      </w:r>
      <w:r w:rsidRPr="004873AB">
        <w:rPr>
          <w:rFonts w:ascii="Arial" w:hAnsi="Arial" w:cs="Arial"/>
          <w:highlight w:val="yellow"/>
          <w:lang w:val="es-ES_tradnl" w:eastAsia="en-US"/>
        </w:rPr>
        <w:t>seguro</w:t>
      </w:r>
      <w:r w:rsidRPr="004873AB">
        <w:rPr>
          <w:rFonts w:ascii="Arial" w:hAnsi="Arial" w:cs="Arial"/>
          <w:highlight w:val="yellow"/>
          <w:vertAlign w:val="superscript"/>
          <w:lang w:val="es-ES_tradnl" w:eastAsia="en-US"/>
        </w:rPr>
        <w:t>4</w:t>
      </w:r>
      <w:r>
        <w:rPr>
          <w:rFonts w:ascii="Arial" w:hAnsi="Arial" w:cs="Arial"/>
          <w:highlight w:val="yellow"/>
          <w:vertAlign w:val="superscript"/>
          <w:lang w:val="es-ES_tradnl" w:eastAsia="en-US"/>
        </w:rPr>
        <w:t>0</w:t>
      </w:r>
      <w:r w:rsidRPr="004873AB">
        <w:rPr>
          <w:rFonts w:ascii="Arial" w:hAnsi="Arial" w:cs="Arial"/>
          <w:highlight w:val="yellow"/>
          <w:vertAlign w:val="superscript"/>
          <w:lang w:val="es-ES_tradnl" w:eastAsia="en-US"/>
        </w:rPr>
        <w:t>,4</w:t>
      </w:r>
      <w:r>
        <w:rPr>
          <w:rFonts w:ascii="Arial" w:hAnsi="Arial" w:cs="Arial"/>
          <w:highlight w:val="yellow"/>
          <w:vertAlign w:val="superscript"/>
          <w:lang w:val="es-ES_tradnl" w:eastAsia="en-US"/>
        </w:rPr>
        <w:t>1</w:t>
      </w:r>
      <w:r>
        <w:rPr>
          <w:rFonts w:ascii="Arial" w:hAnsi="Arial" w:cs="Arial"/>
          <w:lang w:val="es-ES_tradnl" w:eastAsia="en-US"/>
        </w:rPr>
        <w:t>.</w:t>
      </w:r>
    </w:p>
    <w:p w14:paraId="56FA8690" w14:textId="77777777" w:rsidR="00D61AB2" w:rsidRPr="003F3B0A" w:rsidRDefault="00D61AB2" w:rsidP="00D61AB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Recomendación</w:t>
      </w:r>
    </w:p>
    <w:p w14:paraId="640917F4" w14:textId="77777777" w:rsidR="00D61AB2" w:rsidRPr="000A02EB"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0A02EB">
        <w:rPr>
          <w:rFonts w:ascii="Arial" w:hAnsi="Arial" w:cs="Arial"/>
          <w:highlight w:val="yellow"/>
        </w:rPr>
        <w:t>En pacientes en tratamiento con IP/p, ITNN o INI + 2 ITIAN que quieran simplificar el TAR y/o evitar los efectos adversos causados por los ITIAN, el cambio a DTG + 3TC es una opción adecuada (</w:t>
      </w:r>
      <w:r w:rsidRPr="000A02EB">
        <w:rPr>
          <w:rFonts w:ascii="Arial" w:hAnsi="Arial" w:cs="Arial"/>
          <w:b/>
          <w:i/>
          <w:highlight w:val="yellow"/>
        </w:rPr>
        <w:t>A-I</w:t>
      </w:r>
      <w:r w:rsidRPr="000A02EB">
        <w:rPr>
          <w:rFonts w:ascii="Arial" w:hAnsi="Arial" w:cs="Arial"/>
          <w:highlight w:val="yellow"/>
        </w:rPr>
        <w:t>)</w:t>
      </w:r>
      <w:r>
        <w:rPr>
          <w:rFonts w:ascii="Arial" w:hAnsi="Arial" w:cs="Arial"/>
          <w:highlight w:val="yellow"/>
        </w:rPr>
        <w:t>.</w:t>
      </w:r>
    </w:p>
    <w:p w14:paraId="4BE8DD15" w14:textId="77777777" w:rsidR="00D61AB2" w:rsidRPr="00D65AA4" w:rsidRDefault="00D61AB2" w:rsidP="00D61AB2">
      <w:pPr>
        <w:spacing w:before="120" w:after="120" w:line="276" w:lineRule="auto"/>
        <w:jc w:val="both"/>
        <w:rPr>
          <w:rFonts w:ascii="Arial" w:hAnsi="Arial" w:cs="Arial"/>
          <w:iCs/>
          <w:color w:val="AE1C1F"/>
          <w:highlight w:val="yellow"/>
        </w:rPr>
      </w:pPr>
    </w:p>
    <w:p w14:paraId="3F76489E" w14:textId="77777777" w:rsidR="00D61AB2" w:rsidRPr="006974C4" w:rsidRDefault="00D61AB2" w:rsidP="00D61AB2">
      <w:pPr>
        <w:spacing w:before="120" w:after="120" w:line="276" w:lineRule="auto"/>
        <w:jc w:val="both"/>
        <w:rPr>
          <w:rFonts w:ascii="Arial" w:hAnsi="Arial" w:cs="Arial"/>
          <w:b/>
          <w:bCs/>
          <w:i/>
          <w:color w:val="AE1C1F"/>
        </w:rPr>
      </w:pPr>
      <w:r w:rsidRPr="006974C4">
        <w:rPr>
          <w:rFonts w:ascii="Arial" w:hAnsi="Arial" w:cs="Arial"/>
          <w:b/>
          <w:bCs/>
          <w:i/>
          <w:color w:val="AE1C1F"/>
          <w:highlight w:val="yellow"/>
        </w:rPr>
        <w:t>4.3.4. Terapia dual con DTG + DRV/c</w:t>
      </w:r>
    </w:p>
    <w:p w14:paraId="37CCB502" w14:textId="77777777" w:rsidR="00D61AB2" w:rsidRDefault="00D61AB2" w:rsidP="00D61AB2">
      <w:pPr>
        <w:spacing w:before="120" w:after="120" w:line="276" w:lineRule="auto"/>
        <w:jc w:val="both"/>
        <w:rPr>
          <w:rFonts w:ascii="Arial" w:hAnsi="Arial" w:cs="Arial"/>
          <w:color w:val="AE1C1F"/>
          <w:highlight w:val="yellow"/>
        </w:rPr>
      </w:pPr>
    </w:p>
    <w:p w14:paraId="4348DEE0" w14:textId="77777777" w:rsidR="00D61AB2" w:rsidRPr="006974C4" w:rsidRDefault="00D61AB2" w:rsidP="00D61AB2">
      <w:pPr>
        <w:spacing w:before="120" w:after="120" w:line="276" w:lineRule="auto"/>
        <w:jc w:val="both"/>
        <w:rPr>
          <w:rFonts w:ascii="Arial" w:hAnsi="Arial" w:cs="Arial"/>
          <w:b/>
          <w:bCs/>
          <w:color w:val="AE1C1F"/>
        </w:rPr>
      </w:pPr>
      <w:r w:rsidRPr="006974C4">
        <w:rPr>
          <w:rFonts w:ascii="Arial" w:hAnsi="Arial" w:cs="Arial"/>
          <w:b/>
          <w:bCs/>
          <w:color w:val="AE1C1F"/>
          <w:highlight w:val="yellow"/>
        </w:rPr>
        <w:t>Cambio a DTG + DRV/c desde diferentes pautas</w:t>
      </w:r>
    </w:p>
    <w:p w14:paraId="5D9B0659" w14:textId="573D319B" w:rsidR="00D61AB2" w:rsidRPr="00FC6939" w:rsidRDefault="00D61AB2" w:rsidP="00D61AB2">
      <w:pPr>
        <w:spacing w:before="120" w:after="120" w:line="276" w:lineRule="auto"/>
        <w:jc w:val="both"/>
        <w:rPr>
          <w:rFonts w:ascii="Arial" w:hAnsi="Arial" w:cs="Arial"/>
          <w:lang w:val="es-ES_tradnl" w:eastAsia="en-US"/>
        </w:rPr>
      </w:pPr>
      <w:r w:rsidRPr="003F3B0A">
        <w:rPr>
          <w:rFonts w:ascii="Arial" w:hAnsi="Arial" w:cs="Arial"/>
          <w:b/>
          <w:lang w:val="es-ES_tradnl" w:eastAsia="en-US"/>
        </w:rPr>
        <w:t xml:space="preserve">Fundamento. </w:t>
      </w:r>
      <w:r w:rsidRPr="00AF02E2">
        <w:rPr>
          <w:rFonts w:ascii="Arial" w:hAnsi="Arial" w:cs="Arial"/>
          <w:highlight w:val="yellow"/>
          <w:lang w:val="es-ES_tradnl" w:eastAsia="en-US"/>
        </w:rPr>
        <w:t>Un e</w:t>
      </w:r>
      <w:r>
        <w:rPr>
          <w:rFonts w:ascii="Arial" w:hAnsi="Arial" w:cs="Arial"/>
          <w:highlight w:val="yellow"/>
          <w:lang w:val="es-ES_tradnl" w:eastAsia="en-US"/>
        </w:rPr>
        <w:t xml:space="preserve">studio aleatorizado fase 3 ha </w:t>
      </w:r>
      <w:r w:rsidRPr="00AF02E2">
        <w:rPr>
          <w:rFonts w:ascii="Arial" w:hAnsi="Arial" w:cs="Arial"/>
          <w:highlight w:val="yellow"/>
          <w:lang w:val="es-ES_tradnl" w:eastAsia="en-US"/>
        </w:rPr>
        <w:t xml:space="preserve">mostrado que en pacientes </w:t>
      </w:r>
      <w:r>
        <w:rPr>
          <w:rFonts w:ascii="Arial" w:hAnsi="Arial" w:cs="Arial"/>
          <w:highlight w:val="yellow"/>
          <w:lang w:val="es-ES_tradnl" w:eastAsia="en-US"/>
        </w:rPr>
        <w:t>en tratamiento con DRV/p + 2 ITIAN</w:t>
      </w:r>
      <w:r w:rsidRPr="00AF02E2">
        <w:rPr>
          <w:rFonts w:ascii="Arial" w:hAnsi="Arial" w:cs="Arial"/>
          <w:highlight w:val="yellow"/>
          <w:lang w:val="es-ES_tradnl" w:eastAsia="en-US"/>
        </w:rPr>
        <w:t xml:space="preserve"> con supresión virológica durante al menos 6 meses</w:t>
      </w:r>
      <w:r>
        <w:rPr>
          <w:rFonts w:ascii="Arial" w:hAnsi="Arial" w:cs="Arial"/>
          <w:highlight w:val="yellow"/>
          <w:lang w:val="es-ES_tradnl" w:eastAsia="en-US"/>
        </w:rPr>
        <w:t>, el cambio a DTG+DRV/p</w:t>
      </w:r>
      <w:r w:rsidR="003E05E9">
        <w:rPr>
          <w:rFonts w:ascii="Arial" w:hAnsi="Arial" w:cs="Arial"/>
          <w:highlight w:val="yellow"/>
          <w:lang w:val="es-ES_tradnl" w:eastAsia="en-US"/>
        </w:rPr>
        <w:t xml:space="preserve"> es no </w:t>
      </w:r>
      <w:r w:rsidRPr="00AF02E2">
        <w:rPr>
          <w:rFonts w:ascii="Arial" w:hAnsi="Arial" w:cs="Arial"/>
          <w:highlight w:val="yellow"/>
          <w:lang w:val="es-ES_tradnl" w:eastAsia="en-US"/>
        </w:rPr>
        <w:t xml:space="preserve">inferior a continuar el TAR previo, sin </w:t>
      </w:r>
      <w:r w:rsidRPr="005D7CE8">
        <w:rPr>
          <w:rFonts w:ascii="Arial" w:hAnsi="Arial" w:cs="Arial"/>
          <w:highlight w:val="yellow"/>
          <w:lang w:val="es-ES_tradnl" w:eastAsia="en-US"/>
        </w:rPr>
        <w:t>que se desarroll</w:t>
      </w:r>
      <w:r>
        <w:rPr>
          <w:rFonts w:ascii="Arial" w:hAnsi="Arial" w:cs="Arial"/>
          <w:highlight w:val="yellow"/>
          <w:lang w:val="es-ES_tradnl" w:eastAsia="en-US"/>
        </w:rPr>
        <w:t>en</w:t>
      </w:r>
      <w:r w:rsidRPr="005D7CE8">
        <w:rPr>
          <w:rFonts w:ascii="Arial" w:hAnsi="Arial" w:cs="Arial"/>
          <w:highlight w:val="yellow"/>
          <w:lang w:val="es-ES_tradnl" w:eastAsia="en-US"/>
        </w:rPr>
        <w:t xml:space="preserve"> </w:t>
      </w:r>
      <w:r w:rsidR="003E05E9">
        <w:rPr>
          <w:rFonts w:ascii="Arial" w:hAnsi="Arial" w:cs="Arial"/>
          <w:highlight w:val="yellow"/>
          <w:lang w:val="es-ES_tradnl" w:eastAsia="en-US"/>
        </w:rPr>
        <w:t>MR</w:t>
      </w:r>
      <w:r w:rsidRPr="005D7CE8">
        <w:rPr>
          <w:rFonts w:ascii="Arial" w:hAnsi="Arial" w:cs="Arial"/>
          <w:highlight w:val="yellow"/>
          <w:lang w:val="es-ES_tradnl" w:eastAsia="en-US"/>
        </w:rPr>
        <w:t xml:space="preserve"> en ningún paciente</w:t>
      </w:r>
      <w:r>
        <w:rPr>
          <w:rFonts w:ascii="Arial" w:hAnsi="Arial" w:cs="Arial"/>
          <w:highlight w:val="yellow"/>
          <w:vertAlign w:val="superscript"/>
          <w:lang w:val="es-ES_tradnl" w:eastAsia="en-US"/>
        </w:rPr>
        <w:t>42</w:t>
      </w:r>
      <w:r w:rsidRPr="005D7CE8">
        <w:rPr>
          <w:rFonts w:ascii="Arial" w:hAnsi="Arial" w:cs="Arial"/>
          <w:highlight w:val="yellow"/>
          <w:lang w:val="es-ES_tradnl" w:eastAsia="en-US"/>
        </w:rPr>
        <w:t xml:space="preserve">. Diversos estudios de cohortes han mostrado una elevada eficiencia terapéutica en pacientes con muy diversos tratamientos, con fallos virológicos previos y resistencia a varia familias, </w:t>
      </w:r>
      <w:r>
        <w:rPr>
          <w:rFonts w:ascii="Arial" w:hAnsi="Arial" w:cs="Arial"/>
          <w:highlight w:val="yellow"/>
          <w:lang w:val="es-ES_tradnl" w:eastAsia="en-US"/>
        </w:rPr>
        <w:t xml:space="preserve">aunque </w:t>
      </w:r>
      <w:r w:rsidRPr="005D7CE8">
        <w:rPr>
          <w:rFonts w:ascii="Arial" w:hAnsi="Arial" w:cs="Arial"/>
          <w:highlight w:val="yellow"/>
          <w:lang w:val="es-ES_tradnl" w:eastAsia="en-US"/>
        </w:rPr>
        <w:t>manteniendo sensibilidad a DTG y DRV</w:t>
      </w:r>
      <w:r>
        <w:rPr>
          <w:rFonts w:ascii="Arial" w:hAnsi="Arial" w:cs="Arial"/>
          <w:highlight w:val="yellow"/>
          <w:lang w:val="es-ES_tradnl" w:eastAsia="en-US"/>
        </w:rPr>
        <w:t>, que cambian el TAR por DTG + DRV/p</w:t>
      </w:r>
      <w:r>
        <w:rPr>
          <w:rFonts w:ascii="Arial" w:hAnsi="Arial" w:cs="Arial"/>
          <w:highlight w:val="yellow"/>
          <w:vertAlign w:val="superscript"/>
          <w:lang w:val="es-ES_tradnl" w:eastAsia="en-US"/>
        </w:rPr>
        <w:t>43,44</w:t>
      </w:r>
      <w:r w:rsidRPr="005D7CE8">
        <w:rPr>
          <w:rFonts w:ascii="Arial" w:hAnsi="Arial" w:cs="Arial"/>
          <w:highlight w:val="yellow"/>
          <w:lang w:val="es-ES_tradnl" w:eastAsia="en-US"/>
        </w:rPr>
        <w:t>.</w:t>
      </w:r>
    </w:p>
    <w:p w14:paraId="1F4F6F68" w14:textId="77777777" w:rsidR="00D61AB2" w:rsidRPr="00397446" w:rsidRDefault="00D61AB2" w:rsidP="00D61AB2">
      <w:pPr>
        <w:spacing w:before="120" w:after="120" w:line="276" w:lineRule="auto"/>
        <w:jc w:val="both"/>
        <w:rPr>
          <w:rFonts w:ascii="Arial" w:hAnsi="Arial" w:cs="Arial"/>
          <w:b/>
          <w:color w:val="AE1C1F"/>
          <w:highlight w:val="yellow"/>
          <w:lang w:val="es-ES_tradnl" w:eastAsia="en-US"/>
        </w:rPr>
      </w:pPr>
      <w:r w:rsidRPr="00397446">
        <w:rPr>
          <w:rFonts w:ascii="Arial" w:hAnsi="Arial" w:cs="Arial"/>
          <w:b/>
          <w:color w:val="AE1C1F"/>
          <w:highlight w:val="yellow"/>
          <w:lang w:val="es-ES_tradnl" w:eastAsia="en-US"/>
        </w:rPr>
        <w:t>Recomendación</w:t>
      </w:r>
    </w:p>
    <w:p w14:paraId="4571B1E9" w14:textId="77777777" w:rsidR="00D61AB2" w:rsidRPr="00397446" w:rsidRDefault="00D61AB2" w:rsidP="00D61AB2">
      <w:pPr>
        <w:pStyle w:val="Prrafodelista"/>
        <w:numPr>
          <w:ilvl w:val="0"/>
          <w:numId w:val="32"/>
        </w:numPr>
        <w:spacing w:before="120" w:after="120" w:line="276" w:lineRule="auto"/>
        <w:contextualSpacing w:val="0"/>
        <w:jc w:val="both"/>
        <w:rPr>
          <w:rFonts w:ascii="Arial" w:hAnsi="Arial" w:cs="Arial"/>
          <w:highlight w:val="yellow"/>
        </w:rPr>
      </w:pPr>
      <w:r w:rsidRPr="00397446">
        <w:rPr>
          <w:rFonts w:ascii="Arial" w:hAnsi="Arial" w:cs="Arial"/>
          <w:highlight w:val="yellow"/>
        </w:rPr>
        <w:t xml:space="preserve">El cambio a DTG + DRV/p puede ser una opción en determinados pacientes que quieran simplificar su régimen actual </w:t>
      </w:r>
      <w:r>
        <w:rPr>
          <w:rFonts w:ascii="Arial" w:hAnsi="Arial" w:cs="Arial"/>
          <w:highlight w:val="yellow"/>
        </w:rPr>
        <w:t xml:space="preserve">o </w:t>
      </w:r>
      <w:r w:rsidRPr="00397446">
        <w:rPr>
          <w:rFonts w:ascii="Arial" w:hAnsi="Arial" w:cs="Arial"/>
          <w:highlight w:val="yellow"/>
        </w:rPr>
        <w:t>evitar</w:t>
      </w:r>
      <w:r>
        <w:rPr>
          <w:rFonts w:ascii="Arial" w:hAnsi="Arial" w:cs="Arial"/>
          <w:highlight w:val="yellow"/>
        </w:rPr>
        <w:t xml:space="preserve"> los efectos adversos </w:t>
      </w:r>
      <w:r w:rsidRPr="000A02EB">
        <w:rPr>
          <w:rFonts w:ascii="Arial" w:hAnsi="Arial" w:cs="Arial"/>
          <w:highlight w:val="yellow"/>
        </w:rPr>
        <w:t>asociados (</w:t>
      </w:r>
      <w:r w:rsidRPr="000A02EB">
        <w:rPr>
          <w:rFonts w:ascii="Arial" w:hAnsi="Arial" w:cs="Arial"/>
          <w:b/>
          <w:i/>
          <w:highlight w:val="yellow"/>
        </w:rPr>
        <w:t>A-I, A-II</w:t>
      </w:r>
      <w:r w:rsidRPr="000A02EB">
        <w:rPr>
          <w:rFonts w:ascii="Arial" w:hAnsi="Arial" w:cs="Arial"/>
          <w:highlight w:val="yellow"/>
        </w:rPr>
        <w:t>)</w:t>
      </w:r>
      <w:r>
        <w:rPr>
          <w:rFonts w:ascii="Arial" w:hAnsi="Arial" w:cs="Arial"/>
          <w:highlight w:val="yellow"/>
        </w:rPr>
        <w:t>.</w:t>
      </w:r>
      <w:r w:rsidRPr="000A02EB">
        <w:rPr>
          <w:rFonts w:ascii="Arial" w:hAnsi="Arial" w:cs="Arial"/>
          <w:highlight w:val="yellow"/>
        </w:rPr>
        <w:t xml:space="preserve"> </w:t>
      </w:r>
    </w:p>
    <w:p w14:paraId="35C31C46" w14:textId="77777777" w:rsidR="00D61AB2" w:rsidRDefault="00D61AB2" w:rsidP="00D61AB2">
      <w:pPr>
        <w:spacing w:before="120" w:after="120" w:line="276" w:lineRule="auto"/>
        <w:jc w:val="both"/>
        <w:rPr>
          <w:rFonts w:ascii="Arial" w:hAnsi="Arial" w:cs="Arial"/>
          <w:i/>
          <w:color w:val="AE1C1F"/>
          <w:lang w:val="es-ES_tradnl"/>
        </w:rPr>
      </w:pPr>
    </w:p>
    <w:p w14:paraId="19208119" w14:textId="77777777" w:rsidR="00D61AB2" w:rsidRPr="001F7E3F" w:rsidRDefault="00D61AB2" w:rsidP="00D61AB2">
      <w:pPr>
        <w:spacing w:before="120" w:after="120" w:line="276" w:lineRule="auto"/>
        <w:jc w:val="both"/>
        <w:rPr>
          <w:rFonts w:ascii="Arial" w:hAnsi="Arial" w:cs="Arial"/>
          <w:b/>
          <w:bCs/>
          <w:i/>
          <w:color w:val="AE1C1F"/>
          <w:highlight w:val="yellow"/>
        </w:rPr>
      </w:pPr>
      <w:r w:rsidRPr="001F7E3F">
        <w:rPr>
          <w:rFonts w:ascii="Arial" w:hAnsi="Arial" w:cs="Arial"/>
          <w:b/>
          <w:bCs/>
          <w:i/>
          <w:color w:val="AE1C1F"/>
          <w:highlight w:val="yellow"/>
        </w:rPr>
        <w:t>4.3.4. Monoterapia con IP/p o DTG</w:t>
      </w:r>
    </w:p>
    <w:p w14:paraId="0F05637E" w14:textId="77777777" w:rsidR="00D61AB2" w:rsidRPr="001F7E3F" w:rsidRDefault="00D61AB2" w:rsidP="00D61AB2">
      <w:pPr>
        <w:spacing w:before="120" w:after="120" w:line="276" w:lineRule="auto"/>
        <w:jc w:val="both"/>
        <w:rPr>
          <w:rFonts w:ascii="Arial" w:hAnsi="Arial" w:cs="Arial"/>
          <w:b/>
          <w:bCs/>
          <w:color w:val="AE1C1F"/>
          <w:highlight w:val="yellow"/>
          <w:lang w:val="es-ES_tradnl" w:eastAsia="en-US"/>
        </w:rPr>
      </w:pPr>
    </w:p>
    <w:p w14:paraId="5CC69038" w14:textId="77777777" w:rsidR="00D61AB2" w:rsidRPr="001F7E3F" w:rsidRDefault="00D61AB2" w:rsidP="00D61AB2">
      <w:pPr>
        <w:spacing w:before="120" w:after="120" w:line="276" w:lineRule="auto"/>
        <w:jc w:val="both"/>
        <w:rPr>
          <w:rFonts w:ascii="Arial" w:hAnsi="Arial" w:cs="Arial"/>
          <w:b/>
          <w:bCs/>
          <w:color w:val="AE1C1F"/>
          <w:highlight w:val="yellow"/>
        </w:rPr>
      </w:pPr>
      <w:r w:rsidRPr="001F7E3F">
        <w:rPr>
          <w:rFonts w:ascii="Arial" w:hAnsi="Arial" w:cs="Arial"/>
          <w:b/>
          <w:bCs/>
          <w:color w:val="AE1C1F"/>
          <w:highlight w:val="yellow"/>
          <w:lang w:val="es-ES_tradnl" w:eastAsia="en-US"/>
        </w:rPr>
        <w:t>Cambio de terapia triple basada en IP/p o DTG a monoterapia con DRV/r o DTG</w:t>
      </w:r>
    </w:p>
    <w:p w14:paraId="48979E11" w14:textId="61D97846" w:rsidR="00D61AB2" w:rsidRPr="001F7E3F" w:rsidRDefault="00D61AB2" w:rsidP="00D61AB2">
      <w:pPr>
        <w:spacing w:before="120" w:after="120" w:line="276" w:lineRule="auto"/>
        <w:jc w:val="both"/>
        <w:rPr>
          <w:rFonts w:ascii="Arial" w:hAnsi="Arial" w:cs="Arial"/>
          <w:highlight w:val="yellow"/>
          <w:lang w:val="es-ES_tradnl" w:eastAsia="en-US"/>
        </w:rPr>
      </w:pPr>
      <w:r w:rsidRPr="001F7E3F">
        <w:rPr>
          <w:rFonts w:ascii="Arial" w:hAnsi="Arial" w:cs="Arial"/>
          <w:b/>
          <w:color w:val="000000"/>
          <w:highlight w:val="yellow"/>
          <w:lang w:val="es-ES_tradnl" w:eastAsia="en-US"/>
        </w:rPr>
        <w:t>Fundamento.</w:t>
      </w:r>
      <w:r w:rsidRPr="001F7E3F">
        <w:rPr>
          <w:rFonts w:ascii="Arial" w:hAnsi="Arial" w:cs="Arial"/>
          <w:color w:val="000000"/>
          <w:highlight w:val="yellow"/>
          <w:lang w:val="es-ES_tradnl" w:eastAsia="en-US"/>
        </w:rPr>
        <w:t xml:space="preserve"> Un estudio aleatorizado en pacientes con </w:t>
      </w:r>
      <w:r>
        <w:rPr>
          <w:rFonts w:ascii="Arial" w:hAnsi="Arial" w:cs="Arial"/>
          <w:color w:val="000000"/>
          <w:highlight w:val="yellow"/>
          <w:lang w:val="es-ES_tradnl" w:eastAsia="en-US"/>
        </w:rPr>
        <w:t xml:space="preserve">supresión virológica en </w:t>
      </w:r>
      <w:r w:rsidRPr="001F7E3F">
        <w:rPr>
          <w:rFonts w:ascii="Arial" w:hAnsi="Arial" w:cs="Arial"/>
          <w:color w:val="000000"/>
          <w:highlight w:val="yellow"/>
          <w:lang w:val="es-ES_tradnl" w:eastAsia="en-US"/>
        </w:rPr>
        <w:t>triple terapia basada en IP/p y con numerosas MR previas</w:t>
      </w:r>
      <w:r>
        <w:rPr>
          <w:rFonts w:ascii="Arial" w:hAnsi="Arial" w:cs="Arial"/>
          <w:color w:val="000000"/>
          <w:highlight w:val="yellow"/>
          <w:lang w:val="es-ES_tradnl" w:eastAsia="en-US"/>
        </w:rPr>
        <w:t xml:space="preserve"> en la transcriptasa inversa</w:t>
      </w:r>
      <w:r w:rsidRPr="001F7E3F">
        <w:rPr>
          <w:rFonts w:ascii="Arial" w:hAnsi="Arial" w:cs="Arial"/>
          <w:color w:val="000000"/>
          <w:highlight w:val="yellow"/>
          <w:lang w:val="es-ES_tradnl" w:eastAsia="en-US"/>
        </w:rPr>
        <w:t>, incluyendo la M184V/I en el 97% de casos, el cambio a terapia dual con IP/p + 3TC resultó virológicamente más eficaz que el cambio a monoterapia con el IP/p</w:t>
      </w:r>
      <w:r>
        <w:rPr>
          <w:rFonts w:ascii="Arial" w:hAnsi="Arial" w:cs="Arial"/>
          <w:color w:val="000000"/>
          <w:highlight w:val="yellow"/>
          <w:vertAlign w:val="superscript"/>
          <w:lang w:val="es-ES_tradnl" w:eastAsia="en-US"/>
        </w:rPr>
        <w:t>45</w:t>
      </w:r>
      <w:r w:rsidRPr="001F7E3F">
        <w:rPr>
          <w:rFonts w:ascii="Arial" w:hAnsi="Arial" w:cs="Arial"/>
          <w:color w:val="000000"/>
          <w:highlight w:val="yellow"/>
          <w:lang w:val="es-ES_tradnl" w:eastAsia="en-US"/>
        </w:rPr>
        <w:t>.</w:t>
      </w:r>
      <w:r>
        <w:rPr>
          <w:rFonts w:ascii="Arial" w:hAnsi="Arial" w:cs="Arial"/>
          <w:color w:val="000000"/>
          <w:highlight w:val="yellow"/>
          <w:lang w:val="es-ES_tradnl" w:eastAsia="en-US"/>
        </w:rPr>
        <w:t xml:space="preserve"> </w:t>
      </w:r>
      <w:r w:rsidRPr="001F7E3F">
        <w:rPr>
          <w:rFonts w:ascii="Arial" w:hAnsi="Arial" w:cs="Arial"/>
          <w:color w:val="000000"/>
          <w:highlight w:val="yellow"/>
          <w:lang w:val="es-ES_tradnl" w:eastAsia="en-US"/>
        </w:rPr>
        <w:t xml:space="preserve">En </w:t>
      </w:r>
      <w:r>
        <w:rPr>
          <w:rFonts w:ascii="Arial" w:hAnsi="Arial" w:cs="Arial"/>
          <w:color w:val="000000"/>
          <w:highlight w:val="yellow"/>
          <w:lang w:val="es-ES_tradnl" w:eastAsia="en-US"/>
        </w:rPr>
        <w:t xml:space="preserve">múltiples </w:t>
      </w:r>
      <w:r w:rsidRPr="001F7E3F">
        <w:rPr>
          <w:rFonts w:ascii="Arial" w:hAnsi="Arial" w:cs="Arial"/>
          <w:color w:val="000000"/>
          <w:highlight w:val="yellow"/>
          <w:lang w:val="es-ES_tradnl" w:eastAsia="en-US"/>
        </w:rPr>
        <w:t>estudios aleatorizados en pacientes sin fallos virológicos previos, la monoterapia con IP/p</w:t>
      </w:r>
      <w:r>
        <w:rPr>
          <w:rFonts w:ascii="Arial" w:hAnsi="Arial" w:cs="Arial"/>
          <w:color w:val="000000"/>
          <w:highlight w:val="yellow"/>
          <w:lang w:val="es-ES_tradnl" w:eastAsia="en-US"/>
        </w:rPr>
        <w:t xml:space="preserve"> </w:t>
      </w:r>
      <w:r w:rsidRPr="001F7E3F">
        <w:rPr>
          <w:rFonts w:ascii="Arial" w:hAnsi="Arial" w:cs="Arial"/>
          <w:color w:val="000000"/>
          <w:highlight w:val="yellow"/>
          <w:lang w:val="es-ES_tradnl" w:eastAsia="en-US"/>
        </w:rPr>
        <w:t>no ha demostrado</w:t>
      </w:r>
      <w:r w:rsidR="00A40F86">
        <w:rPr>
          <w:rFonts w:ascii="Arial" w:hAnsi="Arial" w:cs="Arial"/>
          <w:highlight w:val="yellow"/>
          <w:lang w:val="es-ES_tradnl" w:eastAsia="en-US"/>
        </w:rPr>
        <w:t xml:space="preserve"> la no </w:t>
      </w:r>
      <w:r w:rsidRPr="001F7E3F">
        <w:rPr>
          <w:rFonts w:ascii="Arial" w:hAnsi="Arial" w:cs="Arial"/>
          <w:highlight w:val="yellow"/>
          <w:lang w:val="es-ES_tradnl" w:eastAsia="en-US"/>
        </w:rPr>
        <w:t>inferioridad frente a la terapia triple en los análisis por ITT si se considera el cambio de terapia aleatorizada igual a fracaso.</w:t>
      </w:r>
      <w:r>
        <w:rPr>
          <w:rFonts w:ascii="Arial" w:hAnsi="Arial" w:cs="Arial"/>
          <w:highlight w:val="yellow"/>
          <w:lang w:val="es-ES_tradnl" w:eastAsia="en-US"/>
        </w:rPr>
        <w:t xml:space="preserve"> </w:t>
      </w:r>
    </w:p>
    <w:p w14:paraId="7B97D753" w14:textId="32B8D080" w:rsidR="00D61AB2" w:rsidRPr="001F7E3F" w:rsidRDefault="00D61AB2" w:rsidP="00D61AB2">
      <w:pPr>
        <w:spacing w:before="120" w:after="120" w:line="276" w:lineRule="auto"/>
        <w:jc w:val="both"/>
        <w:rPr>
          <w:rFonts w:ascii="Arial" w:hAnsi="Arial" w:cs="Arial"/>
          <w:highlight w:val="yellow"/>
          <w:lang w:val="es-ES_tradnl" w:eastAsia="en-US"/>
        </w:rPr>
      </w:pPr>
      <w:r w:rsidRPr="001F7E3F">
        <w:rPr>
          <w:rFonts w:ascii="Arial" w:hAnsi="Arial" w:cs="Arial"/>
          <w:color w:val="000000" w:themeColor="text1"/>
          <w:highlight w:val="yellow"/>
          <w:lang w:val="es-ES_tradnl" w:eastAsia="en-US"/>
        </w:rPr>
        <w:lastRenderedPageBreak/>
        <w:t>Se h</w:t>
      </w:r>
      <w:r w:rsidR="00A40F86">
        <w:rPr>
          <w:rFonts w:ascii="Arial" w:hAnsi="Arial" w:cs="Arial"/>
          <w:color w:val="000000" w:themeColor="text1"/>
          <w:highlight w:val="yellow"/>
          <w:lang w:val="es-ES_tradnl" w:eastAsia="en-US"/>
        </w:rPr>
        <w:t xml:space="preserve">a observado una tasa elevada de FV </w:t>
      </w:r>
      <w:r w:rsidRPr="001F7E3F">
        <w:rPr>
          <w:rFonts w:ascii="Arial" w:hAnsi="Arial" w:cs="Arial"/>
          <w:color w:val="000000" w:themeColor="text1"/>
          <w:highlight w:val="yellow"/>
          <w:lang w:val="es-ES_tradnl" w:eastAsia="en-US"/>
        </w:rPr>
        <w:t>asociado</w:t>
      </w:r>
      <w:r w:rsidRPr="001F7E3F">
        <w:rPr>
          <w:rFonts w:ascii="Arial" w:hAnsi="Arial" w:cs="Arial"/>
          <w:highlight w:val="yellow"/>
          <w:lang w:val="es-ES_tradnl" w:eastAsia="en-US"/>
        </w:rPr>
        <w:t xml:space="preserve"> a selección de MR en el gen de la integrasa en pacientes que han cambiado su TAR triple a monoterapia con DTG</w:t>
      </w:r>
      <w:r>
        <w:rPr>
          <w:rFonts w:ascii="Arial" w:hAnsi="Arial" w:cs="Arial"/>
          <w:highlight w:val="yellow"/>
          <w:vertAlign w:val="superscript"/>
          <w:lang w:val="es-ES_tradnl" w:eastAsia="en-US"/>
        </w:rPr>
        <w:t>46,47</w:t>
      </w:r>
      <w:r w:rsidRPr="001F7E3F">
        <w:rPr>
          <w:rFonts w:ascii="Arial" w:hAnsi="Arial" w:cs="Arial"/>
          <w:highlight w:val="yellow"/>
          <w:lang w:val="es-ES_tradnl" w:eastAsia="en-US"/>
        </w:rPr>
        <w:t>.</w:t>
      </w:r>
    </w:p>
    <w:p w14:paraId="0B2C939A" w14:textId="77777777" w:rsidR="00D61AB2" w:rsidRPr="001F7E3F" w:rsidRDefault="00D61AB2" w:rsidP="00D61AB2">
      <w:pPr>
        <w:spacing w:before="120" w:after="120" w:line="276" w:lineRule="auto"/>
        <w:jc w:val="both"/>
        <w:rPr>
          <w:rFonts w:ascii="Arial" w:hAnsi="Arial" w:cs="Arial"/>
          <w:b/>
          <w:color w:val="AE1C1F"/>
          <w:highlight w:val="yellow"/>
          <w:lang w:val="es-ES_tradnl" w:eastAsia="en-US"/>
        </w:rPr>
      </w:pPr>
      <w:r w:rsidRPr="001F7E3F">
        <w:rPr>
          <w:rFonts w:ascii="Arial" w:hAnsi="Arial" w:cs="Arial"/>
          <w:b/>
          <w:color w:val="AE1C1F"/>
          <w:highlight w:val="yellow"/>
          <w:lang w:val="es-ES_tradnl" w:eastAsia="en-US"/>
        </w:rPr>
        <w:t>Recomendación</w:t>
      </w:r>
    </w:p>
    <w:p w14:paraId="48272594" w14:textId="77777777" w:rsidR="00D61AB2" w:rsidRPr="001F7E3F" w:rsidRDefault="00D61AB2" w:rsidP="00D61AB2">
      <w:pPr>
        <w:pStyle w:val="Prrafodelista"/>
        <w:numPr>
          <w:ilvl w:val="0"/>
          <w:numId w:val="32"/>
        </w:numPr>
        <w:spacing w:line="276" w:lineRule="auto"/>
        <w:contextualSpacing w:val="0"/>
        <w:jc w:val="both"/>
        <w:rPr>
          <w:rFonts w:ascii="Arial" w:hAnsi="Arial" w:cs="Arial"/>
          <w:b/>
          <w:i/>
          <w:color w:val="FF0000"/>
          <w:highlight w:val="yellow"/>
        </w:rPr>
      </w:pPr>
      <w:r w:rsidRPr="001F7E3F">
        <w:rPr>
          <w:rFonts w:ascii="Arial" w:hAnsi="Arial" w:cs="Arial"/>
          <w:highlight w:val="yellow"/>
        </w:rPr>
        <w:t xml:space="preserve">Este comité </w:t>
      </w:r>
      <w:r>
        <w:rPr>
          <w:rFonts w:ascii="Arial" w:hAnsi="Arial" w:cs="Arial"/>
          <w:highlight w:val="yellow"/>
        </w:rPr>
        <w:t xml:space="preserve">considera que </w:t>
      </w:r>
      <w:r w:rsidRPr="001F7E3F">
        <w:rPr>
          <w:rFonts w:ascii="Arial" w:hAnsi="Arial" w:cs="Arial"/>
          <w:highlight w:val="yellow"/>
        </w:rPr>
        <w:t xml:space="preserve">no </w:t>
      </w:r>
      <w:r>
        <w:rPr>
          <w:rFonts w:ascii="Arial" w:hAnsi="Arial" w:cs="Arial"/>
          <w:highlight w:val="yellow"/>
        </w:rPr>
        <w:t xml:space="preserve">debe realizarse el cambio </w:t>
      </w:r>
      <w:r w:rsidRPr="001F7E3F">
        <w:rPr>
          <w:rFonts w:ascii="Arial" w:hAnsi="Arial" w:cs="Arial"/>
          <w:highlight w:val="yellow"/>
        </w:rPr>
        <w:t>de un TAR triple o doble a monoterapia</w:t>
      </w:r>
      <w:r>
        <w:rPr>
          <w:rFonts w:ascii="Arial" w:hAnsi="Arial" w:cs="Arial"/>
          <w:highlight w:val="yellow"/>
        </w:rPr>
        <w:t xml:space="preserve">, ni con </w:t>
      </w:r>
      <w:r w:rsidRPr="001F7E3F">
        <w:rPr>
          <w:rFonts w:ascii="Arial" w:hAnsi="Arial" w:cs="Arial"/>
          <w:highlight w:val="yellow"/>
        </w:rPr>
        <w:t>IP/p</w:t>
      </w:r>
      <w:r>
        <w:rPr>
          <w:rFonts w:ascii="Arial" w:hAnsi="Arial" w:cs="Arial"/>
          <w:highlight w:val="yellow"/>
        </w:rPr>
        <w:t xml:space="preserve"> </w:t>
      </w:r>
      <w:r w:rsidRPr="000A02EB">
        <w:rPr>
          <w:rFonts w:ascii="Arial" w:hAnsi="Arial" w:cs="Arial"/>
          <w:highlight w:val="yellow"/>
        </w:rPr>
        <w:t xml:space="preserve">ni con DTG </w:t>
      </w:r>
      <w:r w:rsidRPr="000A02EB">
        <w:rPr>
          <w:rFonts w:ascii="Arial" w:hAnsi="Arial" w:cs="Arial"/>
          <w:b/>
          <w:i/>
          <w:highlight w:val="yellow"/>
        </w:rPr>
        <w:t>(A-I)</w:t>
      </w:r>
      <w:r>
        <w:rPr>
          <w:rFonts w:ascii="Arial" w:hAnsi="Arial" w:cs="Arial"/>
          <w:b/>
          <w:i/>
          <w:highlight w:val="yellow"/>
        </w:rPr>
        <w:t>.</w:t>
      </w:r>
    </w:p>
    <w:p w14:paraId="20D9862B" w14:textId="77777777" w:rsidR="00D61AB2" w:rsidRPr="003F3B0A" w:rsidRDefault="00D61AB2" w:rsidP="00D61AB2">
      <w:pPr>
        <w:spacing w:before="120" w:after="120" w:line="276" w:lineRule="auto"/>
        <w:jc w:val="both"/>
        <w:rPr>
          <w:rFonts w:ascii="Arial" w:hAnsi="Arial" w:cs="Arial"/>
          <w:b/>
          <w:color w:val="AE1C1F"/>
        </w:rPr>
      </w:pPr>
    </w:p>
    <w:p w14:paraId="53FCEC92" w14:textId="77777777" w:rsidR="00D61AB2" w:rsidRPr="003F3B0A" w:rsidRDefault="00D61AB2" w:rsidP="00D61AB2">
      <w:pPr>
        <w:spacing w:before="120" w:after="120" w:line="276" w:lineRule="auto"/>
        <w:jc w:val="both"/>
        <w:rPr>
          <w:rFonts w:ascii="Arial" w:hAnsi="Arial" w:cs="Arial"/>
          <w:b/>
          <w:color w:val="AE1C1F"/>
        </w:rPr>
      </w:pPr>
      <w:r w:rsidRPr="003F3B0A">
        <w:rPr>
          <w:rFonts w:ascii="Arial" w:hAnsi="Arial" w:cs="Arial"/>
          <w:b/>
          <w:color w:val="AE1C1F"/>
        </w:rPr>
        <w:t>4.4. Seguimiento posterior a un cambio de TAR en pacientes con replicación viral suprimida</w:t>
      </w:r>
    </w:p>
    <w:p w14:paraId="290C8BC9" w14:textId="77777777" w:rsidR="00D61AB2" w:rsidRDefault="00D61AB2" w:rsidP="00D61AB2">
      <w:pPr>
        <w:spacing w:before="120" w:after="120" w:line="276" w:lineRule="auto"/>
        <w:jc w:val="both"/>
        <w:rPr>
          <w:rFonts w:ascii="Arial" w:hAnsi="Arial" w:cs="Arial"/>
          <w:b/>
          <w:color w:val="AE1C1F"/>
          <w:lang w:val="es-ES_tradnl" w:eastAsia="en-US"/>
        </w:rPr>
      </w:pPr>
      <w:r w:rsidRPr="001F7E3F">
        <w:rPr>
          <w:rFonts w:ascii="Arial" w:hAnsi="Arial" w:cs="Arial"/>
          <w:b/>
          <w:color w:val="AE1C1F"/>
          <w:highlight w:val="yellow"/>
          <w:lang w:val="es-ES_tradnl" w:eastAsia="en-US"/>
        </w:rPr>
        <w:t>Recomendación</w:t>
      </w:r>
    </w:p>
    <w:p w14:paraId="615B6354" w14:textId="77777777" w:rsidR="00D61AB2" w:rsidRPr="001365AB" w:rsidRDefault="00D61AB2" w:rsidP="00D61AB2">
      <w:pPr>
        <w:pStyle w:val="Prrafodelista"/>
        <w:numPr>
          <w:ilvl w:val="0"/>
          <w:numId w:val="32"/>
        </w:numPr>
        <w:spacing w:before="120" w:after="120" w:line="276" w:lineRule="auto"/>
        <w:contextualSpacing w:val="0"/>
        <w:jc w:val="both"/>
        <w:rPr>
          <w:rFonts w:ascii="Arial" w:hAnsi="Arial" w:cs="Arial"/>
          <w:b/>
          <w:color w:val="AE1C1F"/>
          <w:highlight w:val="yellow"/>
        </w:rPr>
      </w:pPr>
      <w:r w:rsidRPr="001365AB">
        <w:rPr>
          <w:rFonts w:ascii="Arial" w:hAnsi="Arial" w:cs="Arial"/>
        </w:rPr>
        <w:t xml:space="preserve">Tras el cambio de un TAR </w:t>
      </w:r>
      <w:r w:rsidRPr="001365AB">
        <w:rPr>
          <w:rFonts w:ascii="Arial" w:hAnsi="Arial" w:cs="Arial"/>
          <w:highlight w:val="yellow"/>
        </w:rPr>
        <w:t>es recomendable</w:t>
      </w:r>
      <w:r w:rsidRPr="001365AB">
        <w:rPr>
          <w:rFonts w:ascii="Arial" w:hAnsi="Arial" w:cs="Arial"/>
        </w:rPr>
        <w:t xml:space="preserve"> evaluar en un plazo de 3-6 semanas el mantenimiento de la supresión virológica y las determinaciones de laboratorio pertinentes</w:t>
      </w:r>
      <w:r>
        <w:rPr>
          <w:rFonts w:ascii="Arial" w:hAnsi="Arial" w:cs="Arial"/>
        </w:rPr>
        <w:t>,</w:t>
      </w:r>
      <w:r w:rsidRPr="001365AB">
        <w:rPr>
          <w:rFonts w:ascii="Arial" w:hAnsi="Arial" w:cs="Arial"/>
        </w:rPr>
        <w:t xml:space="preserve"> que dependerán del motivo del cambio (lipidograma, función renal, etc.). Una vez demostrada la continuación de la supresión virológica el paciente puede volver a la rutina de visitas habituales</w:t>
      </w:r>
      <w:r>
        <w:rPr>
          <w:rFonts w:ascii="Arial" w:hAnsi="Arial" w:cs="Arial"/>
        </w:rPr>
        <w:t xml:space="preserve"> (</w:t>
      </w:r>
      <w:r w:rsidRPr="001365AB">
        <w:rPr>
          <w:rFonts w:ascii="Arial" w:hAnsi="Arial" w:cs="Arial"/>
          <w:b/>
          <w:i/>
          <w:highlight w:val="yellow"/>
        </w:rPr>
        <w:t>B-III</w:t>
      </w:r>
      <w:r>
        <w:rPr>
          <w:rFonts w:ascii="Arial" w:hAnsi="Arial" w:cs="Arial"/>
        </w:rPr>
        <w:t>)</w:t>
      </w:r>
      <w:r w:rsidRPr="001365AB">
        <w:rPr>
          <w:rFonts w:ascii="Arial" w:hAnsi="Arial" w:cs="Arial"/>
        </w:rPr>
        <w:t>.</w:t>
      </w:r>
    </w:p>
    <w:p w14:paraId="09FE6808" w14:textId="77777777" w:rsidR="00D61AB2" w:rsidRPr="003F3B0A" w:rsidRDefault="00D61AB2" w:rsidP="00D61AB2">
      <w:pPr>
        <w:spacing w:before="120" w:after="120" w:line="276" w:lineRule="auto"/>
        <w:jc w:val="center"/>
        <w:rPr>
          <w:rFonts w:ascii="Arial" w:hAnsi="Arial" w:cs="Arial"/>
          <w:b/>
          <w:bCs/>
          <w:color w:val="AE1C1F"/>
          <w:lang w:val="es-ES_tradnl" w:eastAsia="en-US"/>
        </w:rPr>
      </w:pPr>
    </w:p>
    <w:p w14:paraId="7FE9BE90" w14:textId="77777777" w:rsidR="00D61AB2" w:rsidRPr="003F3B0A" w:rsidRDefault="00D61AB2" w:rsidP="00D61AB2">
      <w:pPr>
        <w:spacing w:before="120" w:after="120" w:line="276" w:lineRule="auto"/>
        <w:jc w:val="center"/>
        <w:rPr>
          <w:rFonts w:ascii="Arial" w:hAnsi="Arial" w:cs="Arial"/>
          <w:b/>
          <w:bCs/>
          <w:color w:val="AE1C1F"/>
          <w:lang w:val="es-ES_tradnl" w:eastAsia="en-US"/>
        </w:rPr>
      </w:pPr>
      <w:r w:rsidRPr="003F3B0A">
        <w:rPr>
          <w:rFonts w:ascii="Arial" w:hAnsi="Arial" w:cs="Arial"/>
          <w:b/>
          <w:bCs/>
          <w:color w:val="AE1C1F"/>
          <w:lang w:val="es-ES_tradnl" w:eastAsia="en-US"/>
        </w:rPr>
        <w:t>Referencias bibliográficas</w:t>
      </w:r>
    </w:p>
    <w:p w14:paraId="45409B57" w14:textId="77777777" w:rsidR="00D61AB2" w:rsidRPr="003F3B0A" w:rsidRDefault="00D61AB2" w:rsidP="00D61AB2">
      <w:pPr>
        <w:spacing w:before="120" w:after="120" w:line="276" w:lineRule="auto"/>
        <w:jc w:val="center"/>
        <w:rPr>
          <w:rFonts w:ascii="Arial" w:hAnsi="Arial" w:cs="Arial"/>
          <w:b/>
          <w:bCs/>
          <w:color w:val="AE1C1F"/>
          <w:lang w:val="es-ES_tradnl" w:eastAsia="en-US"/>
        </w:rPr>
      </w:pPr>
    </w:p>
    <w:p w14:paraId="5A942A5A" w14:textId="77777777" w:rsidR="00D61AB2" w:rsidRPr="003F3B0A" w:rsidRDefault="00D61AB2" w:rsidP="00D61AB2">
      <w:pPr>
        <w:spacing w:before="120" w:after="120" w:line="276" w:lineRule="auto"/>
        <w:rPr>
          <w:rFonts w:ascii="Arial" w:hAnsi="Arial" w:cs="Arial"/>
          <w:b/>
          <w:bCs/>
          <w:color w:val="AE1C1F"/>
          <w:lang w:val="es-ES_tradnl" w:eastAsia="en-US"/>
        </w:rPr>
        <w:sectPr w:rsidR="00D61AB2" w:rsidRPr="003F3B0A" w:rsidSect="00D61AB2">
          <w:headerReference w:type="default" r:id="rId26"/>
          <w:pgSz w:w="11906" w:h="16838"/>
          <w:pgMar w:top="1417" w:right="1701" w:bottom="1417" w:left="1701" w:header="708" w:footer="708" w:gutter="0"/>
          <w:cols w:sep="1" w:space="709"/>
          <w:docGrid w:linePitch="360"/>
        </w:sectPr>
      </w:pPr>
    </w:p>
    <w:p w14:paraId="01299F0F" w14:textId="77777777" w:rsidR="00D61AB2" w:rsidRPr="004718C1" w:rsidRDefault="00D61AB2" w:rsidP="00D61AB2">
      <w:pPr>
        <w:pStyle w:val="EndNoteBibliography"/>
        <w:spacing w:before="120" w:after="120"/>
        <w:jc w:val="both"/>
        <w:rPr>
          <w:sz w:val="18"/>
        </w:rPr>
      </w:pPr>
      <w:r w:rsidRPr="003F3B0A">
        <w:rPr>
          <w:sz w:val="18"/>
        </w:rPr>
        <w:t xml:space="preserve">1. Sax PE, Meyers JL, Mugavero M, et al. </w:t>
      </w:r>
      <w:r w:rsidRPr="00182A7C">
        <w:rPr>
          <w:sz w:val="18"/>
          <w:lang w:val="en-US"/>
        </w:rPr>
        <w:t xml:space="preserve">Adherence to antiretroviral treatment and correlation with risk of hospitalization among commercially insured HIV patients in the United States. </w:t>
      </w:r>
      <w:r>
        <w:rPr>
          <w:sz w:val="18"/>
        </w:rPr>
        <w:t>PLoS One 2012;</w:t>
      </w:r>
      <w:r w:rsidRPr="004718C1">
        <w:rPr>
          <w:sz w:val="18"/>
        </w:rPr>
        <w:t>7:e31591.</w:t>
      </w:r>
    </w:p>
    <w:p w14:paraId="34C7A631" w14:textId="77777777" w:rsidR="00D61AB2" w:rsidRPr="003F3B0A" w:rsidRDefault="00D61AB2" w:rsidP="00D61AB2">
      <w:pPr>
        <w:pStyle w:val="EndNoteBibliography"/>
        <w:spacing w:before="120" w:after="120"/>
        <w:jc w:val="both"/>
        <w:rPr>
          <w:sz w:val="18"/>
          <w:lang w:val="en-US"/>
        </w:rPr>
      </w:pPr>
      <w:r w:rsidRPr="00182A7C">
        <w:rPr>
          <w:sz w:val="18"/>
          <w:highlight w:val="yellow"/>
        </w:rPr>
        <w:t>2</w:t>
      </w:r>
      <w:r w:rsidRPr="00182A7C">
        <w:rPr>
          <w:sz w:val="18"/>
        </w:rPr>
        <w:t xml:space="preserve">. Campo R, DeJesus E, Bredeek UF, et al. </w:t>
      </w:r>
      <w:r w:rsidRPr="00182A7C">
        <w:rPr>
          <w:sz w:val="18"/>
          <w:lang w:val="en-US"/>
        </w:rPr>
        <w:t>SWIFT: prospective</w:t>
      </w:r>
      <w:r w:rsidRPr="003F3B0A">
        <w:rPr>
          <w:sz w:val="18"/>
          <w:lang w:val="en-US"/>
        </w:rPr>
        <w:t xml:space="preserve"> 48-week study to evaluate efficacy and safety of switching to emtricitabine/tenofovir from lamivudine/abacavir in virologically suppressed HIV-1 infected patients on a boosted protease inhibitor containing antiretroviral</w:t>
      </w:r>
      <w:r>
        <w:rPr>
          <w:sz w:val="18"/>
          <w:lang w:val="en-US"/>
        </w:rPr>
        <w:t xml:space="preserve"> regimen. Clin Infect Dis 2013;</w:t>
      </w:r>
      <w:r w:rsidRPr="003F3B0A">
        <w:rPr>
          <w:sz w:val="18"/>
          <w:lang w:val="en-US"/>
        </w:rPr>
        <w:t>56:1637-45.</w:t>
      </w:r>
    </w:p>
    <w:p w14:paraId="6A3F71ED" w14:textId="77777777" w:rsidR="00D61AB2" w:rsidRPr="003F3B0A" w:rsidRDefault="00D61AB2" w:rsidP="00D61AB2">
      <w:pPr>
        <w:pStyle w:val="EndNoteBibliography"/>
        <w:spacing w:before="120" w:after="120"/>
        <w:jc w:val="both"/>
        <w:rPr>
          <w:sz w:val="18"/>
        </w:rPr>
      </w:pPr>
      <w:r w:rsidRPr="00182A7C">
        <w:rPr>
          <w:sz w:val="18"/>
          <w:highlight w:val="yellow"/>
          <w:lang w:val="en-US"/>
        </w:rPr>
        <w:t>3</w:t>
      </w:r>
      <w:r w:rsidRPr="003F3B0A">
        <w:rPr>
          <w:color w:val="000000"/>
          <w:sz w:val="18"/>
          <w:lang w:val="en-US"/>
        </w:rPr>
        <w:t xml:space="preserve">. Winston A, Post FA, DeJesus E, et al. Tenofovir alafenamide plus emtricitabine versus abacavir plus lamivudine for treatment of virologically suppressed HIV-1-infected adults: a randomised, double-blind, active-controlled, non-inferiority phase 3 trial. </w:t>
      </w:r>
      <w:r>
        <w:rPr>
          <w:color w:val="000000"/>
          <w:sz w:val="18"/>
        </w:rPr>
        <w:t>Lancet HIV 2018;</w:t>
      </w:r>
      <w:r w:rsidRPr="003F3B0A">
        <w:rPr>
          <w:color w:val="000000"/>
          <w:sz w:val="18"/>
        </w:rPr>
        <w:t>5:e162-e171.</w:t>
      </w:r>
    </w:p>
    <w:p w14:paraId="1F028B6C" w14:textId="77777777" w:rsidR="00D61AB2" w:rsidRPr="003F3B0A" w:rsidRDefault="00D61AB2" w:rsidP="00D61AB2">
      <w:pPr>
        <w:pStyle w:val="EndNoteBibliography"/>
        <w:spacing w:before="120" w:after="120"/>
        <w:jc w:val="both"/>
        <w:rPr>
          <w:sz w:val="18"/>
          <w:lang w:val="en-US"/>
        </w:rPr>
      </w:pPr>
      <w:r w:rsidRPr="00B711EF">
        <w:rPr>
          <w:sz w:val="18"/>
          <w:highlight w:val="yellow"/>
        </w:rPr>
        <w:t>4</w:t>
      </w:r>
      <w:r w:rsidRPr="003F3B0A">
        <w:rPr>
          <w:sz w:val="18"/>
        </w:rPr>
        <w:t xml:space="preserve">. Negredo E, Domingo P, Perez-Alvarez N, et al. </w:t>
      </w:r>
      <w:r w:rsidRPr="003F3B0A">
        <w:rPr>
          <w:sz w:val="18"/>
          <w:lang w:val="en-US"/>
        </w:rPr>
        <w:t>Improvement in bone mineral density after switching from tenofovir to abacavir in HIV-1-infected patients with low bone mineral density: two-centre randomized pilot study (OsteoTDF study</w:t>
      </w:r>
      <w:r>
        <w:rPr>
          <w:sz w:val="18"/>
          <w:lang w:val="en-US"/>
        </w:rPr>
        <w:t>). J Antimicrob Chemother 2014;</w:t>
      </w:r>
      <w:r w:rsidRPr="003F3B0A">
        <w:rPr>
          <w:sz w:val="18"/>
          <w:lang w:val="en-US"/>
        </w:rPr>
        <w:t>69:3368-71.</w:t>
      </w:r>
    </w:p>
    <w:p w14:paraId="3FAB62D6" w14:textId="77777777" w:rsidR="00D61AB2" w:rsidRPr="00FD7CD0" w:rsidRDefault="00D61AB2" w:rsidP="00D61AB2">
      <w:pPr>
        <w:pStyle w:val="EndNoteBibliography"/>
        <w:spacing w:before="120" w:after="120"/>
        <w:jc w:val="both"/>
        <w:rPr>
          <w:sz w:val="18"/>
        </w:rPr>
      </w:pPr>
      <w:r w:rsidRPr="004718C1">
        <w:rPr>
          <w:sz w:val="18"/>
          <w:highlight w:val="yellow"/>
          <w:lang w:val="en-US"/>
        </w:rPr>
        <w:t>5</w:t>
      </w:r>
      <w:r w:rsidRPr="004718C1">
        <w:rPr>
          <w:sz w:val="18"/>
          <w:lang w:val="en-US"/>
        </w:rPr>
        <w:t xml:space="preserve">. Gallant JE, Daar ES, Raffi F, et al. </w:t>
      </w:r>
      <w:r w:rsidRPr="003F3B0A">
        <w:rPr>
          <w:sz w:val="18"/>
          <w:lang w:val="en-US"/>
        </w:rPr>
        <w:t xml:space="preserve">Efficacy and safety of tenofovir alafenamide versus tenofovir disoproxil fumarate given as fixed-dose </w:t>
      </w:r>
      <w:r w:rsidRPr="003F3B0A">
        <w:rPr>
          <w:sz w:val="18"/>
          <w:lang w:val="en-US"/>
        </w:rPr>
        <w:t xml:space="preserve">combinations containing emtricitabine as backbones for treatment of HIV-1 infection in virologically suppressed adults: a randomised, double-blind, active-controlled </w:t>
      </w:r>
      <w:r>
        <w:rPr>
          <w:sz w:val="18"/>
          <w:lang w:val="en-US"/>
        </w:rPr>
        <w:t xml:space="preserve">phase 3 trial. </w:t>
      </w:r>
      <w:r w:rsidRPr="00FD7CD0">
        <w:rPr>
          <w:sz w:val="18"/>
        </w:rPr>
        <w:t>Lancet HIV 2016;3:e158-65.</w:t>
      </w:r>
    </w:p>
    <w:p w14:paraId="2CFB72DA" w14:textId="77777777" w:rsidR="00D61AB2" w:rsidRPr="00FD7CD0" w:rsidRDefault="00D61AB2" w:rsidP="00D61AB2">
      <w:pPr>
        <w:pStyle w:val="EndNoteBibliography"/>
        <w:spacing w:before="120" w:after="120"/>
        <w:jc w:val="both"/>
        <w:rPr>
          <w:color w:val="000000"/>
          <w:sz w:val="18"/>
          <w:lang w:val="en-US"/>
        </w:rPr>
      </w:pPr>
      <w:r w:rsidRPr="001225FD">
        <w:rPr>
          <w:color w:val="000000"/>
          <w:sz w:val="18"/>
          <w:highlight w:val="yellow"/>
        </w:rPr>
        <w:t>6.</w:t>
      </w:r>
      <w:r w:rsidRPr="00C05747">
        <w:rPr>
          <w:color w:val="000000"/>
          <w:sz w:val="18"/>
        </w:rPr>
        <w:t xml:space="preserve"> Orkin C, DeJesus E, Ramgopal M, et al. </w:t>
      </w:r>
      <w:r w:rsidRPr="003F3B0A">
        <w:rPr>
          <w:color w:val="000000"/>
          <w:sz w:val="18"/>
          <w:lang w:val="en-US"/>
        </w:rPr>
        <w:t xml:space="preserve">Switching from tenofovir disoproxil fumarate to tenofovir alafenamide coformulated with rilpivirine and emtricitabine in virally suppressed adults with HIV-1 infection: a randomised, double-blind, multicentre, phase 3b, non-inferiority study. </w:t>
      </w:r>
      <w:r w:rsidRPr="00FD7CD0">
        <w:rPr>
          <w:color w:val="000000"/>
          <w:sz w:val="18"/>
          <w:lang w:val="en-US"/>
        </w:rPr>
        <w:t>Lancet HIV 2017;4:e195-e204.</w:t>
      </w:r>
    </w:p>
    <w:p w14:paraId="4571D722" w14:textId="77777777" w:rsidR="00D61AB2" w:rsidRPr="00FD7CD0" w:rsidRDefault="00D61AB2" w:rsidP="00D61AB2">
      <w:pPr>
        <w:pStyle w:val="EndNoteBibliography"/>
        <w:spacing w:before="120" w:after="120"/>
        <w:jc w:val="both"/>
        <w:rPr>
          <w:color w:val="000000"/>
          <w:sz w:val="18"/>
          <w:lang w:val="en-US"/>
        </w:rPr>
      </w:pPr>
      <w:r w:rsidRPr="001225FD">
        <w:rPr>
          <w:color w:val="000000"/>
          <w:sz w:val="18"/>
          <w:highlight w:val="yellow"/>
          <w:lang w:val="en-US"/>
        </w:rPr>
        <w:t>7</w:t>
      </w:r>
      <w:r w:rsidRPr="003F3B0A">
        <w:rPr>
          <w:color w:val="000000"/>
          <w:sz w:val="18"/>
          <w:lang w:val="en-US"/>
        </w:rPr>
        <w:t>. Agarwal K, Brunetto M, Seto WK, et al.  96</w:t>
      </w:r>
      <w:r w:rsidRPr="003F3B0A">
        <w:rPr>
          <w:rFonts w:ascii="Times New Roman" w:hAnsi="Times New Roman"/>
          <w:color w:val="000000"/>
          <w:sz w:val="18"/>
          <w:lang w:val="en-US"/>
        </w:rPr>
        <w:t> </w:t>
      </w:r>
      <w:r w:rsidRPr="003F3B0A">
        <w:rPr>
          <w:color w:val="000000"/>
          <w:sz w:val="18"/>
          <w:lang w:val="en-US"/>
        </w:rPr>
        <w:t xml:space="preserve">weeks treatment of tenofovir alafenamide vs. tenofovir disoproxil fumarate for hepatitis B virus infection. </w:t>
      </w:r>
      <w:r w:rsidRPr="00FD7CD0">
        <w:rPr>
          <w:color w:val="000000"/>
          <w:sz w:val="18"/>
          <w:lang w:val="en-US"/>
        </w:rPr>
        <w:t>J Hepatol 2018;68:</w:t>
      </w:r>
      <w:r w:rsidRPr="00FD7CD0">
        <w:rPr>
          <w:color w:val="000000"/>
          <w:sz w:val="18"/>
          <w:highlight w:val="yellow"/>
          <w:lang w:val="en-US"/>
        </w:rPr>
        <w:t>6</w:t>
      </w:r>
      <w:r w:rsidRPr="00FD7CD0">
        <w:rPr>
          <w:color w:val="000000"/>
          <w:sz w:val="18"/>
          <w:lang w:val="en-US"/>
        </w:rPr>
        <w:t>72-81.</w:t>
      </w:r>
    </w:p>
    <w:p w14:paraId="3B570732" w14:textId="77777777" w:rsidR="00D61AB2" w:rsidRPr="003F3B0A" w:rsidRDefault="00D61AB2" w:rsidP="00D61AB2">
      <w:pPr>
        <w:pStyle w:val="EndNoteBibliography"/>
        <w:spacing w:before="120" w:after="120"/>
        <w:jc w:val="both"/>
        <w:rPr>
          <w:sz w:val="18"/>
          <w:lang w:val="en-US"/>
        </w:rPr>
      </w:pPr>
      <w:r w:rsidRPr="00FD7CD0">
        <w:rPr>
          <w:color w:val="000000"/>
          <w:sz w:val="18"/>
          <w:highlight w:val="yellow"/>
          <w:lang w:val="en-US"/>
        </w:rPr>
        <w:t>8</w:t>
      </w:r>
      <w:r w:rsidRPr="00FD7CD0">
        <w:rPr>
          <w:color w:val="000000"/>
          <w:sz w:val="18"/>
          <w:lang w:val="en-US"/>
        </w:rPr>
        <w:t>. Mills</w:t>
      </w:r>
      <w:r w:rsidRPr="00FD7CD0">
        <w:rPr>
          <w:sz w:val="18"/>
          <w:lang w:val="en-US"/>
        </w:rPr>
        <w:t xml:space="preserve"> AM, Cohen C, Dejesus E, et al. </w:t>
      </w:r>
      <w:r w:rsidRPr="003F3B0A">
        <w:rPr>
          <w:sz w:val="18"/>
          <w:lang w:val="en-US"/>
        </w:rPr>
        <w:t>Efficacy and safety 48 weeks after switching from efavirenz to rilpivirine using emtricitabine/ tenofovir disoproxil fumarate-based single-tablet regimens. HIV Clin</w:t>
      </w:r>
      <w:r>
        <w:rPr>
          <w:sz w:val="18"/>
          <w:lang w:val="en-US"/>
        </w:rPr>
        <w:t xml:space="preserve"> Trials 2013;</w:t>
      </w:r>
      <w:r w:rsidRPr="003F3B0A">
        <w:rPr>
          <w:sz w:val="18"/>
          <w:lang w:val="en-US"/>
        </w:rPr>
        <w:t>14:216-23.</w:t>
      </w:r>
    </w:p>
    <w:p w14:paraId="14BBECD2" w14:textId="77777777" w:rsidR="00D61AB2" w:rsidRPr="003F3B0A" w:rsidRDefault="00D61AB2" w:rsidP="00D61AB2">
      <w:pPr>
        <w:pStyle w:val="EndNoteBibliography"/>
        <w:spacing w:before="120" w:after="120"/>
        <w:jc w:val="both"/>
        <w:rPr>
          <w:sz w:val="18"/>
        </w:rPr>
      </w:pPr>
      <w:r w:rsidRPr="004718C1">
        <w:rPr>
          <w:color w:val="000000"/>
          <w:sz w:val="18"/>
          <w:highlight w:val="yellow"/>
          <w:lang w:val="en-US"/>
        </w:rPr>
        <w:t>9</w:t>
      </w:r>
      <w:r w:rsidRPr="004718C1">
        <w:rPr>
          <w:color w:val="000000"/>
          <w:sz w:val="18"/>
          <w:lang w:val="en-US"/>
        </w:rPr>
        <w:t xml:space="preserve">. DeJesus E, Ramgopal M, Crofoot G, et al. </w:t>
      </w:r>
      <w:r w:rsidRPr="003F3B0A">
        <w:rPr>
          <w:color w:val="000000"/>
          <w:sz w:val="18"/>
          <w:lang w:val="en-US"/>
        </w:rPr>
        <w:t>Switching</w:t>
      </w:r>
      <w:r w:rsidRPr="003F3B0A">
        <w:rPr>
          <w:sz w:val="18"/>
          <w:lang w:val="en-US"/>
        </w:rPr>
        <w:t xml:space="preserve"> from efavirenz, emtricitabine, and tenofovir disoproxil fumarate to tenofovir alafenamide coformulated with rilpivirine and emtricitabine in virally suppressed adults with HIV-1 infection: a randomised, double-blind, multicentre, phase 3b, non-inferiority study. </w:t>
      </w:r>
      <w:r>
        <w:rPr>
          <w:sz w:val="18"/>
        </w:rPr>
        <w:t>Lancet HIV 2017;</w:t>
      </w:r>
      <w:r w:rsidRPr="003F3B0A">
        <w:rPr>
          <w:sz w:val="18"/>
        </w:rPr>
        <w:t>4:e205-e</w:t>
      </w:r>
      <w:r w:rsidRPr="00AA77F4">
        <w:rPr>
          <w:sz w:val="18"/>
          <w:highlight w:val="yellow"/>
        </w:rPr>
        <w:t>2</w:t>
      </w:r>
      <w:r w:rsidRPr="003F3B0A">
        <w:rPr>
          <w:sz w:val="18"/>
        </w:rPr>
        <w:t>13.</w:t>
      </w:r>
    </w:p>
    <w:p w14:paraId="0878FE19" w14:textId="77777777" w:rsidR="00D61AB2" w:rsidRPr="003F3B0A" w:rsidRDefault="00D61AB2" w:rsidP="00D61AB2">
      <w:pPr>
        <w:pStyle w:val="EndNoteBibliography"/>
        <w:spacing w:before="120" w:after="120"/>
        <w:jc w:val="both"/>
        <w:rPr>
          <w:color w:val="000000"/>
          <w:sz w:val="18"/>
          <w:lang w:val="en-US"/>
        </w:rPr>
      </w:pPr>
      <w:r w:rsidRPr="00346827">
        <w:rPr>
          <w:color w:val="000000"/>
          <w:sz w:val="18"/>
          <w:highlight w:val="yellow"/>
        </w:rPr>
        <w:lastRenderedPageBreak/>
        <w:t>10</w:t>
      </w:r>
      <w:r w:rsidRPr="003F3B0A">
        <w:rPr>
          <w:color w:val="000000"/>
          <w:sz w:val="18"/>
        </w:rPr>
        <w:t xml:space="preserve">. Palella FJ, Jr., Fisher M, Tebas P, et al. </w:t>
      </w:r>
      <w:r w:rsidRPr="003F3B0A">
        <w:rPr>
          <w:color w:val="000000"/>
          <w:sz w:val="18"/>
          <w:lang w:val="en-US"/>
        </w:rPr>
        <w:t>Simplification to rilpivirine/emtricitabine/tenofovir disoproxil fumarate from ritonavir-boosted protease inhibitor antiretroviral therapy in a randomized trial of HIV-1 RNA-supp</w:t>
      </w:r>
      <w:r>
        <w:rPr>
          <w:color w:val="000000"/>
          <w:sz w:val="18"/>
          <w:lang w:val="en-US"/>
        </w:rPr>
        <w:t>ressed participants. AIDS 2014;</w:t>
      </w:r>
      <w:r w:rsidRPr="003F3B0A">
        <w:rPr>
          <w:color w:val="000000"/>
          <w:sz w:val="18"/>
          <w:lang w:val="en-US"/>
        </w:rPr>
        <w:t>28:335-44.</w:t>
      </w:r>
    </w:p>
    <w:p w14:paraId="24B8B556" w14:textId="77777777" w:rsidR="00D61AB2" w:rsidRPr="003F3B0A" w:rsidRDefault="00D61AB2" w:rsidP="00D61AB2">
      <w:pPr>
        <w:pStyle w:val="EndNoteBibliography"/>
        <w:spacing w:before="120" w:after="120"/>
        <w:jc w:val="both"/>
        <w:rPr>
          <w:color w:val="000000"/>
          <w:sz w:val="18"/>
          <w:lang w:val="en-US"/>
        </w:rPr>
      </w:pPr>
      <w:r w:rsidRPr="004718C1">
        <w:rPr>
          <w:color w:val="000000"/>
          <w:sz w:val="18"/>
          <w:highlight w:val="yellow"/>
          <w:lang w:val="en-US"/>
        </w:rPr>
        <w:t>11</w:t>
      </w:r>
      <w:r w:rsidRPr="004718C1">
        <w:rPr>
          <w:color w:val="000000"/>
          <w:sz w:val="18"/>
          <w:lang w:val="en-US"/>
        </w:rPr>
        <w:t xml:space="preserve">. </w:t>
      </w:r>
      <w:r w:rsidRPr="004718C1">
        <w:rPr>
          <w:color w:val="000000"/>
          <w:sz w:val="18"/>
          <w:highlight w:val="yellow"/>
          <w:lang w:val="en-US"/>
        </w:rPr>
        <w:t xml:space="preserve">Johnson M, Kumar P, Molina JM, et al. </w:t>
      </w:r>
      <w:r w:rsidRPr="005D0A0F">
        <w:rPr>
          <w:color w:val="000000"/>
          <w:sz w:val="18"/>
          <w:highlight w:val="yellow"/>
          <w:lang w:val="en-US"/>
        </w:rPr>
        <w:t>Switching to Doravirine/Lamivudine/Tenofovir Disoproxil Fumarate (DOR/3TC/TDF) maintains HIV-1 virologic suppression through 48 Weeks: Results of the DRIVE-SHIFT Trial. J Acquir Immune Defic Syndr 2019;81:463-72.</w:t>
      </w:r>
    </w:p>
    <w:p w14:paraId="5D117D2E" w14:textId="77777777" w:rsidR="00D61AB2" w:rsidRPr="003F3B0A" w:rsidRDefault="00D61AB2" w:rsidP="00D61AB2">
      <w:pPr>
        <w:pStyle w:val="EndNoteBibliography"/>
        <w:spacing w:before="120" w:after="120"/>
        <w:jc w:val="both"/>
        <w:rPr>
          <w:color w:val="000000"/>
          <w:sz w:val="18"/>
          <w:lang w:val="en-US"/>
        </w:rPr>
      </w:pPr>
      <w:r w:rsidRPr="004718C1">
        <w:rPr>
          <w:color w:val="000000"/>
          <w:sz w:val="18"/>
          <w:highlight w:val="yellow"/>
          <w:lang w:val="en-US"/>
        </w:rPr>
        <w:t>12</w:t>
      </w:r>
      <w:r w:rsidRPr="004718C1">
        <w:rPr>
          <w:color w:val="000000"/>
          <w:sz w:val="18"/>
          <w:lang w:val="en-US"/>
        </w:rPr>
        <w:t xml:space="preserve">. Gallant JE, Koenig E, Andrade-Villanueva J, et al. </w:t>
      </w:r>
      <w:r w:rsidRPr="003F3B0A">
        <w:rPr>
          <w:color w:val="000000"/>
          <w:sz w:val="18"/>
          <w:lang w:val="en-US"/>
        </w:rPr>
        <w:t>Cobicistat versus ritonavir as a pharmacoenhancer of atazanavir plus emtricitabine/tenofovir disoproxil fumarate in treatment-naive HIV type 1-infected patients: week</w:t>
      </w:r>
      <w:r>
        <w:rPr>
          <w:color w:val="000000"/>
          <w:sz w:val="18"/>
          <w:lang w:val="en-US"/>
        </w:rPr>
        <w:t xml:space="preserve"> 48 results. J Infect Dis 2013;</w:t>
      </w:r>
      <w:r w:rsidRPr="003F3B0A">
        <w:rPr>
          <w:color w:val="000000"/>
          <w:sz w:val="18"/>
          <w:lang w:val="en-US"/>
        </w:rPr>
        <w:t>208:32-</w:t>
      </w:r>
      <w:r w:rsidRPr="00AA77F4">
        <w:rPr>
          <w:color w:val="000000"/>
          <w:sz w:val="18"/>
          <w:highlight w:val="yellow"/>
          <w:lang w:val="en-US"/>
        </w:rPr>
        <w:t>3</w:t>
      </w:r>
      <w:r w:rsidRPr="003F3B0A">
        <w:rPr>
          <w:color w:val="000000"/>
          <w:sz w:val="18"/>
          <w:lang w:val="en-US"/>
        </w:rPr>
        <w:t>9.</w:t>
      </w:r>
    </w:p>
    <w:p w14:paraId="02FC3EDB" w14:textId="77777777" w:rsidR="00D61AB2" w:rsidRPr="00287DD7" w:rsidRDefault="00D61AB2" w:rsidP="00D61AB2">
      <w:pPr>
        <w:pStyle w:val="EndNoteBibliography"/>
        <w:spacing w:before="120" w:after="120"/>
        <w:jc w:val="both"/>
        <w:rPr>
          <w:color w:val="000000"/>
          <w:sz w:val="18"/>
        </w:rPr>
      </w:pPr>
      <w:r w:rsidRPr="00E96B04">
        <w:rPr>
          <w:color w:val="000000"/>
          <w:sz w:val="18"/>
          <w:highlight w:val="yellow"/>
          <w:lang w:val="en-US"/>
        </w:rPr>
        <w:t>13</w:t>
      </w:r>
      <w:r w:rsidRPr="003F3B0A">
        <w:rPr>
          <w:color w:val="000000"/>
          <w:sz w:val="18"/>
          <w:lang w:val="en-US"/>
        </w:rPr>
        <w:t xml:space="preserve">. Tashima K, Crofoot G, Tomaka FL, et al. Cobicistat-boosted darunavir in HIV-1-infected adults: week 48 results of a Phase IIIb, open-label single-arm trial. </w:t>
      </w:r>
      <w:r>
        <w:rPr>
          <w:color w:val="000000"/>
          <w:sz w:val="18"/>
        </w:rPr>
        <w:t>AIDS Res Ther 2014;</w:t>
      </w:r>
      <w:r w:rsidRPr="00287DD7">
        <w:rPr>
          <w:color w:val="000000"/>
          <w:sz w:val="18"/>
        </w:rPr>
        <w:t>11:39.</w:t>
      </w:r>
    </w:p>
    <w:p w14:paraId="220415AD" w14:textId="77777777" w:rsidR="00D61AB2" w:rsidRPr="003F3B0A" w:rsidRDefault="00D61AB2" w:rsidP="00D61AB2">
      <w:pPr>
        <w:pStyle w:val="EndNoteBibliography"/>
        <w:spacing w:before="120" w:after="120"/>
        <w:jc w:val="both"/>
        <w:rPr>
          <w:sz w:val="18"/>
          <w:szCs w:val="18"/>
          <w:lang w:val="en-US"/>
        </w:rPr>
      </w:pPr>
      <w:r w:rsidRPr="001E495B">
        <w:rPr>
          <w:color w:val="000000"/>
          <w:sz w:val="18"/>
          <w:highlight w:val="yellow"/>
        </w:rPr>
        <w:t>14</w:t>
      </w:r>
      <w:r w:rsidRPr="003F3B0A">
        <w:rPr>
          <w:color w:val="000000"/>
          <w:sz w:val="18"/>
        </w:rPr>
        <w:t xml:space="preserve">. </w:t>
      </w:r>
      <w:r w:rsidRPr="003F3B0A">
        <w:rPr>
          <w:sz w:val="18"/>
          <w:szCs w:val="18"/>
        </w:rPr>
        <w:t>Martínez E, Negredo E, Knobel H, et al.</w:t>
      </w:r>
      <w:r>
        <w:rPr>
          <w:sz w:val="18"/>
          <w:szCs w:val="18"/>
        </w:rPr>
        <w:t xml:space="preserve"> </w:t>
      </w:r>
      <w:r w:rsidRPr="00754328">
        <w:rPr>
          <w:sz w:val="18"/>
          <w:szCs w:val="18"/>
          <w:highlight w:val="yellow"/>
          <w:lang w:val="en-US"/>
        </w:rPr>
        <w:t xml:space="preserve">Factors associated with the number of drugs in darunavir/cobicistat regimens. J Antimicrob </w:t>
      </w:r>
      <w:r w:rsidRPr="00160E9A">
        <w:rPr>
          <w:sz w:val="18"/>
          <w:szCs w:val="18"/>
          <w:highlight w:val="yellow"/>
          <w:lang w:val="en-US"/>
        </w:rPr>
        <w:t>Chemother 2020;75:208-14.</w:t>
      </w:r>
    </w:p>
    <w:p w14:paraId="11C05795" w14:textId="77777777" w:rsidR="00D61AB2" w:rsidRPr="003F3B0A" w:rsidRDefault="00D61AB2" w:rsidP="00D61AB2">
      <w:pPr>
        <w:pStyle w:val="EndNoteBibliography"/>
        <w:spacing w:before="120" w:after="120"/>
        <w:jc w:val="both"/>
        <w:rPr>
          <w:sz w:val="18"/>
          <w:szCs w:val="18"/>
        </w:rPr>
      </w:pPr>
      <w:r w:rsidRPr="004718C1">
        <w:rPr>
          <w:sz w:val="18"/>
          <w:szCs w:val="18"/>
          <w:highlight w:val="yellow"/>
          <w:lang w:val="en-US"/>
        </w:rPr>
        <w:t>15</w:t>
      </w:r>
      <w:r w:rsidRPr="004718C1">
        <w:rPr>
          <w:sz w:val="18"/>
          <w:szCs w:val="18"/>
          <w:lang w:val="en-US"/>
        </w:rPr>
        <w:t xml:space="preserve">. Echeverría P, Bonjoch A, Puig J, et al. </w:t>
      </w:r>
      <w:r w:rsidRPr="003F3B0A">
        <w:rPr>
          <w:sz w:val="18"/>
          <w:szCs w:val="18"/>
          <w:lang w:val="en-US"/>
        </w:rPr>
        <w:t xml:space="preserve">Significant improvement in triglyceride levels after switching from ritonavir to cobicistat in suppressed HIV-1-infected subjects with dyslipidaemia. </w:t>
      </w:r>
      <w:r w:rsidRPr="003F3B0A">
        <w:rPr>
          <w:sz w:val="18"/>
          <w:szCs w:val="18"/>
        </w:rPr>
        <w:t>HIV Med 2017;</w:t>
      </w:r>
      <w:r>
        <w:rPr>
          <w:sz w:val="18"/>
          <w:szCs w:val="18"/>
        </w:rPr>
        <w:t>18:782-</w:t>
      </w:r>
      <w:r w:rsidRPr="003F3B0A">
        <w:rPr>
          <w:sz w:val="18"/>
          <w:szCs w:val="18"/>
        </w:rPr>
        <w:t>86.</w:t>
      </w:r>
    </w:p>
    <w:p w14:paraId="1AECAF6C" w14:textId="77777777" w:rsidR="00D61AB2" w:rsidRPr="003F3B0A" w:rsidRDefault="00D61AB2" w:rsidP="00D61AB2">
      <w:pPr>
        <w:jc w:val="both"/>
        <w:rPr>
          <w:rFonts w:ascii="Arial" w:hAnsi="Arial"/>
          <w:sz w:val="18"/>
          <w:szCs w:val="18"/>
        </w:rPr>
      </w:pPr>
      <w:r w:rsidRPr="001E495B">
        <w:rPr>
          <w:rFonts w:ascii="Arial" w:hAnsi="Arial"/>
          <w:sz w:val="18"/>
          <w:szCs w:val="18"/>
          <w:highlight w:val="yellow"/>
        </w:rPr>
        <w:t>16</w:t>
      </w:r>
      <w:r w:rsidRPr="003F3B0A">
        <w:rPr>
          <w:rFonts w:ascii="Arial" w:hAnsi="Arial"/>
          <w:sz w:val="18"/>
          <w:szCs w:val="18"/>
        </w:rPr>
        <w:t xml:space="preserve">. Mena A, Cid P, Dueñas C, et al. </w:t>
      </w:r>
      <w:r w:rsidRPr="003F3B0A">
        <w:rPr>
          <w:rFonts w:ascii="Arial" w:hAnsi="Arial"/>
          <w:sz w:val="18"/>
          <w:szCs w:val="18"/>
          <w:lang w:val="en-US"/>
        </w:rPr>
        <w:t xml:space="preserve">Darunavir/cobicistat maintains the effectiveness of darunavir/ritonavir in HIV-infected patients under mono or dual therapy. </w:t>
      </w:r>
      <w:r>
        <w:rPr>
          <w:rFonts w:ascii="Arial" w:hAnsi="Arial"/>
          <w:sz w:val="18"/>
          <w:szCs w:val="18"/>
        </w:rPr>
        <w:t>HIV Clin Trials 2018;19:</w:t>
      </w:r>
      <w:r w:rsidRPr="003F3B0A">
        <w:rPr>
          <w:rFonts w:ascii="Arial" w:hAnsi="Arial"/>
          <w:sz w:val="18"/>
          <w:szCs w:val="18"/>
        </w:rPr>
        <w:t>197-201.</w:t>
      </w:r>
    </w:p>
    <w:p w14:paraId="05126FDF" w14:textId="77777777" w:rsidR="00D61AB2" w:rsidRPr="003F3B0A" w:rsidRDefault="00D61AB2" w:rsidP="00D61AB2">
      <w:pPr>
        <w:pStyle w:val="EndNoteBibliography"/>
        <w:spacing w:before="120" w:after="120"/>
        <w:jc w:val="both"/>
        <w:rPr>
          <w:color w:val="000000"/>
          <w:sz w:val="18"/>
        </w:rPr>
      </w:pPr>
      <w:r w:rsidRPr="001E495B">
        <w:rPr>
          <w:color w:val="000000"/>
          <w:sz w:val="18"/>
          <w:highlight w:val="yellow"/>
        </w:rPr>
        <w:t>17</w:t>
      </w:r>
      <w:r w:rsidRPr="003F3B0A">
        <w:rPr>
          <w:color w:val="000000"/>
          <w:sz w:val="18"/>
        </w:rPr>
        <w:t xml:space="preserve">. Orkin C, Molina JM, Negredo E, et al. </w:t>
      </w:r>
      <w:r w:rsidRPr="003F3B0A">
        <w:rPr>
          <w:color w:val="000000"/>
          <w:sz w:val="18"/>
          <w:lang w:val="en-US"/>
        </w:rPr>
        <w:t>Efficacy and safety of switching from boosted protease</w:t>
      </w:r>
      <w:r w:rsidRPr="003F3B0A">
        <w:rPr>
          <w:sz w:val="18"/>
          <w:lang w:val="en-US"/>
        </w:rPr>
        <w:t xml:space="preserve"> inhibitors plus emtricitabine and tenofovir disoproxil fumarate regimens to single-tablet darunavir, cobicistat, emtricitabine, and tenofovir alafenamide at 48 weeks in adults with virologically suppressed HIV-1 (EMERALD): a phase 3, randomised, non-inferiority trial. </w:t>
      </w:r>
      <w:r w:rsidRPr="003F3B0A">
        <w:rPr>
          <w:sz w:val="18"/>
        </w:rPr>
        <w:t xml:space="preserve">Lancet </w:t>
      </w:r>
      <w:r>
        <w:rPr>
          <w:color w:val="000000"/>
          <w:sz w:val="18"/>
        </w:rPr>
        <w:t>HIV 2018;</w:t>
      </w:r>
      <w:r w:rsidRPr="003F3B0A">
        <w:rPr>
          <w:color w:val="000000"/>
          <w:sz w:val="18"/>
        </w:rPr>
        <w:t xml:space="preserve">5:e23-e34. </w:t>
      </w:r>
    </w:p>
    <w:p w14:paraId="2F5A62E1" w14:textId="77777777" w:rsidR="00D61AB2" w:rsidRPr="003F3B0A" w:rsidRDefault="00D61AB2" w:rsidP="00D61AB2">
      <w:pPr>
        <w:pStyle w:val="EndNoteBibliography"/>
        <w:spacing w:before="120" w:after="120"/>
        <w:jc w:val="both"/>
        <w:rPr>
          <w:sz w:val="18"/>
          <w:lang w:val="en-US"/>
        </w:rPr>
      </w:pPr>
      <w:r w:rsidRPr="00A9727D">
        <w:rPr>
          <w:color w:val="000000"/>
          <w:sz w:val="18"/>
          <w:highlight w:val="yellow"/>
        </w:rPr>
        <w:t>18</w:t>
      </w:r>
      <w:r w:rsidRPr="003F3B0A">
        <w:rPr>
          <w:color w:val="000000"/>
          <w:sz w:val="18"/>
        </w:rPr>
        <w:t xml:space="preserve">. Nguyen A, Calmy A, Delhumeau C, et al. </w:t>
      </w:r>
      <w:r w:rsidRPr="003F3B0A">
        <w:rPr>
          <w:color w:val="000000"/>
          <w:sz w:val="18"/>
          <w:lang w:val="en-US"/>
        </w:rPr>
        <w:t>A randomized</w:t>
      </w:r>
      <w:r w:rsidRPr="003F3B0A">
        <w:rPr>
          <w:sz w:val="18"/>
          <w:lang w:val="en-US"/>
        </w:rPr>
        <w:t xml:space="preserve"> cross-over study to compare raltegravir and efaviren</w:t>
      </w:r>
      <w:r>
        <w:rPr>
          <w:sz w:val="18"/>
          <w:lang w:val="en-US"/>
        </w:rPr>
        <w:t>z (SWITCH-ER study). AIDS 2011;</w:t>
      </w:r>
      <w:r w:rsidRPr="003F3B0A">
        <w:rPr>
          <w:sz w:val="18"/>
          <w:lang w:val="en-US"/>
        </w:rPr>
        <w:t>25:1481-</w:t>
      </w:r>
      <w:r>
        <w:rPr>
          <w:sz w:val="18"/>
          <w:lang w:val="en-US"/>
        </w:rPr>
        <w:t>8</w:t>
      </w:r>
      <w:r w:rsidRPr="003F3B0A">
        <w:rPr>
          <w:sz w:val="18"/>
          <w:lang w:val="en-US"/>
        </w:rPr>
        <w:t>7.</w:t>
      </w:r>
    </w:p>
    <w:p w14:paraId="3990134D" w14:textId="77777777" w:rsidR="00D61AB2" w:rsidRPr="003F3B0A" w:rsidRDefault="00D61AB2" w:rsidP="00D61AB2">
      <w:pPr>
        <w:pStyle w:val="EndNoteBibliography"/>
        <w:spacing w:before="120" w:after="120"/>
        <w:jc w:val="both"/>
        <w:rPr>
          <w:color w:val="000000"/>
          <w:sz w:val="18"/>
          <w:lang w:val="en-US"/>
        </w:rPr>
      </w:pPr>
      <w:r w:rsidRPr="00A9727D">
        <w:rPr>
          <w:color w:val="000000"/>
          <w:sz w:val="18"/>
          <w:highlight w:val="yellow"/>
          <w:lang w:val="en-US"/>
        </w:rPr>
        <w:t>19</w:t>
      </w:r>
      <w:r w:rsidRPr="003F3B0A">
        <w:rPr>
          <w:color w:val="000000"/>
          <w:sz w:val="18"/>
          <w:lang w:val="en-US"/>
        </w:rPr>
        <w:t>. Eron JJ, Young B, Cooper DA, et al. Switch to a raltegravir-based regimen versus continuation of a lopinavir-ritonavir-based regimen</w:t>
      </w:r>
      <w:r w:rsidRPr="003F3B0A">
        <w:rPr>
          <w:sz w:val="18"/>
          <w:lang w:val="en-US"/>
        </w:rPr>
        <w:t xml:space="preserve"> in stable HIV-infected patients with suppressed viraemia (SWITCHMRK 1 and 2): </w:t>
      </w:r>
      <w:r w:rsidRPr="003F3B0A">
        <w:rPr>
          <w:color w:val="000000"/>
          <w:sz w:val="18"/>
          <w:lang w:val="en-US"/>
        </w:rPr>
        <w:t xml:space="preserve">two multicentre, double-blind, randomised </w:t>
      </w:r>
      <w:r>
        <w:rPr>
          <w:color w:val="000000"/>
          <w:sz w:val="18"/>
          <w:lang w:val="en-US"/>
        </w:rPr>
        <w:t>controlled trials. Lancet 2010;</w:t>
      </w:r>
      <w:r w:rsidRPr="003F3B0A">
        <w:rPr>
          <w:color w:val="000000"/>
          <w:sz w:val="18"/>
          <w:lang w:val="en-US"/>
        </w:rPr>
        <w:t>375:396-407.</w:t>
      </w:r>
    </w:p>
    <w:p w14:paraId="67414856" w14:textId="77777777" w:rsidR="00D61AB2" w:rsidRPr="003F3B0A" w:rsidRDefault="00D61AB2" w:rsidP="00D61AB2">
      <w:pPr>
        <w:pStyle w:val="EndNoteBibliography"/>
        <w:spacing w:before="120" w:after="120"/>
        <w:jc w:val="both"/>
        <w:rPr>
          <w:color w:val="FF0000"/>
          <w:sz w:val="18"/>
          <w:lang w:val="en-US"/>
        </w:rPr>
      </w:pPr>
      <w:r w:rsidRPr="004718C1">
        <w:rPr>
          <w:color w:val="000000"/>
          <w:sz w:val="18"/>
          <w:highlight w:val="yellow"/>
          <w:lang w:val="en-US"/>
        </w:rPr>
        <w:t>20</w:t>
      </w:r>
      <w:r w:rsidRPr="004718C1">
        <w:rPr>
          <w:color w:val="000000"/>
          <w:sz w:val="18"/>
          <w:lang w:val="en-US"/>
        </w:rPr>
        <w:t xml:space="preserve">. Martinez E, Larrousse M, Llibre JM, et al. </w:t>
      </w:r>
      <w:r w:rsidRPr="003F3B0A">
        <w:rPr>
          <w:color w:val="000000"/>
          <w:sz w:val="18"/>
          <w:lang w:val="en-US"/>
        </w:rPr>
        <w:t>Substitution of raltegravir for ritonavir-boosted protease</w:t>
      </w:r>
      <w:r w:rsidRPr="003F3B0A">
        <w:rPr>
          <w:sz w:val="18"/>
          <w:lang w:val="en-US"/>
        </w:rPr>
        <w:t xml:space="preserve"> inhibitors in HIV-infected patients: the SPIRAL study. AIDS 2010; 24:1697-</w:t>
      </w:r>
      <w:r>
        <w:rPr>
          <w:sz w:val="18"/>
          <w:lang w:val="en-US"/>
        </w:rPr>
        <w:t>1</w:t>
      </w:r>
      <w:r w:rsidRPr="003F3B0A">
        <w:rPr>
          <w:sz w:val="18"/>
          <w:lang w:val="en-US"/>
        </w:rPr>
        <w:t>707.</w:t>
      </w:r>
      <w:r w:rsidRPr="003F3B0A">
        <w:rPr>
          <w:color w:val="FF0000"/>
          <w:sz w:val="18"/>
          <w:lang w:val="en-US"/>
        </w:rPr>
        <w:t xml:space="preserve"> </w:t>
      </w:r>
    </w:p>
    <w:p w14:paraId="4E810380" w14:textId="77777777" w:rsidR="00D61AB2" w:rsidRPr="003F3B0A" w:rsidRDefault="00D61AB2" w:rsidP="00D61AB2">
      <w:pPr>
        <w:pStyle w:val="EndNoteBibliography"/>
        <w:spacing w:before="120" w:after="120"/>
        <w:jc w:val="both"/>
        <w:rPr>
          <w:color w:val="FF0000"/>
          <w:sz w:val="18"/>
          <w:lang w:val="en-US"/>
        </w:rPr>
      </w:pPr>
      <w:r w:rsidRPr="004718C1">
        <w:rPr>
          <w:color w:val="000000"/>
          <w:sz w:val="18"/>
          <w:highlight w:val="yellow"/>
          <w:lang w:val="en-US"/>
        </w:rPr>
        <w:t>21</w:t>
      </w:r>
      <w:r w:rsidRPr="004718C1">
        <w:rPr>
          <w:sz w:val="18"/>
          <w:lang w:val="en-US"/>
        </w:rPr>
        <w:t xml:space="preserve">. </w:t>
      </w:r>
      <w:r w:rsidRPr="004718C1">
        <w:rPr>
          <w:color w:val="000000"/>
          <w:sz w:val="18"/>
          <w:lang w:val="en-US"/>
        </w:rPr>
        <w:t xml:space="preserve">Mills A, Arribas JR, Andrade-Villanueva J, et al. </w:t>
      </w:r>
      <w:r w:rsidRPr="003F3B0A">
        <w:rPr>
          <w:color w:val="000000"/>
          <w:sz w:val="18"/>
          <w:lang w:val="en-US"/>
        </w:rPr>
        <w:t>Switching from tenofovir disoproxil fumarate to tenofovir alafenamide in antiretroviral regimens for virologically suppressed adults with HIV-1 infection: a randomised, active-controlled, multicentre, open-label, phase 3, non-inferiority study. Lancet Infect Dis 2016;16:43-52.</w:t>
      </w:r>
      <w:r w:rsidRPr="003F3B0A">
        <w:rPr>
          <w:color w:val="FF0000"/>
          <w:sz w:val="18"/>
          <w:lang w:val="en-US"/>
        </w:rPr>
        <w:t xml:space="preserve"> </w:t>
      </w:r>
    </w:p>
    <w:p w14:paraId="467033CB" w14:textId="77777777" w:rsidR="00D61AB2" w:rsidRPr="003F3B0A" w:rsidRDefault="00D61AB2" w:rsidP="00D61AB2">
      <w:pPr>
        <w:pStyle w:val="EndNoteBibliography"/>
        <w:spacing w:before="120" w:after="120"/>
        <w:jc w:val="both"/>
        <w:rPr>
          <w:color w:val="FF0000"/>
          <w:sz w:val="18"/>
          <w:lang w:val="en-US"/>
        </w:rPr>
      </w:pPr>
      <w:r w:rsidRPr="00125E78">
        <w:rPr>
          <w:color w:val="000000"/>
          <w:sz w:val="18"/>
          <w:highlight w:val="yellow"/>
          <w:lang w:val="en-US"/>
        </w:rPr>
        <w:t>22</w:t>
      </w:r>
      <w:r w:rsidRPr="003F3B0A">
        <w:rPr>
          <w:color w:val="000000"/>
          <w:sz w:val="18"/>
          <w:lang w:val="en-US"/>
        </w:rPr>
        <w:t>.</w:t>
      </w:r>
      <w:r w:rsidRPr="003F3B0A">
        <w:rPr>
          <w:sz w:val="18"/>
          <w:lang w:val="en-US"/>
        </w:rPr>
        <w:t xml:space="preserve"> </w:t>
      </w:r>
      <w:r w:rsidRPr="003F3B0A">
        <w:rPr>
          <w:color w:val="000000"/>
          <w:sz w:val="18"/>
          <w:lang w:val="en-US"/>
        </w:rPr>
        <w:t xml:space="preserve">Hodder S, Squires K, Kityo C, et al. Efficacy and safety of switching to coformulated elvitegravir, cobicistat, emtricitabine, and tenofovir alafenamide (E/C/F/TAF) in virologically suppressed women. J </w:t>
      </w:r>
      <w:r>
        <w:rPr>
          <w:color w:val="000000"/>
          <w:sz w:val="18"/>
          <w:lang w:val="en-US"/>
        </w:rPr>
        <w:t>Acquir Immune Defic Syndr 2018;</w:t>
      </w:r>
      <w:r w:rsidRPr="003F3B0A">
        <w:rPr>
          <w:color w:val="000000"/>
          <w:sz w:val="18"/>
          <w:lang w:val="en-US"/>
        </w:rPr>
        <w:t>78:209-213.</w:t>
      </w:r>
    </w:p>
    <w:p w14:paraId="597FDAF8" w14:textId="77777777" w:rsidR="00D61AB2" w:rsidRPr="003F3B0A" w:rsidRDefault="00D61AB2" w:rsidP="00D61AB2">
      <w:pPr>
        <w:pStyle w:val="EndNoteBibliography"/>
        <w:spacing w:before="120" w:after="120"/>
        <w:jc w:val="both"/>
        <w:rPr>
          <w:sz w:val="18"/>
          <w:lang w:val="en-US"/>
        </w:rPr>
      </w:pPr>
      <w:r w:rsidRPr="00125E78">
        <w:rPr>
          <w:color w:val="000000"/>
          <w:sz w:val="18"/>
          <w:highlight w:val="yellow"/>
          <w:lang w:val="en-US"/>
        </w:rPr>
        <w:t>23</w:t>
      </w:r>
      <w:r w:rsidRPr="003F3B0A">
        <w:rPr>
          <w:color w:val="000000"/>
          <w:sz w:val="18"/>
          <w:lang w:val="en-US"/>
        </w:rPr>
        <w:t>. Pozniak</w:t>
      </w:r>
      <w:r w:rsidRPr="003F3B0A">
        <w:rPr>
          <w:sz w:val="18"/>
          <w:lang w:val="en-US"/>
        </w:rPr>
        <w:t xml:space="preserve"> A, Arribas JR, Gathe J, et al. Switching to tenofovir alafenamide, coformulated with elvitegravir, cobicistat, and emtricitabine, in HIV-infected patients with renal impairment: 48-week results from a single-arm, multicenter, open-label phase 3 study. J </w:t>
      </w:r>
      <w:r>
        <w:rPr>
          <w:sz w:val="18"/>
          <w:lang w:val="en-US"/>
        </w:rPr>
        <w:t>Acquir Immune Defic Syndr 2016;71:530-</w:t>
      </w:r>
      <w:r w:rsidRPr="003F3B0A">
        <w:rPr>
          <w:sz w:val="18"/>
          <w:lang w:val="en-US"/>
        </w:rPr>
        <w:t>37.</w:t>
      </w:r>
    </w:p>
    <w:p w14:paraId="19004F56" w14:textId="77777777" w:rsidR="00D61AB2" w:rsidRPr="003F3B0A" w:rsidRDefault="00D61AB2" w:rsidP="00D61AB2">
      <w:pPr>
        <w:pStyle w:val="EndNoteBibliography"/>
        <w:spacing w:before="120" w:after="120"/>
        <w:jc w:val="both"/>
        <w:rPr>
          <w:color w:val="000000"/>
          <w:sz w:val="18"/>
          <w:lang w:val="en-US"/>
        </w:rPr>
      </w:pPr>
      <w:r w:rsidRPr="000217A0">
        <w:rPr>
          <w:color w:val="000000"/>
          <w:sz w:val="18"/>
          <w:highlight w:val="yellow"/>
          <w:lang w:val="en-US"/>
        </w:rPr>
        <w:t>24</w:t>
      </w:r>
      <w:r w:rsidRPr="003F3B0A">
        <w:rPr>
          <w:color w:val="000000"/>
          <w:sz w:val="18"/>
          <w:lang w:val="en-US"/>
        </w:rPr>
        <w:t>. Trottier</w:t>
      </w:r>
      <w:r w:rsidRPr="003F3B0A">
        <w:rPr>
          <w:sz w:val="18"/>
          <w:lang w:val="en-US"/>
        </w:rPr>
        <w:t xml:space="preserve"> B, Lake JE, Logue K, et al. Dolutegravir/abacavir/lamivudine versus current ART in virally suppressed patients (STRIIVING): a 48-week, randomized, non-inferiority, open-label, Phase IIIb study. Antivir Ther </w:t>
      </w:r>
      <w:r>
        <w:rPr>
          <w:color w:val="000000"/>
          <w:sz w:val="18"/>
          <w:lang w:val="en-US"/>
        </w:rPr>
        <w:t>2017;</w:t>
      </w:r>
      <w:r w:rsidRPr="003F3B0A">
        <w:rPr>
          <w:color w:val="000000"/>
          <w:sz w:val="18"/>
          <w:lang w:val="en-US"/>
        </w:rPr>
        <w:t>22:295-305.</w:t>
      </w:r>
    </w:p>
    <w:p w14:paraId="3BF057A8" w14:textId="77777777" w:rsidR="00D61AB2" w:rsidRDefault="00D61AB2" w:rsidP="00D61AB2">
      <w:pPr>
        <w:pStyle w:val="EndNoteBibliography"/>
        <w:spacing w:before="120" w:after="120"/>
        <w:jc w:val="both"/>
        <w:rPr>
          <w:color w:val="000000"/>
          <w:sz w:val="18"/>
          <w:lang w:val="en-US"/>
        </w:rPr>
      </w:pPr>
      <w:r w:rsidRPr="000217A0">
        <w:rPr>
          <w:color w:val="000000"/>
          <w:sz w:val="18"/>
          <w:highlight w:val="yellow"/>
          <w:lang w:val="en-US"/>
        </w:rPr>
        <w:t>25</w:t>
      </w:r>
      <w:r w:rsidRPr="003F3B0A">
        <w:rPr>
          <w:color w:val="000000"/>
          <w:sz w:val="18"/>
          <w:lang w:val="en-US"/>
        </w:rPr>
        <w:t xml:space="preserve">. Gatell JM, Assoumou L, Moyle G, et al. Immediate vs. deferred switching from a boosted protease inhibitor based regimen to a dolutegravir  based regimen in virologically suppressed patients with high cardiovascular risk or age ≥50 years: Final 96 weeks results of NEAT 022 study. Clin Infect Dis </w:t>
      </w:r>
      <w:r w:rsidRPr="008658C6">
        <w:rPr>
          <w:color w:val="000000"/>
          <w:sz w:val="18"/>
          <w:highlight w:val="yellow"/>
          <w:lang w:val="en-US"/>
        </w:rPr>
        <w:t>2019;68:597-606</w:t>
      </w:r>
      <w:r>
        <w:rPr>
          <w:color w:val="000000"/>
          <w:sz w:val="18"/>
          <w:lang w:val="en-US"/>
        </w:rPr>
        <w:t>.</w:t>
      </w:r>
    </w:p>
    <w:p w14:paraId="0E5F9177" w14:textId="77777777" w:rsidR="00D61AB2" w:rsidRPr="00287DD7" w:rsidRDefault="00D61AB2" w:rsidP="00D61AB2">
      <w:pPr>
        <w:pStyle w:val="EndNoteBibliography"/>
        <w:spacing w:before="120" w:after="120"/>
        <w:jc w:val="both"/>
        <w:rPr>
          <w:color w:val="000000"/>
          <w:sz w:val="18"/>
        </w:rPr>
      </w:pPr>
      <w:r w:rsidRPr="00FD3FE8">
        <w:rPr>
          <w:color w:val="000000"/>
          <w:sz w:val="18"/>
          <w:highlight w:val="yellow"/>
          <w:lang w:val="en-US"/>
        </w:rPr>
        <w:t xml:space="preserve">26. Aboud M, Kaplan R, Lombaard J, et al. </w:t>
      </w:r>
      <w:r w:rsidRPr="009673F8">
        <w:rPr>
          <w:color w:val="000000"/>
          <w:sz w:val="18"/>
          <w:highlight w:val="yellow"/>
          <w:lang w:val="en-US"/>
        </w:rPr>
        <w:t xml:space="preserve">Dolutegravir versus ritonavir-boosted lopinavir both with dual nucleoside reverse transcriptase inhibitor therapy in adults with HIV-1 infection in whom first-line therapy has failed (DAWNING): an open-label, non-inferiority, phase 3b trial. </w:t>
      </w:r>
      <w:r w:rsidRPr="00287DD7">
        <w:rPr>
          <w:color w:val="000000"/>
          <w:sz w:val="18"/>
          <w:highlight w:val="yellow"/>
        </w:rPr>
        <w:t>Lancet Infect Dis 2019;19:253-64.</w:t>
      </w:r>
    </w:p>
    <w:p w14:paraId="035C3603" w14:textId="77777777" w:rsidR="00D61AB2" w:rsidRPr="003F3B0A" w:rsidRDefault="00D61AB2" w:rsidP="00D61AB2">
      <w:pPr>
        <w:pStyle w:val="EndNoteBibliography"/>
        <w:spacing w:before="120" w:after="120"/>
        <w:jc w:val="both"/>
        <w:rPr>
          <w:color w:val="000000"/>
          <w:sz w:val="18"/>
          <w:lang w:val="en-US"/>
        </w:rPr>
      </w:pPr>
      <w:r w:rsidRPr="009F4348">
        <w:rPr>
          <w:color w:val="000000"/>
          <w:sz w:val="18"/>
          <w:highlight w:val="yellow"/>
        </w:rPr>
        <w:t>2</w:t>
      </w:r>
      <w:r>
        <w:rPr>
          <w:color w:val="000000"/>
          <w:sz w:val="18"/>
          <w:highlight w:val="yellow"/>
        </w:rPr>
        <w:t>7</w:t>
      </w:r>
      <w:r w:rsidRPr="003F3B0A">
        <w:rPr>
          <w:color w:val="000000"/>
          <w:sz w:val="18"/>
        </w:rPr>
        <w:t>.</w:t>
      </w:r>
      <w:r w:rsidRPr="003F3B0A">
        <w:rPr>
          <w:color w:val="000000"/>
        </w:rPr>
        <w:t xml:space="preserve"> </w:t>
      </w:r>
      <w:r w:rsidRPr="003F3B0A">
        <w:rPr>
          <w:color w:val="000000"/>
          <w:sz w:val="18"/>
        </w:rPr>
        <w:t xml:space="preserve">Daar ES, DeJesus E, Ruane P, et al. </w:t>
      </w:r>
      <w:r w:rsidRPr="003F3B0A">
        <w:rPr>
          <w:color w:val="000000"/>
          <w:sz w:val="18"/>
          <w:lang w:val="en-US"/>
        </w:rPr>
        <w:t>Efficacy and safety of switching to fixed-dose bictegravir, emtricitabine, and tenofovir alafenamide from boosted protease inhibitor-based regimens in virologically suppressed adults with HIV-1: 48 week results of a randomised, open-label, multicentre, phase 3, non-infe</w:t>
      </w:r>
      <w:r>
        <w:rPr>
          <w:color w:val="000000"/>
          <w:sz w:val="18"/>
          <w:lang w:val="en-US"/>
        </w:rPr>
        <w:t>riority trial. Lancet HIV 2018;</w:t>
      </w:r>
      <w:r w:rsidRPr="003F3B0A">
        <w:rPr>
          <w:color w:val="000000"/>
          <w:sz w:val="18"/>
          <w:lang w:val="en-US"/>
        </w:rPr>
        <w:t>5:e347-e356.</w:t>
      </w:r>
    </w:p>
    <w:p w14:paraId="0390B1EA" w14:textId="77777777" w:rsidR="00D61AB2" w:rsidRPr="003F3B0A" w:rsidRDefault="00D61AB2" w:rsidP="00D61AB2">
      <w:pPr>
        <w:pStyle w:val="EndNoteBibliography"/>
        <w:spacing w:before="120" w:after="120"/>
        <w:jc w:val="both"/>
        <w:rPr>
          <w:color w:val="000000"/>
          <w:sz w:val="18"/>
        </w:rPr>
      </w:pPr>
      <w:r>
        <w:rPr>
          <w:color w:val="000000"/>
          <w:sz w:val="18"/>
          <w:highlight w:val="yellow"/>
          <w:lang w:val="en-US"/>
        </w:rPr>
        <w:t>28</w:t>
      </w:r>
      <w:r w:rsidRPr="003F3B0A">
        <w:rPr>
          <w:color w:val="000000"/>
          <w:sz w:val="18"/>
          <w:lang w:val="en-US"/>
        </w:rPr>
        <w:t xml:space="preserve">. Molina JM, Ward D, Brar I, et al. Switching to fixed-dose bictegravir, emtricitabine, and tenofovir alafenamide from dolutegravir plus abacavir and lamivudine in virologically suppressed adults with HIV-1: 48 week results of a randomised, double-blind, multicentre, active-controlled, phase 3, non-inferiority trial. </w:t>
      </w:r>
      <w:r>
        <w:rPr>
          <w:color w:val="000000"/>
          <w:sz w:val="18"/>
        </w:rPr>
        <w:t>Lancet HIV 2018;</w:t>
      </w:r>
      <w:r w:rsidRPr="003F3B0A">
        <w:rPr>
          <w:color w:val="000000"/>
          <w:sz w:val="18"/>
        </w:rPr>
        <w:t>5:e357-e365.</w:t>
      </w:r>
    </w:p>
    <w:p w14:paraId="6106008C" w14:textId="77777777" w:rsidR="00D61AB2" w:rsidRPr="00876158" w:rsidRDefault="00D61AB2" w:rsidP="00D61AB2">
      <w:pPr>
        <w:jc w:val="both"/>
        <w:rPr>
          <w:rFonts w:ascii="Arial" w:hAnsi="Arial" w:cs="Arial"/>
          <w:color w:val="000000" w:themeColor="text1"/>
          <w:sz w:val="18"/>
          <w:szCs w:val="18"/>
          <w:lang w:val="en-US" w:eastAsia="es-ES"/>
        </w:rPr>
      </w:pPr>
      <w:r>
        <w:rPr>
          <w:rFonts w:ascii="Arial" w:hAnsi="Arial" w:cs="Arial"/>
          <w:color w:val="000000" w:themeColor="text1"/>
          <w:sz w:val="18"/>
          <w:szCs w:val="18"/>
          <w:highlight w:val="yellow"/>
        </w:rPr>
        <w:t>29</w:t>
      </w:r>
      <w:r w:rsidRPr="001835DF">
        <w:rPr>
          <w:rFonts w:ascii="Arial" w:hAnsi="Arial" w:cs="Arial"/>
          <w:color w:val="000000" w:themeColor="text1"/>
          <w:sz w:val="18"/>
          <w:szCs w:val="18"/>
          <w:highlight w:val="yellow"/>
        </w:rPr>
        <w:t xml:space="preserve">. </w:t>
      </w:r>
      <w:r w:rsidRPr="00FD7CD0">
        <w:rPr>
          <w:rFonts w:ascii="Arial" w:hAnsi="Arial" w:cs="Arial"/>
          <w:color w:val="000000" w:themeColor="text1"/>
          <w:sz w:val="18"/>
          <w:szCs w:val="18"/>
          <w:highlight w:val="yellow"/>
          <w:lang w:eastAsia="es-ES"/>
        </w:rPr>
        <w:t xml:space="preserve">Kityo C, Hagins D, Koenig E, et al. </w:t>
      </w:r>
      <w:r w:rsidRPr="00876158">
        <w:rPr>
          <w:rFonts w:ascii="Arial" w:hAnsi="Arial" w:cs="Arial"/>
          <w:color w:val="000000" w:themeColor="text1"/>
          <w:sz w:val="18"/>
          <w:szCs w:val="18"/>
          <w:highlight w:val="yellow"/>
          <w:lang w:val="en-US" w:eastAsia="es-ES"/>
        </w:rPr>
        <w:t>Switching to fixed-dose bictegravir, emtricitabine, and tenofovir alafenamide (B/F/TAF) in virologically suppressed HIV-1 Infected women: A randomized, open-label, multicenter, active-controlled, phase 3, noninferiority trial. J Acquir Immune Defic Syndr 2019;82:321-28.</w:t>
      </w:r>
    </w:p>
    <w:p w14:paraId="3E4FF0F2" w14:textId="77777777" w:rsidR="00D61AB2" w:rsidRPr="002A3EE7" w:rsidRDefault="00D61AB2" w:rsidP="00D61AB2">
      <w:pPr>
        <w:spacing w:before="120" w:after="120"/>
        <w:jc w:val="both"/>
        <w:rPr>
          <w:rFonts w:ascii="Arial" w:hAnsi="Arial" w:cs="Arial"/>
          <w:color w:val="000000" w:themeColor="text1"/>
          <w:sz w:val="18"/>
          <w:szCs w:val="18"/>
          <w:highlight w:val="yellow"/>
          <w:lang w:val="en-US" w:eastAsia="es-ES"/>
        </w:rPr>
      </w:pPr>
      <w:r w:rsidRPr="00876158">
        <w:rPr>
          <w:rFonts w:ascii="Arial" w:hAnsi="Arial" w:cs="Arial"/>
          <w:color w:val="000000" w:themeColor="text1"/>
          <w:sz w:val="18"/>
          <w:szCs w:val="18"/>
          <w:highlight w:val="yellow"/>
          <w:lang w:val="en-US" w:eastAsia="es-ES"/>
        </w:rPr>
        <w:lastRenderedPageBreak/>
        <w:t>30. Acosta R, Willkom M, Andreatta K, et al. Keeping the pressure on archived NRTI</w:t>
      </w:r>
      <w:r>
        <w:rPr>
          <w:rFonts w:ascii="Arial" w:hAnsi="Arial" w:cs="Arial"/>
          <w:color w:val="000000" w:themeColor="text1"/>
          <w:sz w:val="18"/>
          <w:szCs w:val="18"/>
          <w:highlight w:val="yellow"/>
          <w:lang w:val="en-US" w:eastAsia="es-ES"/>
        </w:rPr>
        <w:t xml:space="preserve"> resistance: Switching to bictegravir/emtricitabine/tenofovir alafenamide (B/F/TAF) triple t</w:t>
      </w:r>
      <w:r w:rsidRPr="00C64A6A">
        <w:rPr>
          <w:rFonts w:ascii="Arial" w:hAnsi="Arial" w:cs="Arial"/>
          <w:color w:val="000000" w:themeColor="text1"/>
          <w:sz w:val="18"/>
          <w:szCs w:val="18"/>
          <w:highlight w:val="yellow"/>
          <w:lang w:val="en-US" w:eastAsia="es-ES"/>
        </w:rPr>
        <w:t xml:space="preserve">herapy in Study 4030. 10th IAS Conference on HIV Science 2019, Mexico </w:t>
      </w:r>
      <w:r w:rsidRPr="002A3EE7">
        <w:rPr>
          <w:rFonts w:ascii="Arial" w:hAnsi="Arial" w:cs="Arial"/>
          <w:color w:val="000000" w:themeColor="text1"/>
          <w:sz w:val="18"/>
          <w:szCs w:val="18"/>
          <w:highlight w:val="yellow"/>
          <w:lang w:val="en-US" w:eastAsia="es-ES"/>
        </w:rPr>
        <w:t>City, Mexico, abstract MOPEB241.</w:t>
      </w:r>
    </w:p>
    <w:p w14:paraId="1BDB57F2" w14:textId="77777777" w:rsidR="00D61AB2" w:rsidRPr="009F4348" w:rsidRDefault="00D61AB2" w:rsidP="00D61AB2">
      <w:pPr>
        <w:spacing w:before="120" w:after="120"/>
        <w:jc w:val="both"/>
        <w:rPr>
          <w:rFonts w:ascii="Arial" w:hAnsi="Arial" w:cs="Arial"/>
          <w:color w:val="000000" w:themeColor="text1"/>
          <w:sz w:val="18"/>
          <w:szCs w:val="18"/>
          <w:lang w:val="en-US" w:eastAsia="es-ES"/>
        </w:rPr>
      </w:pPr>
      <w:r w:rsidRPr="002A3EE7">
        <w:rPr>
          <w:rFonts w:ascii="Arial" w:hAnsi="Arial" w:cs="Arial"/>
          <w:color w:val="000000" w:themeColor="text1"/>
          <w:sz w:val="18"/>
          <w:szCs w:val="18"/>
          <w:highlight w:val="yellow"/>
          <w:lang w:val="en-US" w:eastAsia="es-ES"/>
        </w:rPr>
        <w:t>3</w:t>
      </w:r>
      <w:r>
        <w:rPr>
          <w:rFonts w:ascii="Arial" w:hAnsi="Arial" w:cs="Arial"/>
          <w:color w:val="000000" w:themeColor="text1"/>
          <w:sz w:val="18"/>
          <w:szCs w:val="18"/>
          <w:highlight w:val="yellow"/>
          <w:lang w:val="en-US" w:eastAsia="es-ES"/>
        </w:rPr>
        <w:t>1</w:t>
      </w:r>
      <w:r w:rsidRPr="002A3EE7">
        <w:rPr>
          <w:rFonts w:ascii="Arial" w:hAnsi="Arial" w:cs="Arial"/>
          <w:color w:val="000000" w:themeColor="text1"/>
          <w:sz w:val="18"/>
          <w:szCs w:val="18"/>
          <w:highlight w:val="yellow"/>
          <w:lang w:val="en-US" w:eastAsia="es-ES"/>
        </w:rPr>
        <w:t xml:space="preserve">. Andreatta K, Willkom M, Martin R, et al. Switching to bictegravir/emtricitabine/tenofovir alafenamide maintained HIV-1 RNA suppression in participants with archived antiretroviral resistance including M184V/I. J Antimicrob </w:t>
      </w:r>
      <w:r w:rsidRPr="00AA77F4">
        <w:rPr>
          <w:rFonts w:ascii="Arial" w:hAnsi="Arial" w:cs="Arial"/>
          <w:color w:val="000000" w:themeColor="text1"/>
          <w:sz w:val="18"/>
          <w:szCs w:val="18"/>
          <w:highlight w:val="yellow"/>
          <w:lang w:val="en-US" w:eastAsia="es-ES"/>
        </w:rPr>
        <w:t>Chemother 2019;74:3555-64</w:t>
      </w:r>
      <w:r>
        <w:rPr>
          <w:rFonts w:ascii="Arial" w:hAnsi="Arial" w:cs="Arial"/>
          <w:color w:val="000000" w:themeColor="text1"/>
          <w:sz w:val="18"/>
          <w:szCs w:val="18"/>
          <w:lang w:val="en-US" w:eastAsia="es-ES"/>
        </w:rPr>
        <w:t>.</w:t>
      </w:r>
    </w:p>
    <w:p w14:paraId="48C9A532" w14:textId="77777777" w:rsidR="00D61AB2" w:rsidRPr="003B1E97" w:rsidRDefault="00D61AB2" w:rsidP="00D61AB2">
      <w:pPr>
        <w:pStyle w:val="EndNoteBibliography"/>
        <w:spacing w:before="120" w:after="120"/>
        <w:jc w:val="both"/>
        <w:rPr>
          <w:color w:val="000000"/>
          <w:sz w:val="18"/>
          <w:highlight w:val="yellow"/>
          <w:lang w:val="en-US"/>
        </w:rPr>
      </w:pPr>
      <w:r w:rsidRPr="0044337E">
        <w:rPr>
          <w:color w:val="000000"/>
          <w:sz w:val="18"/>
          <w:highlight w:val="yellow"/>
          <w:lang w:val="en-US"/>
        </w:rPr>
        <w:t>3</w:t>
      </w:r>
      <w:r>
        <w:rPr>
          <w:color w:val="000000"/>
          <w:sz w:val="18"/>
          <w:highlight w:val="yellow"/>
          <w:lang w:val="en-US"/>
        </w:rPr>
        <w:t>2</w:t>
      </w:r>
      <w:r w:rsidRPr="0044337E">
        <w:rPr>
          <w:color w:val="000000"/>
          <w:sz w:val="18"/>
          <w:highlight w:val="yellow"/>
          <w:lang w:val="en-US"/>
        </w:rPr>
        <w:t xml:space="preserve">. Landman </w:t>
      </w:r>
      <w:r w:rsidRPr="003B1E97">
        <w:rPr>
          <w:color w:val="000000"/>
          <w:sz w:val="18"/>
          <w:highlight w:val="yellow"/>
          <w:lang w:val="en-US"/>
        </w:rPr>
        <w:t>R, De Truchis P, Assoumou L, et al. ANRS 170 QUATUOR 4/7 days maintenance strategy in antiretroviral treated adults with HIV-1 infection: an open randomized parallel non-inferiority phase III trial. 10th IAS Conference on</w:t>
      </w:r>
      <w:r w:rsidRPr="003B1E97">
        <w:rPr>
          <w:color w:val="000000"/>
          <w:sz w:val="18"/>
          <w:lang w:val="en-US"/>
        </w:rPr>
        <w:t xml:space="preserve"> </w:t>
      </w:r>
      <w:r w:rsidRPr="003B1E97">
        <w:rPr>
          <w:color w:val="000000"/>
          <w:sz w:val="18"/>
          <w:highlight w:val="yellow"/>
          <w:lang w:val="en-US"/>
        </w:rPr>
        <w:t>HIV Science 2019, Mexico City, Mexico, abstract WEAB0406LB.</w:t>
      </w:r>
    </w:p>
    <w:p w14:paraId="7AD35789" w14:textId="77777777" w:rsidR="00D61AB2" w:rsidRDefault="00D61AB2" w:rsidP="00D61AB2">
      <w:pPr>
        <w:pStyle w:val="EndNoteBibliography"/>
        <w:spacing w:before="120" w:after="120"/>
        <w:jc w:val="both"/>
        <w:rPr>
          <w:sz w:val="18"/>
          <w:lang w:val="en-US"/>
        </w:rPr>
      </w:pPr>
      <w:r w:rsidRPr="00C713DD">
        <w:rPr>
          <w:color w:val="000000"/>
          <w:sz w:val="18"/>
          <w:highlight w:val="yellow"/>
        </w:rPr>
        <w:t>3</w:t>
      </w:r>
      <w:r>
        <w:rPr>
          <w:color w:val="000000"/>
          <w:sz w:val="18"/>
          <w:highlight w:val="yellow"/>
        </w:rPr>
        <w:t>3</w:t>
      </w:r>
      <w:r w:rsidRPr="003F3B0A">
        <w:rPr>
          <w:color w:val="000000"/>
          <w:sz w:val="18"/>
        </w:rPr>
        <w:t>. Perez-Molina JA</w:t>
      </w:r>
      <w:r w:rsidRPr="003F3B0A">
        <w:rPr>
          <w:sz w:val="18"/>
        </w:rPr>
        <w:t xml:space="preserve">, Rubio R, Rivero A, et al. </w:t>
      </w:r>
      <w:r w:rsidRPr="003F3B0A">
        <w:rPr>
          <w:sz w:val="18"/>
          <w:lang w:val="en-US"/>
        </w:rPr>
        <w:t>Simplification to dual therapy (atazanavir/</w:t>
      </w:r>
      <w:r>
        <w:rPr>
          <w:sz w:val="18"/>
          <w:lang w:val="en-US"/>
        </w:rPr>
        <w:t xml:space="preserve"> </w:t>
      </w:r>
      <w:r w:rsidRPr="003F3B0A">
        <w:rPr>
          <w:sz w:val="18"/>
          <w:lang w:val="en-US"/>
        </w:rPr>
        <w:t xml:space="preserve">ritonavir+lamivudine) versus standard triple therapy [atazanavir/ritonavir + </w:t>
      </w:r>
      <w:r>
        <w:rPr>
          <w:sz w:val="18"/>
          <w:lang w:val="en-US"/>
        </w:rPr>
        <w:t>2NRTI</w:t>
      </w:r>
      <w:r w:rsidRPr="003F3B0A">
        <w:rPr>
          <w:sz w:val="18"/>
          <w:lang w:val="en-US"/>
        </w:rPr>
        <w:t>] in virologically stable patients on antiretroviral therapy: 96 week results from an open-label, non-inferiority, randomized clinical trial (SALT study). J Antimicrob Chemother 2016;72:246-53.</w:t>
      </w:r>
    </w:p>
    <w:p w14:paraId="18D223F3" w14:textId="77777777" w:rsidR="00D61AB2" w:rsidRPr="003F3B0A" w:rsidRDefault="00D61AB2" w:rsidP="00D61AB2">
      <w:pPr>
        <w:pStyle w:val="EndNoteBibliography"/>
        <w:spacing w:before="120" w:after="120"/>
        <w:jc w:val="both"/>
        <w:rPr>
          <w:color w:val="000000"/>
          <w:sz w:val="18"/>
        </w:rPr>
      </w:pPr>
      <w:r w:rsidRPr="00684C46">
        <w:rPr>
          <w:color w:val="000000"/>
          <w:sz w:val="18"/>
          <w:highlight w:val="yellow"/>
          <w:lang w:val="en-US"/>
        </w:rPr>
        <w:t>3</w:t>
      </w:r>
      <w:r>
        <w:rPr>
          <w:color w:val="000000"/>
          <w:sz w:val="18"/>
          <w:highlight w:val="yellow"/>
          <w:lang w:val="en-US"/>
        </w:rPr>
        <w:t>4</w:t>
      </w:r>
      <w:r w:rsidRPr="003F3B0A">
        <w:rPr>
          <w:color w:val="000000"/>
          <w:sz w:val="18"/>
          <w:lang w:val="en-US"/>
        </w:rPr>
        <w:t>.</w:t>
      </w:r>
      <w:r w:rsidRPr="003F3B0A">
        <w:rPr>
          <w:color w:val="000000"/>
          <w:lang w:val="en-US"/>
        </w:rPr>
        <w:t xml:space="preserve"> </w:t>
      </w:r>
      <w:r w:rsidRPr="003F3B0A">
        <w:rPr>
          <w:color w:val="000000"/>
          <w:sz w:val="18"/>
          <w:lang w:val="en-US"/>
        </w:rPr>
        <w:t xml:space="preserve">Di Giambenedetto S, Fabbiani M, Quiros Roldan E, et al; Atlas-M Study Group. Treatment simplification to atazanavir/ritonavir + lamivudine versus maintenance of atazanavir/ritonavir + two NRTIs in virologically suppressed HIV-1-infected patients: 48 week results from a randomized trial (ATLAS-M). </w:t>
      </w:r>
      <w:r>
        <w:rPr>
          <w:color w:val="000000"/>
          <w:sz w:val="18"/>
        </w:rPr>
        <w:t>J Antimicrob Chemother 2017;</w:t>
      </w:r>
      <w:r w:rsidRPr="003F3B0A">
        <w:rPr>
          <w:color w:val="000000"/>
          <w:sz w:val="18"/>
        </w:rPr>
        <w:t>72:1163-71.</w:t>
      </w:r>
    </w:p>
    <w:p w14:paraId="50B9DA72" w14:textId="77777777" w:rsidR="00D61AB2" w:rsidRPr="004718C1" w:rsidRDefault="00D61AB2" w:rsidP="00D61AB2">
      <w:pPr>
        <w:pStyle w:val="EndNoteBibliography"/>
        <w:spacing w:before="120" w:after="120"/>
        <w:jc w:val="both"/>
        <w:rPr>
          <w:sz w:val="18"/>
          <w:lang w:val="en-US"/>
        </w:rPr>
      </w:pPr>
      <w:r w:rsidRPr="00C713DD">
        <w:rPr>
          <w:color w:val="000000"/>
          <w:sz w:val="18"/>
          <w:highlight w:val="yellow"/>
        </w:rPr>
        <w:t>3</w:t>
      </w:r>
      <w:r>
        <w:rPr>
          <w:color w:val="000000"/>
          <w:sz w:val="18"/>
          <w:highlight w:val="yellow"/>
        </w:rPr>
        <w:t>5</w:t>
      </w:r>
      <w:r w:rsidRPr="003F3B0A">
        <w:rPr>
          <w:color w:val="000000"/>
          <w:sz w:val="18"/>
        </w:rPr>
        <w:t xml:space="preserve">. Pulido F, Ribera E, Lagarde M, et al. </w:t>
      </w:r>
      <w:r w:rsidRPr="003F3B0A">
        <w:rPr>
          <w:color w:val="000000"/>
          <w:sz w:val="18"/>
          <w:lang w:val="en-US"/>
        </w:rPr>
        <w:t>Dual therapy with darunavir and ritonavir plus lamivudine versus triple</w:t>
      </w:r>
      <w:r w:rsidRPr="003F3B0A">
        <w:rPr>
          <w:sz w:val="18"/>
          <w:lang w:val="en-US"/>
        </w:rPr>
        <w:t xml:space="preserve"> therapy with darunavir and ritonavir plus tenofovir disoproxil fumarate and emtricitabine or abacavir and lamivudine for maintenance of HIV-1 viral suppression: randomised, open label, non-inferiority DUAL-GESIDA 8014-RIS-EST45 trial. </w:t>
      </w:r>
      <w:r w:rsidRPr="004718C1">
        <w:rPr>
          <w:sz w:val="18"/>
          <w:lang w:val="en-US"/>
        </w:rPr>
        <w:t>Clin Infect Dis 2017</w:t>
      </w:r>
      <w:r w:rsidRPr="004718C1">
        <w:rPr>
          <w:color w:val="000000"/>
          <w:sz w:val="18"/>
          <w:lang w:val="en-US"/>
        </w:rPr>
        <w:t>; 65:2112-18.</w:t>
      </w:r>
    </w:p>
    <w:p w14:paraId="04FE37F6" w14:textId="77777777" w:rsidR="00D61AB2" w:rsidRPr="003F3B0A" w:rsidRDefault="00D61AB2" w:rsidP="00D61AB2">
      <w:pPr>
        <w:pStyle w:val="EndNoteBibliography"/>
        <w:spacing w:before="120" w:after="120"/>
        <w:jc w:val="both"/>
        <w:rPr>
          <w:color w:val="000000"/>
          <w:sz w:val="18"/>
          <w:lang w:val="en-US"/>
        </w:rPr>
      </w:pPr>
      <w:r w:rsidRPr="00FD3FE8">
        <w:rPr>
          <w:color w:val="000000"/>
          <w:sz w:val="18"/>
          <w:highlight w:val="yellow"/>
          <w:lang w:val="en-US"/>
        </w:rPr>
        <w:t>36</w:t>
      </w:r>
      <w:r w:rsidRPr="00FD3FE8">
        <w:rPr>
          <w:color w:val="000000"/>
          <w:sz w:val="18"/>
          <w:lang w:val="en-US"/>
        </w:rPr>
        <w:t>. Perez</w:t>
      </w:r>
      <w:r w:rsidRPr="00FD3FE8">
        <w:rPr>
          <w:sz w:val="18"/>
          <w:lang w:val="en-US"/>
        </w:rPr>
        <w:t xml:space="preserve">-Molina JA, Pulido F, Di Gianbenedetto S, et al. </w:t>
      </w:r>
      <w:r w:rsidRPr="003F3B0A">
        <w:rPr>
          <w:sz w:val="18"/>
          <w:lang w:val="en-US"/>
        </w:rPr>
        <w:t>Individual patient data meta-analysis of randomized controlled trials of dual therapy with a boosted protease inhibitor plus lamivudine for maintenance of virological suppression</w:t>
      </w:r>
      <w:r w:rsidRPr="003F3B0A">
        <w:rPr>
          <w:color w:val="FF0000"/>
          <w:sz w:val="18"/>
          <w:lang w:val="en-US"/>
        </w:rPr>
        <w:t xml:space="preserve">: </w:t>
      </w:r>
      <w:r w:rsidRPr="003F3B0A">
        <w:rPr>
          <w:color w:val="000000"/>
          <w:sz w:val="18"/>
          <w:lang w:val="en-US"/>
        </w:rPr>
        <w:t>GeSIDA study 9717. J Antimicrob Chemother 2018</w:t>
      </w:r>
      <w:r>
        <w:rPr>
          <w:color w:val="000000"/>
          <w:sz w:val="18"/>
          <w:shd w:val="clear" w:color="auto" w:fill="FFFF00"/>
          <w:lang w:val="en-US"/>
        </w:rPr>
        <w:t>;73</w:t>
      </w:r>
      <w:r w:rsidRPr="00D1623A">
        <w:rPr>
          <w:color w:val="000000"/>
          <w:sz w:val="18"/>
          <w:shd w:val="clear" w:color="auto" w:fill="FFFF00"/>
          <w:lang w:val="en-US"/>
        </w:rPr>
        <w:t>:2927-35.</w:t>
      </w:r>
    </w:p>
    <w:p w14:paraId="27B5851A" w14:textId="77777777" w:rsidR="00D61AB2" w:rsidRPr="003F3B0A" w:rsidRDefault="00D61AB2" w:rsidP="00D61AB2">
      <w:pPr>
        <w:pStyle w:val="EndNoteBibliography"/>
        <w:spacing w:before="120" w:after="120"/>
        <w:jc w:val="both"/>
        <w:rPr>
          <w:color w:val="000000"/>
          <w:sz w:val="18"/>
          <w:lang w:val="en-US"/>
        </w:rPr>
      </w:pPr>
      <w:r w:rsidRPr="00397249">
        <w:rPr>
          <w:color w:val="000000"/>
          <w:sz w:val="18"/>
          <w:highlight w:val="yellow"/>
          <w:lang w:val="en-US"/>
        </w:rPr>
        <w:t>37</w:t>
      </w:r>
      <w:r w:rsidRPr="003F3B0A">
        <w:rPr>
          <w:color w:val="000000"/>
          <w:sz w:val="18"/>
          <w:lang w:val="en-US"/>
        </w:rPr>
        <w:t xml:space="preserve">. Llibre JM, Hung CC, Brinson C, et al. Efficacy, safety, and tolerability of dolutegravir-rilpivirine for the maintenance of virological suppression in adults with HIV-1: phase 3, randomised, non-inferiority SWORD-1 and SWORD-2 studies. Lancet 2018; 391:839-49. </w:t>
      </w:r>
    </w:p>
    <w:p w14:paraId="79BFFAC7" w14:textId="77777777" w:rsidR="00D61AB2" w:rsidRPr="003D1673" w:rsidRDefault="00D61AB2" w:rsidP="00D61AB2">
      <w:pPr>
        <w:pStyle w:val="EndNoteBibliography"/>
        <w:spacing w:before="120" w:after="120"/>
        <w:jc w:val="both"/>
        <w:rPr>
          <w:color w:val="000000" w:themeColor="text1"/>
          <w:sz w:val="18"/>
          <w:highlight w:val="yellow"/>
          <w:lang w:val="en-US"/>
        </w:rPr>
      </w:pPr>
      <w:r>
        <w:rPr>
          <w:color w:val="000000"/>
          <w:sz w:val="18"/>
          <w:highlight w:val="yellow"/>
          <w:lang w:val="en-US"/>
        </w:rPr>
        <w:t>38</w:t>
      </w:r>
      <w:r w:rsidRPr="00F94945">
        <w:rPr>
          <w:color w:val="000000"/>
          <w:sz w:val="18"/>
          <w:highlight w:val="yellow"/>
          <w:lang w:val="en-US"/>
        </w:rPr>
        <w:t xml:space="preserve">. </w:t>
      </w:r>
      <w:r w:rsidRPr="00892917">
        <w:rPr>
          <w:color w:val="000000"/>
          <w:sz w:val="18"/>
          <w:highlight w:val="yellow"/>
          <w:lang w:val="en-US"/>
        </w:rPr>
        <w:t xml:space="preserve">Van </w:t>
      </w:r>
      <w:r w:rsidRPr="00DD28BC">
        <w:rPr>
          <w:color w:val="000000"/>
          <w:sz w:val="18"/>
          <w:highlight w:val="yellow"/>
          <w:lang w:val="en-US"/>
        </w:rPr>
        <w:t xml:space="preserve">Wyk J, Orkin C, Rubio R, et a. Durable suppression and low rate of virologic failure 3 </w:t>
      </w:r>
      <w:r w:rsidRPr="00DD28BC">
        <w:rPr>
          <w:color w:val="000000"/>
          <w:sz w:val="18"/>
          <w:highlight w:val="yellow"/>
          <w:lang w:val="en-US"/>
        </w:rPr>
        <w:t xml:space="preserve">years after switch to DTG + RPV 2-drug </w:t>
      </w:r>
      <w:r w:rsidRPr="003D1673">
        <w:rPr>
          <w:color w:val="000000"/>
          <w:sz w:val="18"/>
          <w:highlight w:val="yellow"/>
          <w:lang w:val="en-US"/>
        </w:rPr>
        <w:t>regimen: SWORD-1 and-2 studies. 25</w:t>
      </w:r>
      <w:r w:rsidRPr="003D1673">
        <w:rPr>
          <w:color w:val="000000"/>
          <w:sz w:val="18"/>
          <w:highlight w:val="yellow"/>
          <w:vertAlign w:val="superscript"/>
          <w:lang w:val="en-US"/>
        </w:rPr>
        <w:t>th</w:t>
      </w:r>
      <w:r w:rsidRPr="003D1673">
        <w:rPr>
          <w:color w:val="000000"/>
          <w:sz w:val="18"/>
          <w:highlight w:val="yellow"/>
          <w:lang w:val="en-US"/>
        </w:rPr>
        <w:t xml:space="preserve"> </w:t>
      </w:r>
      <w:r w:rsidRPr="003D1673">
        <w:rPr>
          <w:color w:val="000000" w:themeColor="text1"/>
          <w:sz w:val="18"/>
          <w:highlight w:val="yellow"/>
          <w:lang w:val="en-US"/>
        </w:rPr>
        <w:t>Conference British HIV Association (BHIVA) 2019; Bournemouth, UK, abstract  P008.</w:t>
      </w:r>
    </w:p>
    <w:p w14:paraId="5504974F" w14:textId="77777777" w:rsidR="00D61AB2" w:rsidRPr="00EC1563" w:rsidRDefault="00D61AB2" w:rsidP="00D61AB2">
      <w:pPr>
        <w:pStyle w:val="EndNoteBibliography"/>
        <w:spacing w:before="120" w:after="120"/>
        <w:jc w:val="both"/>
        <w:rPr>
          <w:color w:val="000000" w:themeColor="text1"/>
          <w:sz w:val="18"/>
          <w:lang w:val="en-US"/>
        </w:rPr>
      </w:pPr>
      <w:r w:rsidRPr="00D61AB2">
        <w:rPr>
          <w:color w:val="000000" w:themeColor="text1"/>
          <w:sz w:val="18"/>
          <w:highlight w:val="yellow"/>
        </w:rPr>
        <w:t xml:space="preserve">39. </w:t>
      </w:r>
      <w:r w:rsidRPr="00D61AB2">
        <w:rPr>
          <w:color w:val="000000"/>
          <w:sz w:val="18"/>
          <w:highlight w:val="yellow"/>
        </w:rPr>
        <w:t xml:space="preserve">van Wyk J, Ajana F, Bisshop F, et al. </w:t>
      </w:r>
      <w:r w:rsidRPr="003D1673">
        <w:rPr>
          <w:color w:val="000000"/>
          <w:sz w:val="18"/>
          <w:highlight w:val="yellow"/>
          <w:lang w:val="en-US"/>
        </w:rPr>
        <w:t xml:space="preserve">Efficacy </w:t>
      </w:r>
      <w:r w:rsidRPr="00F94945">
        <w:rPr>
          <w:color w:val="000000"/>
          <w:sz w:val="18"/>
          <w:highlight w:val="yellow"/>
          <w:lang w:val="en-US"/>
        </w:rPr>
        <w:t>and safety of switching to dolutegravir/lamivudine fixed-dose two-drug regimen versus continuing a tenofovir alafenamide-based three- or four-drug regimen for maintenance of virologic suppression in adults with HIV-1: Phase 3, randomized, non-inferiority TANGO Study. Clin Infect Dis 2020 Jan 6</w:t>
      </w:r>
      <w:r>
        <w:rPr>
          <w:color w:val="000000"/>
          <w:sz w:val="18"/>
          <w:highlight w:val="yellow"/>
          <w:lang w:val="en-US"/>
        </w:rPr>
        <w:t xml:space="preserve"> (</w:t>
      </w:r>
      <w:r w:rsidRPr="00F94945">
        <w:rPr>
          <w:color w:val="000000"/>
          <w:sz w:val="18"/>
          <w:highlight w:val="yellow"/>
          <w:lang w:val="en-US"/>
        </w:rPr>
        <w:t>ahead of print</w:t>
      </w:r>
      <w:r>
        <w:rPr>
          <w:color w:val="000000"/>
          <w:sz w:val="18"/>
          <w:highlight w:val="yellow"/>
          <w:lang w:val="en-US"/>
        </w:rPr>
        <w:t>)</w:t>
      </w:r>
      <w:r w:rsidRPr="00F94945">
        <w:rPr>
          <w:color w:val="000000" w:themeColor="text1"/>
          <w:sz w:val="18"/>
          <w:highlight w:val="yellow"/>
          <w:lang w:val="en-US"/>
        </w:rPr>
        <w:t>.</w:t>
      </w:r>
    </w:p>
    <w:p w14:paraId="2C2D84A5" w14:textId="77777777" w:rsidR="00D61AB2" w:rsidRPr="00397249" w:rsidRDefault="00D61AB2" w:rsidP="00D61AB2">
      <w:pPr>
        <w:pStyle w:val="EndNoteBibliography"/>
        <w:spacing w:before="120" w:after="120"/>
        <w:jc w:val="both"/>
        <w:rPr>
          <w:color w:val="000000"/>
          <w:sz w:val="18"/>
          <w:szCs w:val="18"/>
          <w:highlight w:val="yellow"/>
          <w:lang w:val="en-US"/>
        </w:rPr>
      </w:pPr>
      <w:r w:rsidRPr="00DF5F98">
        <w:rPr>
          <w:color w:val="000000"/>
          <w:sz w:val="18"/>
          <w:szCs w:val="18"/>
          <w:highlight w:val="yellow"/>
          <w:lang w:val="en-US"/>
        </w:rPr>
        <w:t>4</w:t>
      </w:r>
      <w:r>
        <w:rPr>
          <w:color w:val="000000"/>
          <w:sz w:val="18"/>
          <w:szCs w:val="18"/>
          <w:highlight w:val="yellow"/>
          <w:lang w:val="en-US"/>
        </w:rPr>
        <w:t>0</w:t>
      </w:r>
      <w:r w:rsidRPr="00DF5F98">
        <w:rPr>
          <w:color w:val="000000"/>
          <w:sz w:val="18"/>
          <w:szCs w:val="18"/>
          <w:highlight w:val="yellow"/>
          <w:lang w:val="en-US"/>
        </w:rPr>
        <w:t xml:space="preserve">. Taiwo BO, Marconi VC, Berzins B, et al. Dolutegravir plus lamivudine maintains human immunodeficiency virus-1 suppression through </w:t>
      </w:r>
      <w:r w:rsidRPr="00EC1563">
        <w:rPr>
          <w:color w:val="000000"/>
          <w:sz w:val="18"/>
          <w:szCs w:val="18"/>
          <w:highlight w:val="yellow"/>
          <w:lang w:val="en-US"/>
        </w:rPr>
        <w:t xml:space="preserve">week 48 in a pilot randomized trial. Clin Infect </w:t>
      </w:r>
      <w:r w:rsidRPr="00397249">
        <w:rPr>
          <w:color w:val="000000"/>
          <w:sz w:val="18"/>
          <w:szCs w:val="18"/>
          <w:highlight w:val="yellow"/>
          <w:lang w:val="en-US"/>
        </w:rPr>
        <w:t>Dis 2018; 66:1794-97.</w:t>
      </w:r>
    </w:p>
    <w:p w14:paraId="69468AB3" w14:textId="77777777" w:rsidR="00D61AB2" w:rsidRPr="003F3B0A" w:rsidRDefault="00D61AB2" w:rsidP="00D61AB2">
      <w:pPr>
        <w:pStyle w:val="EndNoteBibliography"/>
        <w:spacing w:before="120" w:after="120"/>
        <w:jc w:val="both"/>
        <w:rPr>
          <w:color w:val="000000"/>
          <w:sz w:val="18"/>
          <w:szCs w:val="18"/>
          <w:lang w:val="en-US"/>
        </w:rPr>
      </w:pPr>
      <w:r w:rsidRPr="00397249">
        <w:rPr>
          <w:color w:val="000000"/>
          <w:sz w:val="18"/>
          <w:szCs w:val="18"/>
          <w:highlight w:val="yellow"/>
          <w:lang w:val="en-US"/>
        </w:rPr>
        <w:t>41. Joly V, Burdet C, Landman R, et al. Dolutegravir</w:t>
      </w:r>
      <w:r w:rsidRPr="00EC1563">
        <w:rPr>
          <w:color w:val="000000"/>
          <w:sz w:val="18"/>
          <w:szCs w:val="18"/>
          <w:highlight w:val="yellow"/>
          <w:lang w:val="en-US"/>
        </w:rPr>
        <w:t xml:space="preserve"> and lamivudine maintenance therapy in HIV-1 virologically suppressed patients: results </w:t>
      </w:r>
      <w:r w:rsidRPr="0054423C">
        <w:rPr>
          <w:color w:val="000000"/>
          <w:sz w:val="18"/>
          <w:szCs w:val="18"/>
          <w:highlight w:val="yellow"/>
          <w:lang w:val="en-US"/>
        </w:rPr>
        <w:t>of the ANRS 167 trial (LAMIDOL). J Antimicrob Chemother 2019;74:739-45</w:t>
      </w:r>
      <w:r>
        <w:rPr>
          <w:color w:val="000000"/>
          <w:sz w:val="18"/>
          <w:szCs w:val="18"/>
          <w:lang w:val="en-US"/>
        </w:rPr>
        <w:t>.</w:t>
      </w:r>
    </w:p>
    <w:p w14:paraId="5243F049" w14:textId="77777777" w:rsidR="00D61AB2" w:rsidRDefault="00D61AB2" w:rsidP="00D61AB2">
      <w:pPr>
        <w:pStyle w:val="EndNoteBibliography"/>
        <w:spacing w:before="120" w:after="120"/>
        <w:jc w:val="both"/>
        <w:rPr>
          <w:color w:val="000000"/>
          <w:sz w:val="18"/>
          <w:szCs w:val="18"/>
          <w:lang w:val="en-US"/>
        </w:rPr>
      </w:pPr>
      <w:r>
        <w:rPr>
          <w:color w:val="000000"/>
          <w:sz w:val="18"/>
          <w:szCs w:val="18"/>
          <w:highlight w:val="yellow"/>
          <w:lang w:val="en-US"/>
        </w:rPr>
        <w:t xml:space="preserve">42. </w:t>
      </w:r>
      <w:r w:rsidRPr="00096B39">
        <w:rPr>
          <w:color w:val="000000"/>
          <w:sz w:val="18"/>
          <w:szCs w:val="18"/>
          <w:highlight w:val="yellow"/>
          <w:lang w:val="en-US"/>
        </w:rPr>
        <w:t>Spinner ChD, Kümmerle T, Schneider J, et al</w:t>
      </w:r>
      <w:r w:rsidRPr="001F7AFE">
        <w:rPr>
          <w:color w:val="000000"/>
          <w:sz w:val="18"/>
          <w:szCs w:val="18"/>
          <w:highlight w:val="yellow"/>
          <w:lang w:val="en-US"/>
        </w:rPr>
        <w:t>. A switch to dolutegravir in combination with boosted darunavir is safe and effective in suppressed patients with HIV. 10</w:t>
      </w:r>
      <w:r w:rsidRPr="00096B39">
        <w:rPr>
          <w:color w:val="000000"/>
          <w:sz w:val="18"/>
          <w:szCs w:val="18"/>
          <w:highlight w:val="yellow"/>
          <w:lang w:val="en-US"/>
        </w:rPr>
        <w:t>th IAS Conference on HIV Science 2019, Mexico City, Mexico, abstract MOPEB269</w:t>
      </w:r>
      <w:r>
        <w:rPr>
          <w:color w:val="000000"/>
          <w:sz w:val="18"/>
          <w:szCs w:val="18"/>
          <w:lang w:val="en-US"/>
        </w:rPr>
        <w:t>.</w:t>
      </w:r>
    </w:p>
    <w:p w14:paraId="1365F2A5" w14:textId="77777777" w:rsidR="00D61AB2" w:rsidRPr="004718C1" w:rsidRDefault="00D61AB2" w:rsidP="00D61AB2">
      <w:pPr>
        <w:pStyle w:val="EndNoteBibliography"/>
        <w:spacing w:before="120" w:after="120"/>
        <w:jc w:val="both"/>
        <w:rPr>
          <w:color w:val="000000"/>
          <w:sz w:val="18"/>
          <w:szCs w:val="18"/>
          <w:lang w:val="en-US"/>
        </w:rPr>
      </w:pPr>
      <w:r>
        <w:rPr>
          <w:color w:val="000000"/>
          <w:sz w:val="18"/>
          <w:szCs w:val="18"/>
          <w:highlight w:val="yellow"/>
        </w:rPr>
        <w:t>43</w:t>
      </w:r>
      <w:r w:rsidRPr="00355138">
        <w:rPr>
          <w:color w:val="000000"/>
          <w:sz w:val="18"/>
          <w:szCs w:val="18"/>
          <w:highlight w:val="yellow"/>
        </w:rPr>
        <w:t xml:space="preserve">. Navarro J, Santos JR, Silva A, et al. </w:t>
      </w:r>
      <w:r w:rsidRPr="00355138">
        <w:rPr>
          <w:color w:val="000000"/>
          <w:sz w:val="18"/>
          <w:szCs w:val="18"/>
          <w:highlight w:val="yellow"/>
          <w:lang w:val="en-US"/>
        </w:rPr>
        <w:t xml:space="preserve">Effectiveness of once/day dolutegravir plus boosted darunavir as a switch strategy in heavily treated patients with HIV. </w:t>
      </w:r>
      <w:r w:rsidRPr="004718C1">
        <w:rPr>
          <w:color w:val="000000"/>
          <w:sz w:val="18"/>
          <w:szCs w:val="18"/>
          <w:highlight w:val="yellow"/>
          <w:lang w:val="en-US"/>
        </w:rPr>
        <w:t>Pharmacotherapy 2019;39:501-507.</w:t>
      </w:r>
    </w:p>
    <w:p w14:paraId="491A5A6A" w14:textId="77777777" w:rsidR="00D61AB2" w:rsidRPr="003F3B0A" w:rsidRDefault="00D61AB2" w:rsidP="00D61AB2">
      <w:pPr>
        <w:pStyle w:val="EndNoteBibliography"/>
        <w:spacing w:before="120" w:after="120"/>
        <w:jc w:val="both"/>
        <w:rPr>
          <w:color w:val="000000"/>
          <w:sz w:val="18"/>
          <w:szCs w:val="18"/>
          <w:lang w:val="en-US"/>
        </w:rPr>
      </w:pPr>
      <w:r w:rsidRPr="00FD3FE8">
        <w:rPr>
          <w:color w:val="000000"/>
          <w:sz w:val="18"/>
          <w:szCs w:val="18"/>
          <w:highlight w:val="yellow"/>
          <w:lang w:val="en-US"/>
        </w:rPr>
        <w:t xml:space="preserve">44. Vizcarra P, Fontecha M, Monsalvo M, et al. </w:t>
      </w:r>
      <w:r w:rsidRPr="00355138">
        <w:rPr>
          <w:color w:val="000000"/>
          <w:sz w:val="18"/>
          <w:szCs w:val="18"/>
          <w:highlight w:val="yellow"/>
          <w:lang w:val="en-US"/>
        </w:rPr>
        <w:t>Efficacy and safety of dolutegravir plus boosted-darunavir dual therapy among highly treatment-experienced patients. Antivir Ther. 2019 Jun 7 (ahead of print).</w:t>
      </w:r>
    </w:p>
    <w:p w14:paraId="130B705F" w14:textId="77777777" w:rsidR="00D61AB2" w:rsidRPr="00E37113" w:rsidRDefault="00D61AB2" w:rsidP="00D61AB2">
      <w:pPr>
        <w:pStyle w:val="EndNoteBibliography"/>
        <w:spacing w:before="120" w:after="120"/>
        <w:jc w:val="both"/>
        <w:rPr>
          <w:color w:val="000000"/>
          <w:sz w:val="18"/>
        </w:rPr>
      </w:pPr>
      <w:r w:rsidRPr="00591AFC">
        <w:rPr>
          <w:color w:val="000000"/>
          <w:sz w:val="18"/>
          <w:highlight w:val="yellow"/>
          <w:lang w:val="en-US"/>
        </w:rPr>
        <w:t>4</w:t>
      </w:r>
      <w:r w:rsidRPr="00397249">
        <w:rPr>
          <w:color w:val="000000"/>
          <w:sz w:val="18"/>
          <w:highlight w:val="yellow"/>
          <w:lang w:val="en-US"/>
        </w:rPr>
        <w:t>5</w:t>
      </w:r>
      <w:r w:rsidRPr="003F3B0A">
        <w:rPr>
          <w:color w:val="000000"/>
          <w:sz w:val="18"/>
          <w:lang w:val="en-US"/>
        </w:rPr>
        <w:t xml:space="preserve">. Ciaffi L, Koulla-Shiro S, Sawadogo AB, et al. Boosted protease inhibitor monotherapy versus boosted protease inhibitor plus lamivudine dual therapy as second-line maintenance treatment for HIV-1-infected patients in sub-Saharan Africa (ANRS12 286/MOBIDIP): a multicentre, randomised, parallel, open-label, superiority trial. </w:t>
      </w:r>
      <w:r w:rsidRPr="00E37113">
        <w:rPr>
          <w:color w:val="000000"/>
          <w:sz w:val="18"/>
        </w:rPr>
        <w:t>Lancet HIV 2017; 4:e384-e392.</w:t>
      </w:r>
    </w:p>
    <w:p w14:paraId="38E2BA83" w14:textId="77777777" w:rsidR="00D61AB2" w:rsidRPr="00C22231" w:rsidRDefault="00D61AB2" w:rsidP="00D61AB2">
      <w:pPr>
        <w:spacing w:after="160"/>
        <w:jc w:val="both"/>
        <w:rPr>
          <w:rFonts w:ascii="Arial" w:hAnsi="Arial" w:cs="Arial"/>
          <w:sz w:val="18"/>
          <w:szCs w:val="18"/>
          <w:highlight w:val="yellow"/>
          <w:lang w:val="en-US"/>
        </w:rPr>
      </w:pPr>
      <w:r>
        <w:rPr>
          <w:rFonts w:ascii="Arial" w:hAnsi="Arial" w:cs="Arial"/>
          <w:sz w:val="18"/>
          <w:szCs w:val="18"/>
          <w:highlight w:val="yellow"/>
        </w:rPr>
        <w:t xml:space="preserve">46. </w:t>
      </w:r>
      <w:r w:rsidRPr="00C22231">
        <w:rPr>
          <w:rFonts w:ascii="Arial" w:hAnsi="Arial" w:cs="Arial"/>
          <w:sz w:val="18"/>
          <w:szCs w:val="18"/>
          <w:highlight w:val="yellow"/>
        </w:rPr>
        <w:t xml:space="preserve">Blanco JL, Rojas J, Paredes R, et al. </w:t>
      </w:r>
      <w:r w:rsidRPr="00C22231">
        <w:rPr>
          <w:rFonts w:ascii="Arial" w:hAnsi="Arial" w:cs="Arial"/>
          <w:sz w:val="18"/>
          <w:szCs w:val="18"/>
          <w:highlight w:val="yellow"/>
          <w:lang w:val="en-US"/>
        </w:rPr>
        <w:t>Dolutegravir-based maintenance monotherapy versus dual therapy with lamivudine: a planned 24 week analysis of the DOLAM randomized clinical trial. J Antimicrob Chemother 2018;73:1965-71.</w:t>
      </w:r>
    </w:p>
    <w:p w14:paraId="6D1A10CC" w14:textId="77777777" w:rsidR="00D61AB2" w:rsidRPr="00D61AB2" w:rsidRDefault="00D61AB2" w:rsidP="00D61AB2">
      <w:pPr>
        <w:spacing w:after="160"/>
        <w:jc w:val="both"/>
        <w:rPr>
          <w:rFonts w:ascii="Arial" w:hAnsi="Arial" w:cs="Arial"/>
          <w:sz w:val="18"/>
          <w:szCs w:val="18"/>
        </w:rPr>
        <w:sectPr w:rsidR="00D61AB2" w:rsidRPr="00D61AB2">
          <w:type w:val="continuous"/>
          <w:pgSz w:w="11906" w:h="16838"/>
          <w:pgMar w:top="1417" w:right="1701" w:bottom="1417" w:left="1701" w:header="708" w:footer="708" w:gutter="0"/>
          <w:cols w:num="2" w:sep="1" w:space="709"/>
          <w:docGrid w:linePitch="360"/>
        </w:sectPr>
      </w:pPr>
      <w:r>
        <w:rPr>
          <w:rFonts w:ascii="Arial" w:hAnsi="Arial" w:cs="Arial"/>
          <w:sz w:val="18"/>
          <w:szCs w:val="18"/>
          <w:highlight w:val="yellow"/>
          <w:lang w:val="en-US"/>
        </w:rPr>
        <w:t xml:space="preserve">47. </w:t>
      </w:r>
      <w:r w:rsidRPr="00C22231">
        <w:rPr>
          <w:rFonts w:ascii="Arial" w:hAnsi="Arial" w:cs="Arial"/>
          <w:sz w:val="18"/>
          <w:szCs w:val="18"/>
          <w:highlight w:val="yellow"/>
          <w:lang w:val="en-US"/>
        </w:rPr>
        <w:t>Hocqueloux L, Raffi F, Prazuck T, et al. Dolutegravir monotherapy versus dolutegravir/ abacavir/lamivudine for virologicall</w:t>
      </w:r>
      <w:r>
        <w:rPr>
          <w:rFonts w:ascii="Arial" w:hAnsi="Arial" w:cs="Arial"/>
          <w:sz w:val="18"/>
          <w:szCs w:val="18"/>
          <w:highlight w:val="yellow"/>
          <w:lang w:val="en-US"/>
        </w:rPr>
        <w:t>y suppressed people living with</w:t>
      </w:r>
      <w:r w:rsidRPr="00C22231">
        <w:rPr>
          <w:rFonts w:ascii="Arial" w:hAnsi="Arial" w:cs="Arial"/>
          <w:sz w:val="18"/>
          <w:szCs w:val="18"/>
          <w:highlight w:val="yellow"/>
          <w:lang w:val="en-US"/>
        </w:rPr>
        <w:t xml:space="preserve"> chronic HIV infection: The Randomized Noninferiority MONotherapy of TiviCAY Trial. </w:t>
      </w:r>
      <w:r w:rsidRPr="00D61AB2">
        <w:rPr>
          <w:rFonts w:ascii="Arial" w:hAnsi="Arial" w:cs="Arial"/>
          <w:sz w:val="18"/>
          <w:szCs w:val="18"/>
          <w:highlight w:val="yellow"/>
        </w:rPr>
        <w:t>Clin Infect Dis 2019;69:1498-15</w:t>
      </w:r>
      <w:r w:rsidRPr="00D61AB2">
        <w:rPr>
          <w:rFonts w:ascii="Arial" w:hAnsi="Arial" w:cs="Arial"/>
          <w:sz w:val="18"/>
          <w:szCs w:val="18"/>
        </w:rPr>
        <w:t>.</w:t>
      </w:r>
    </w:p>
    <w:p w14:paraId="2FEF9BB3" w14:textId="77777777" w:rsidR="003D6321" w:rsidRPr="004718C1" w:rsidRDefault="003D6321" w:rsidP="003D6321">
      <w:pPr>
        <w:pStyle w:val="EndNoteBibliography"/>
        <w:spacing w:before="120" w:after="120"/>
        <w:jc w:val="both"/>
        <w:rPr>
          <w:color w:val="000000"/>
          <w:sz w:val="18"/>
          <w:szCs w:val="18"/>
          <w:lang w:val="en-US"/>
        </w:rPr>
      </w:pPr>
      <w:r>
        <w:rPr>
          <w:color w:val="000000"/>
          <w:sz w:val="18"/>
          <w:szCs w:val="18"/>
          <w:highlight w:val="yellow"/>
        </w:rPr>
        <w:t>43</w:t>
      </w:r>
      <w:r w:rsidRPr="00355138">
        <w:rPr>
          <w:color w:val="000000"/>
          <w:sz w:val="18"/>
          <w:szCs w:val="18"/>
          <w:highlight w:val="yellow"/>
        </w:rPr>
        <w:t xml:space="preserve">. Navarro J, Santos JR, Silva A, et al. </w:t>
      </w:r>
      <w:r w:rsidRPr="00355138">
        <w:rPr>
          <w:color w:val="000000"/>
          <w:sz w:val="18"/>
          <w:szCs w:val="18"/>
          <w:highlight w:val="yellow"/>
          <w:lang w:val="en-US"/>
        </w:rPr>
        <w:t xml:space="preserve">Effectiveness of once/day dolutegravir plus </w:t>
      </w:r>
      <w:r w:rsidRPr="00355138">
        <w:rPr>
          <w:color w:val="000000"/>
          <w:sz w:val="18"/>
          <w:szCs w:val="18"/>
          <w:highlight w:val="yellow"/>
          <w:lang w:val="en-US"/>
        </w:rPr>
        <w:lastRenderedPageBreak/>
        <w:t xml:space="preserve">boosted darunavir as a switch strategy in heavily treated patients with HIV. </w:t>
      </w:r>
      <w:r w:rsidRPr="004718C1">
        <w:rPr>
          <w:color w:val="000000"/>
          <w:sz w:val="18"/>
          <w:szCs w:val="18"/>
          <w:highlight w:val="yellow"/>
          <w:lang w:val="en-US"/>
        </w:rPr>
        <w:t>Pharmacotherapy 2019;39:501-507.</w:t>
      </w:r>
    </w:p>
    <w:p w14:paraId="1634DEF2" w14:textId="77777777" w:rsidR="003D6321" w:rsidRPr="003F3B0A" w:rsidRDefault="003D6321" w:rsidP="003D6321">
      <w:pPr>
        <w:pStyle w:val="EndNoteBibliography"/>
        <w:spacing w:before="120" w:after="120"/>
        <w:jc w:val="both"/>
        <w:rPr>
          <w:color w:val="000000"/>
          <w:sz w:val="18"/>
          <w:szCs w:val="18"/>
          <w:lang w:val="en-US"/>
        </w:rPr>
      </w:pPr>
      <w:r w:rsidRPr="00FD3FE8">
        <w:rPr>
          <w:color w:val="000000"/>
          <w:sz w:val="18"/>
          <w:szCs w:val="18"/>
          <w:highlight w:val="yellow"/>
          <w:lang w:val="en-US"/>
        </w:rPr>
        <w:t xml:space="preserve">44. Vizcarra P, Fontecha M, Monsalvo M, et al. </w:t>
      </w:r>
      <w:r w:rsidRPr="00355138">
        <w:rPr>
          <w:color w:val="000000"/>
          <w:sz w:val="18"/>
          <w:szCs w:val="18"/>
          <w:highlight w:val="yellow"/>
          <w:lang w:val="en-US"/>
        </w:rPr>
        <w:t>Efficacy and safety of dolutegravir plus boosted-darunavir dual therapy among highly treatment-experienced patients. Antivir Ther. 2019 Jun 7 (ahead of print).</w:t>
      </w:r>
    </w:p>
    <w:p w14:paraId="0559B73E" w14:textId="77777777" w:rsidR="003D6321" w:rsidRPr="00E37113" w:rsidRDefault="003D6321" w:rsidP="003D6321">
      <w:pPr>
        <w:pStyle w:val="EndNoteBibliography"/>
        <w:spacing w:before="120" w:after="120"/>
        <w:jc w:val="both"/>
        <w:rPr>
          <w:color w:val="000000"/>
          <w:sz w:val="18"/>
        </w:rPr>
      </w:pPr>
      <w:r w:rsidRPr="00591AFC">
        <w:rPr>
          <w:color w:val="000000"/>
          <w:sz w:val="18"/>
          <w:highlight w:val="yellow"/>
          <w:lang w:val="en-US"/>
        </w:rPr>
        <w:t>4</w:t>
      </w:r>
      <w:r w:rsidRPr="00397249">
        <w:rPr>
          <w:color w:val="000000"/>
          <w:sz w:val="18"/>
          <w:highlight w:val="yellow"/>
          <w:lang w:val="en-US"/>
        </w:rPr>
        <w:t>5</w:t>
      </w:r>
      <w:r w:rsidRPr="003F3B0A">
        <w:rPr>
          <w:color w:val="000000"/>
          <w:sz w:val="18"/>
          <w:lang w:val="en-US"/>
        </w:rPr>
        <w:t xml:space="preserve">. Ciaffi L, Koulla-Shiro S, Sawadogo AB, et al. Boosted protease inhibitor monotherapy versus boosted protease inhibitor plus lamivudine dual therapy as second-line maintenance treatment for HIV-1-infected patients in sub-Saharan Africa (ANRS12 286/MOBIDIP): a multicentre, randomised, parallel, open-label, superiority trial. </w:t>
      </w:r>
      <w:r w:rsidRPr="00E37113">
        <w:rPr>
          <w:color w:val="000000"/>
          <w:sz w:val="18"/>
        </w:rPr>
        <w:t>Lancet HIV 2017; 4:e384-e392.</w:t>
      </w:r>
    </w:p>
    <w:p w14:paraId="5DD78A62" w14:textId="77777777" w:rsidR="003D6321" w:rsidRPr="00C22231" w:rsidRDefault="003D6321" w:rsidP="003D6321">
      <w:pPr>
        <w:spacing w:after="160"/>
        <w:jc w:val="both"/>
        <w:rPr>
          <w:rFonts w:ascii="Arial" w:hAnsi="Arial" w:cs="Arial"/>
          <w:sz w:val="18"/>
          <w:szCs w:val="18"/>
          <w:highlight w:val="yellow"/>
          <w:lang w:val="en-US"/>
        </w:rPr>
      </w:pPr>
      <w:r>
        <w:rPr>
          <w:rFonts w:ascii="Arial" w:hAnsi="Arial" w:cs="Arial"/>
          <w:sz w:val="18"/>
          <w:szCs w:val="18"/>
          <w:highlight w:val="yellow"/>
        </w:rPr>
        <w:t xml:space="preserve">46. </w:t>
      </w:r>
      <w:r w:rsidRPr="00C22231">
        <w:rPr>
          <w:rFonts w:ascii="Arial" w:hAnsi="Arial" w:cs="Arial"/>
          <w:sz w:val="18"/>
          <w:szCs w:val="18"/>
          <w:highlight w:val="yellow"/>
        </w:rPr>
        <w:t xml:space="preserve">Blanco JL, Rojas J, Paredes R, et al. </w:t>
      </w:r>
      <w:r w:rsidRPr="00C22231">
        <w:rPr>
          <w:rFonts w:ascii="Arial" w:hAnsi="Arial" w:cs="Arial"/>
          <w:sz w:val="18"/>
          <w:szCs w:val="18"/>
          <w:highlight w:val="yellow"/>
          <w:lang w:val="en-US"/>
        </w:rPr>
        <w:t>Dolutegravir-based maintenance monotherapy versus dual therapy with lamivudine: a planned 24 week analysis of the DOLAM randomized clinical trial. J Antimicrob Chemother 2018;73:1965-71.</w:t>
      </w:r>
    </w:p>
    <w:p w14:paraId="30E4A8AB" w14:textId="77777777" w:rsidR="003D6321" w:rsidRPr="00F15246" w:rsidRDefault="003D6321" w:rsidP="003D6321">
      <w:pPr>
        <w:spacing w:after="160"/>
        <w:jc w:val="both"/>
        <w:rPr>
          <w:rFonts w:ascii="Arial" w:hAnsi="Arial" w:cs="Arial"/>
          <w:sz w:val="18"/>
          <w:szCs w:val="18"/>
          <w:lang w:val="en-US"/>
        </w:rPr>
        <w:sectPr w:rsidR="003D6321" w:rsidRPr="00F15246">
          <w:headerReference w:type="default" r:id="rId27"/>
          <w:type w:val="continuous"/>
          <w:pgSz w:w="11906" w:h="16838"/>
          <w:pgMar w:top="1417" w:right="1701" w:bottom="1417" w:left="1701" w:header="708" w:footer="708" w:gutter="0"/>
          <w:cols w:num="2" w:sep="1" w:space="709"/>
          <w:docGrid w:linePitch="360"/>
        </w:sectPr>
      </w:pPr>
      <w:r>
        <w:rPr>
          <w:rFonts w:ascii="Arial" w:hAnsi="Arial" w:cs="Arial"/>
          <w:sz w:val="18"/>
          <w:szCs w:val="18"/>
          <w:highlight w:val="yellow"/>
          <w:lang w:val="en-US"/>
        </w:rPr>
        <w:t xml:space="preserve">47. </w:t>
      </w:r>
      <w:r w:rsidRPr="00C22231">
        <w:rPr>
          <w:rFonts w:ascii="Arial" w:hAnsi="Arial" w:cs="Arial"/>
          <w:sz w:val="18"/>
          <w:szCs w:val="18"/>
          <w:highlight w:val="yellow"/>
          <w:lang w:val="en-US"/>
        </w:rPr>
        <w:t>Hocqueloux L, Raffi F, Prazuck T, et al. Dolutegravir monotherapy versus dolutegravir/ abacavir/lamivudine for virologicall</w:t>
      </w:r>
      <w:r>
        <w:rPr>
          <w:rFonts w:ascii="Arial" w:hAnsi="Arial" w:cs="Arial"/>
          <w:sz w:val="18"/>
          <w:szCs w:val="18"/>
          <w:highlight w:val="yellow"/>
          <w:lang w:val="en-US"/>
        </w:rPr>
        <w:t>y suppressed people living with</w:t>
      </w:r>
      <w:r w:rsidRPr="00C22231">
        <w:rPr>
          <w:rFonts w:ascii="Arial" w:hAnsi="Arial" w:cs="Arial"/>
          <w:sz w:val="18"/>
          <w:szCs w:val="18"/>
          <w:highlight w:val="yellow"/>
          <w:lang w:val="en-US"/>
        </w:rPr>
        <w:t xml:space="preserve"> chronic HIV infection: The Randomized Noninferiority MONotherapy of TiviCAY Trial. C</w:t>
      </w:r>
      <w:r>
        <w:rPr>
          <w:rFonts w:ascii="Arial" w:hAnsi="Arial" w:cs="Arial"/>
          <w:sz w:val="18"/>
          <w:szCs w:val="18"/>
          <w:highlight w:val="yellow"/>
          <w:lang w:val="en-US"/>
        </w:rPr>
        <w:t>lin Infect Dis 2019;69:1498-505</w:t>
      </w:r>
      <w:r>
        <w:rPr>
          <w:rFonts w:ascii="Arial" w:hAnsi="Arial" w:cs="Arial"/>
          <w:sz w:val="18"/>
          <w:szCs w:val="18"/>
          <w:lang w:val="en-US"/>
        </w:rPr>
        <w:t>.</w:t>
      </w:r>
    </w:p>
    <w:p w14:paraId="534ECB8A" w14:textId="1742A69D" w:rsidR="001B5265" w:rsidRPr="00000FF8" w:rsidRDefault="001B5265" w:rsidP="001B5265">
      <w:pPr>
        <w:rPr>
          <w:rFonts w:ascii="Arial" w:hAnsi="Arial" w:cs="Arial"/>
          <w:lang w:val="en-US"/>
        </w:rPr>
      </w:pPr>
    </w:p>
    <w:p w14:paraId="1DB51419" w14:textId="77777777" w:rsidR="00802EB8" w:rsidRPr="0043618A" w:rsidRDefault="00802EB8" w:rsidP="00802EB8">
      <w:pPr>
        <w:spacing w:after="160" w:line="276" w:lineRule="auto"/>
        <w:jc w:val="both"/>
        <w:rPr>
          <w:rFonts w:ascii="Arial" w:hAnsi="Arial" w:cs="Arial"/>
          <w:b/>
          <w:bCs/>
          <w:color w:val="AE1C1F"/>
        </w:rPr>
      </w:pPr>
      <w:r w:rsidRPr="0043618A">
        <w:rPr>
          <w:rFonts w:ascii="Arial" w:hAnsi="Arial" w:cs="Arial"/>
          <w:b/>
          <w:bCs/>
          <w:color w:val="AE1C1F"/>
        </w:rPr>
        <w:t>5. FRACASO DEL TRATAMIENTO ANTIRRETROVIRAL</w:t>
      </w:r>
    </w:p>
    <w:p w14:paraId="46D0D44E" w14:textId="77777777" w:rsidR="00802EB8" w:rsidRPr="0043618A" w:rsidRDefault="00802EB8" w:rsidP="00802EB8">
      <w:pPr>
        <w:spacing w:before="120" w:after="120" w:line="276" w:lineRule="auto"/>
        <w:jc w:val="both"/>
        <w:rPr>
          <w:rFonts w:ascii="Arial" w:hAnsi="Arial" w:cs="Arial"/>
          <w:b/>
          <w:color w:val="006600"/>
        </w:rPr>
      </w:pPr>
      <w:r w:rsidRPr="0043618A">
        <w:rPr>
          <w:rFonts w:ascii="Arial" w:hAnsi="Arial" w:cs="Arial"/>
          <w:b/>
          <w:color w:val="AE1C1F"/>
        </w:rPr>
        <w:t>5.1. Definiciones</w:t>
      </w:r>
    </w:p>
    <w:p w14:paraId="546D8A47" w14:textId="77777777" w:rsidR="00802EB8" w:rsidRPr="0043618A" w:rsidRDefault="00802EB8" w:rsidP="00802EB8">
      <w:pPr>
        <w:numPr>
          <w:ilvl w:val="0"/>
          <w:numId w:val="8"/>
        </w:numPr>
        <w:spacing w:before="120" w:after="120" w:line="276" w:lineRule="auto"/>
        <w:jc w:val="both"/>
        <w:rPr>
          <w:rFonts w:ascii="Arial" w:hAnsi="Arial" w:cs="Arial"/>
        </w:rPr>
      </w:pPr>
      <w:r w:rsidRPr="0043618A">
        <w:rPr>
          <w:rFonts w:ascii="Arial" w:hAnsi="Arial" w:cs="Arial"/>
          <w:i/>
          <w:iCs/>
        </w:rPr>
        <w:t>Fracaso virológico</w:t>
      </w:r>
      <w:r w:rsidRPr="0043618A">
        <w:rPr>
          <w:rFonts w:ascii="Arial" w:hAnsi="Arial" w:cs="Arial"/>
        </w:rPr>
        <w:t xml:space="preserve"> (FV): CVP &gt;50 copias/mL</w:t>
      </w:r>
      <w:r w:rsidRPr="00F81A8E">
        <w:rPr>
          <w:rFonts w:ascii="Arial" w:hAnsi="Arial" w:cs="Arial"/>
        </w:rPr>
        <w:t xml:space="preserve"> </w:t>
      </w:r>
      <w:r w:rsidRPr="0043618A">
        <w:rPr>
          <w:rFonts w:ascii="Arial" w:hAnsi="Arial" w:cs="Arial"/>
        </w:rPr>
        <w:t>transcurridas 24 semanas desde el inicio del TAR, confirmada en una segunda muestra consecutiva</w:t>
      </w:r>
      <w:r>
        <w:rPr>
          <w:rFonts w:ascii="Arial" w:hAnsi="Arial" w:cs="Arial"/>
        </w:rPr>
        <w:t>.</w:t>
      </w:r>
      <w:r w:rsidRPr="0043618A">
        <w:rPr>
          <w:rFonts w:ascii="Arial" w:hAnsi="Arial" w:cs="Arial"/>
        </w:rPr>
        <w:t xml:space="preserve"> </w:t>
      </w:r>
      <w:r>
        <w:rPr>
          <w:rFonts w:ascii="Arial" w:hAnsi="Arial" w:cs="Arial"/>
        </w:rPr>
        <w:t>A veces, p</w:t>
      </w:r>
      <w:r w:rsidRPr="0043618A">
        <w:rPr>
          <w:rFonts w:ascii="Arial" w:hAnsi="Arial" w:cs="Arial"/>
        </w:rPr>
        <w:t xml:space="preserve">ueden ser necesarias más de 24 semanas de TAR para alcanzar la CVP &lt;50 copias/mL, particularmente </w:t>
      </w:r>
      <w:r>
        <w:rPr>
          <w:rFonts w:ascii="Arial" w:hAnsi="Arial" w:cs="Arial"/>
        </w:rPr>
        <w:t xml:space="preserve">si la CVP basal es elevada y </w:t>
      </w:r>
      <w:r w:rsidRPr="0043618A">
        <w:rPr>
          <w:rFonts w:ascii="Arial" w:hAnsi="Arial" w:cs="Arial"/>
        </w:rPr>
        <w:t>en regímenes con IP/p</w:t>
      </w:r>
      <w:r>
        <w:rPr>
          <w:rFonts w:ascii="Arial" w:hAnsi="Arial" w:cs="Arial"/>
        </w:rPr>
        <w:t xml:space="preserve"> o ITINAN</w:t>
      </w:r>
      <w:r w:rsidRPr="0043618A">
        <w:rPr>
          <w:rFonts w:ascii="Arial" w:hAnsi="Arial" w:cs="Arial"/>
        </w:rPr>
        <w:t xml:space="preserve">. </w:t>
      </w:r>
    </w:p>
    <w:p w14:paraId="095EACC0" w14:textId="77777777" w:rsidR="00802EB8" w:rsidRPr="0043618A" w:rsidRDefault="00802EB8" w:rsidP="00802EB8">
      <w:pPr>
        <w:numPr>
          <w:ilvl w:val="0"/>
          <w:numId w:val="8"/>
        </w:numPr>
        <w:spacing w:before="120" w:after="120" w:line="276" w:lineRule="auto"/>
        <w:jc w:val="both"/>
        <w:rPr>
          <w:rFonts w:ascii="Arial" w:hAnsi="Arial" w:cs="Arial"/>
        </w:rPr>
      </w:pPr>
      <w:r w:rsidRPr="0043618A">
        <w:rPr>
          <w:rFonts w:ascii="Arial" w:hAnsi="Arial" w:cs="Arial"/>
          <w:i/>
        </w:rPr>
        <w:t>Repuntes virológicos transitorios aislados (“blips”)</w:t>
      </w:r>
      <w:r w:rsidRPr="0043618A">
        <w:rPr>
          <w:rFonts w:ascii="Arial" w:hAnsi="Arial" w:cs="Arial"/>
        </w:rPr>
        <w:t>: valores de CVP entre 50 y 500 copias/mL, con valores de CVP previa y posterior &lt;50 copias/mL. Los “</w:t>
      </w:r>
      <w:r w:rsidRPr="0043618A">
        <w:rPr>
          <w:rFonts w:ascii="Arial" w:hAnsi="Arial" w:cs="Arial"/>
          <w:i/>
        </w:rPr>
        <w:t>blips</w:t>
      </w:r>
      <w:r w:rsidRPr="0043618A">
        <w:rPr>
          <w:rFonts w:ascii="Arial" w:hAnsi="Arial" w:cs="Arial"/>
        </w:rPr>
        <w:t>” aislados con CVP&lt;200 copias/mL no tienen repercusión clínica. Sin embargo, los “</w:t>
      </w:r>
      <w:r w:rsidRPr="0043618A">
        <w:rPr>
          <w:rFonts w:ascii="Arial" w:hAnsi="Arial" w:cs="Arial"/>
          <w:i/>
        </w:rPr>
        <w:t>blips</w:t>
      </w:r>
      <w:r w:rsidRPr="0043618A">
        <w:rPr>
          <w:rFonts w:ascii="Arial" w:hAnsi="Arial" w:cs="Arial"/>
        </w:rPr>
        <w:t>” frecuentes o con cifras de CVP&gt; 200 copias/mL se han asociado a mayor riesgo de FV y aparición de MR</w:t>
      </w:r>
      <w:r w:rsidRPr="0043618A">
        <w:rPr>
          <w:rFonts w:ascii="Arial" w:hAnsi="Arial" w:cs="Arial"/>
          <w:vertAlign w:val="superscript"/>
        </w:rPr>
        <w:t>1,2</w:t>
      </w:r>
      <w:r w:rsidRPr="0043618A">
        <w:rPr>
          <w:rFonts w:ascii="Arial" w:hAnsi="Arial" w:cs="Arial"/>
        </w:rPr>
        <w:t xml:space="preserve">. </w:t>
      </w:r>
    </w:p>
    <w:p w14:paraId="1015E4E5" w14:textId="77777777" w:rsidR="00802EB8" w:rsidRPr="0043618A" w:rsidRDefault="00802EB8" w:rsidP="00802EB8">
      <w:pPr>
        <w:numPr>
          <w:ilvl w:val="0"/>
          <w:numId w:val="8"/>
        </w:numPr>
        <w:spacing w:before="120" w:after="120" w:line="276" w:lineRule="auto"/>
        <w:jc w:val="both"/>
        <w:rPr>
          <w:rFonts w:ascii="Arial" w:hAnsi="Arial" w:cs="Arial"/>
        </w:rPr>
      </w:pPr>
      <w:r w:rsidRPr="0043618A">
        <w:rPr>
          <w:rFonts w:ascii="Arial" w:hAnsi="Arial" w:cs="Arial"/>
          <w:i/>
        </w:rPr>
        <w:t>Viremia de bajo nivel (VBN)</w:t>
      </w:r>
      <w:r w:rsidRPr="00F17ED3">
        <w:rPr>
          <w:rFonts w:ascii="Arial" w:hAnsi="Arial" w:cs="Arial"/>
        </w:rPr>
        <w:t>:</w:t>
      </w:r>
      <w:r w:rsidRPr="0043618A">
        <w:rPr>
          <w:rFonts w:ascii="Arial" w:hAnsi="Arial" w:cs="Arial"/>
        </w:rPr>
        <w:t xml:space="preserve"> CVP 50-1000 copias/mL en al menos dos muestras consecutivas. </w:t>
      </w:r>
    </w:p>
    <w:p w14:paraId="32FADFF0" w14:textId="77777777" w:rsidR="00802EB8" w:rsidRPr="0043618A" w:rsidRDefault="00802EB8" w:rsidP="00802EB8">
      <w:pPr>
        <w:spacing w:before="120" w:after="120" w:line="276" w:lineRule="auto"/>
        <w:jc w:val="both"/>
        <w:rPr>
          <w:rFonts w:ascii="Arial" w:hAnsi="Arial" w:cs="Arial"/>
        </w:rPr>
      </w:pPr>
    </w:p>
    <w:p w14:paraId="5D6DBD3F" w14:textId="77777777" w:rsidR="00802EB8" w:rsidRPr="0043618A" w:rsidRDefault="00802EB8" w:rsidP="00802EB8">
      <w:pPr>
        <w:spacing w:before="120" w:after="120" w:line="276" w:lineRule="auto"/>
        <w:jc w:val="both"/>
        <w:rPr>
          <w:rFonts w:ascii="Arial" w:hAnsi="Arial" w:cs="Arial"/>
          <w:b/>
          <w:color w:val="AE1C1F"/>
        </w:rPr>
      </w:pPr>
      <w:r w:rsidRPr="0043618A">
        <w:rPr>
          <w:rFonts w:ascii="Arial" w:hAnsi="Arial" w:cs="Arial"/>
          <w:b/>
          <w:color w:val="AE1C1F"/>
        </w:rPr>
        <w:t>5.2. Incidencia y factores determinantes del fracaso virológico</w:t>
      </w:r>
    </w:p>
    <w:p w14:paraId="56020987" w14:textId="77777777" w:rsidR="00802EB8" w:rsidRPr="0043618A" w:rsidRDefault="00802EB8" w:rsidP="00802EB8">
      <w:pPr>
        <w:spacing w:before="120" w:after="120" w:line="276" w:lineRule="auto"/>
        <w:jc w:val="both"/>
        <w:rPr>
          <w:rFonts w:ascii="Arial" w:hAnsi="Arial" w:cs="Arial"/>
        </w:rPr>
      </w:pPr>
      <w:r>
        <w:rPr>
          <w:rFonts w:ascii="Arial" w:hAnsi="Arial" w:cs="Arial"/>
        </w:rPr>
        <w:t>L</w:t>
      </w:r>
      <w:r w:rsidRPr="0043618A">
        <w:rPr>
          <w:rFonts w:ascii="Arial" w:hAnsi="Arial" w:cs="Arial"/>
        </w:rPr>
        <w:t xml:space="preserve">as tasas de FV de los TAR preferentes a las 48 semanas son inferiores al 10% (capítulo 3). Los factores que influyen en el </w:t>
      </w:r>
      <w:r>
        <w:rPr>
          <w:rFonts w:ascii="Arial" w:hAnsi="Arial" w:cs="Arial"/>
        </w:rPr>
        <w:t>FV</w:t>
      </w:r>
      <w:r w:rsidRPr="0043618A">
        <w:rPr>
          <w:rFonts w:ascii="Arial" w:hAnsi="Arial" w:cs="Arial"/>
        </w:rPr>
        <w:t xml:space="preserve"> son: </w:t>
      </w:r>
    </w:p>
    <w:p w14:paraId="2734729C" w14:textId="77777777" w:rsidR="00802EB8" w:rsidRPr="00F17ED3" w:rsidRDefault="00802EB8" w:rsidP="00802EB8">
      <w:pPr>
        <w:pStyle w:val="Prrafodelista"/>
        <w:numPr>
          <w:ilvl w:val="0"/>
          <w:numId w:val="8"/>
        </w:numPr>
        <w:spacing w:line="276" w:lineRule="auto"/>
        <w:jc w:val="both"/>
        <w:rPr>
          <w:rFonts w:ascii="Arial" w:eastAsia="Calibri" w:hAnsi="Arial" w:cs="Arial"/>
          <w:lang w:eastAsia="es-ES"/>
        </w:rPr>
      </w:pPr>
      <w:r w:rsidRPr="00F17ED3">
        <w:rPr>
          <w:rFonts w:ascii="Arial" w:hAnsi="Arial" w:cs="Arial"/>
        </w:rPr>
        <w:t xml:space="preserve">mala adherencia al tratamiento o al seguimiento de controles médicos; </w:t>
      </w:r>
    </w:p>
    <w:p w14:paraId="221D9A19" w14:textId="77777777" w:rsidR="00802EB8" w:rsidRPr="00F17ED3" w:rsidRDefault="00802EB8" w:rsidP="00802EB8">
      <w:pPr>
        <w:pStyle w:val="Prrafodelista"/>
        <w:numPr>
          <w:ilvl w:val="0"/>
          <w:numId w:val="8"/>
        </w:numPr>
        <w:spacing w:line="276" w:lineRule="auto"/>
        <w:jc w:val="both"/>
        <w:rPr>
          <w:rFonts w:ascii="Arial" w:eastAsia="Calibri" w:hAnsi="Arial" w:cs="Arial"/>
          <w:lang w:eastAsia="es-ES"/>
        </w:rPr>
      </w:pPr>
      <w:r w:rsidRPr="00F17ED3">
        <w:rPr>
          <w:rFonts w:ascii="Arial" w:hAnsi="Arial" w:cs="Arial"/>
        </w:rPr>
        <w:t xml:space="preserve">efectos adversos; </w:t>
      </w:r>
    </w:p>
    <w:p w14:paraId="64AD793C" w14:textId="77777777" w:rsidR="00802EB8" w:rsidRPr="00F17ED3" w:rsidRDefault="00802EB8" w:rsidP="00802EB8">
      <w:pPr>
        <w:pStyle w:val="Prrafodelista"/>
        <w:numPr>
          <w:ilvl w:val="0"/>
          <w:numId w:val="8"/>
        </w:numPr>
        <w:spacing w:line="276" w:lineRule="auto"/>
        <w:jc w:val="both"/>
        <w:rPr>
          <w:rFonts w:ascii="Arial" w:eastAsia="Calibri" w:hAnsi="Arial" w:cs="Arial"/>
          <w:lang w:eastAsia="es-ES"/>
        </w:rPr>
      </w:pPr>
      <w:r w:rsidRPr="00F17ED3">
        <w:rPr>
          <w:rFonts w:ascii="Arial" w:hAnsi="Arial" w:cs="Arial"/>
        </w:rPr>
        <w:t>interacciones farmacocinéticas con fármacos, productos de herboristería, alimentos, c</w:t>
      </w:r>
      <w:r w:rsidRPr="00F17ED3">
        <w:rPr>
          <w:rFonts w:ascii="Arial" w:eastAsia="Calibri" w:hAnsi="Arial" w:cs="Arial"/>
          <w:lang w:eastAsia="es-ES"/>
        </w:rPr>
        <w:t>omplementos nutricionales o drogas de recreo</w:t>
      </w:r>
      <w:r w:rsidRPr="00F17ED3">
        <w:rPr>
          <w:rFonts w:ascii="Arial" w:hAnsi="Arial" w:cs="Arial"/>
        </w:rPr>
        <w:t xml:space="preserve">; y </w:t>
      </w:r>
    </w:p>
    <w:p w14:paraId="6E10EFED" w14:textId="77777777" w:rsidR="00802EB8" w:rsidRPr="00F17ED3" w:rsidRDefault="00802EB8" w:rsidP="00802EB8">
      <w:pPr>
        <w:pStyle w:val="Prrafodelista"/>
        <w:numPr>
          <w:ilvl w:val="0"/>
          <w:numId w:val="8"/>
        </w:numPr>
        <w:spacing w:line="276" w:lineRule="auto"/>
        <w:jc w:val="both"/>
        <w:rPr>
          <w:rFonts w:ascii="Arial" w:eastAsia="Calibri" w:hAnsi="Arial" w:cs="Arial"/>
          <w:lang w:eastAsia="es-ES"/>
        </w:rPr>
      </w:pPr>
      <w:r w:rsidRPr="00F17ED3">
        <w:rPr>
          <w:rFonts w:ascii="Arial" w:hAnsi="Arial" w:cs="Arial"/>
        </w:rPr>
        <w:t xml:space="preserve">pre-existencia de MR. </w:t>
      </w:r>
    </w:p>
    <w:p w14:paraId="1AD13DFA" w14:textId="77777777" w:rsidR="00802EB8" w:rsidRPr="0043618A" w:rsidRDefault="00802EB8" w:rsidP="00802EB8">
      <w:pPr>
        <w:spacing w:line="276" w:lineRule="auto"/>
        <w:jc w:val="both"/>
        <w:rPr>
          <w:rFonts w:ascii="Arial" w:hAnsi="Arial" w:cs="Arial"/>
        </w:rPr>
      </w:pPr>
    </w:p>
    <w:p w14:paraId="6843626E" w14:textId="77777777" w:rsidR="00802EB8" w:rsidRPr="00F17ED3" w:rsidRDefault="00802EB8" w:rsidP="00802EB8">
      <w:pPr>
        <w:spacing w:line="276" w:lineRule="auto"/>
        <w:jc w:val="both"/>
        <w:rPr>
          <w:rFonts w:ascii="Arial" w:hAnsi="Arial" w:cs="Arial"/>
        </w:rPr>
      </w:pPr>
      <w:r w:rsidRPr="00C17F76">
        <w:rPr>
          <w:rFonts w:ascii="Arial" w:hAnsi="Arial" w:cs="Arial"/>
          <w:highlight w:val="yellow"/>
        </w:rPr>
        <w:t>En ausencia de MR preexistentes</w:t>
      </w:r>
      <w:r w:rsidRPr="00F17ED3">
        <w:rPr>
          <w:rFonts w:ascii="Arial" w:hAnsi="Arial" w:cs="Arial"/>
        </w:rPr>
        <w:t>, la baja barrera genética de los FAR no conlleva un mayor riesgo de FV en sí.</w:t>
      </w:r>
    </w:p>
    <w:p w14:paraId="7C240227" w14:textId="77777777" w:rsidR="00802EB8" w:rsidRPr="0043618A" w:rsidRDefault="00802EB8" w:rsidP="00802EB8">
      <w:pPr>
        <w:spacing w:before="120" w:after="120" w:line="276" w:lineRule="auto"/>
        <w:jc w:val="both"/>
        <w:rPr>
          <w:rFonts w:ascii="Arial" w:hAnsi="Arial" w:cs="Arial"/>
        </w:rPr>
      </w:pPr>
    </w:p>
    <w:p w14:paraId="0C739D77" w14:textId="77777777" w:rsidR="00802EB8" w:rsidRPr="0043618A" w:rsidRDefault="00802EB8" w:rsidP="00802EB8">
      <w:pPr>
        <w:spacing w:after="160" w:line="276" w:lineRule="auto"/>
        <w:jc w:val="both"/>
        <w:rPr>
          <w:rFonts w:ascii="Arial" w:hAnsi="Arial" w:cs="Arial"/>
          <w:b/>
          <w:bCs/>
          <w:color w:val="AE1C1F"/>
        </w:rPr>
      </w:pPr>
      <w:r w:rsidRPr="0043618A">
        <w:rPr>
          <w:rFonts w:ascii="Arial" w:hAnsi="Arial" w:cs="Arial"/>
          <w:b/>
          <w:bCs/>
          <w:color w:val="AE1C1F"/>
        </w:rPr>
        <w:t>5.3. Objetivo del tratamiento tras fracaso virológico</w:t>
      </w:r>
    </w:p>
    <w:p w14:paraId="4A6C851E" w14:textId="77777777" w:rsidR="00802EB8" w:rsidRPr="0043618A" w:rsidRDefault="00802EB8" w:rsidP="00802EB8">
      <w:pPr>
        <w:spacing w:before="120" w:after="120" w:line="276" w:lineRule="auto"/>
        <w:jc w:val="both"/>
        <w:rPr>
          <w:rFonts w:ascii="Arial" w:hAnsi="Arial" w:cs="Arial"/>
        </w:rPr>
      </w:pPr>
      <w:r w:rsidRPr="0043618A">
        <w:rPr>
          <w:rFonts w:ascii="Arial" w:hAnsi="Arial" w:cs="Arial"/>
        </w:rPr>
        <w:t xml:space="preserve">El objetivo de la pauta de rescate es conseguir de nuevo la supresión viral (&lt;50 copias/mL). Para ello, debe instaurarse un TAR con </w:t>
      </w:r>
      <w:r w:rsidRPr="00C17F76">
        <w:rPr>
          <w:rFonts w:ascii="Arial" w:hAnsi="Arial" w:cs="Arial"/>
          <w:highlight w:val="yellow"/>
        </w:rPr>
        <w:t>al menos dos, e idealmente</w:t>
      </w:r>
      <w:r>
        <w:rPr>
          <w:rFonts w:ascii="Arial" w:hAnsi="Arial" w:cs="Arial"/>
        </w:rPr>
        <w:t xml:space="preserve"> </w:t>
      </w:r>
      <w:r w:rsidRPr="0043618A">
        <w:rPr>
          <w:rFonts w:ascii="Arial" w:hAnsi="Arial" w:cs="Arial"/>
        </w:rPr>
        <w:t>tres</w:t>
      </w:r>
      <w:r w:rsidRPr="00C17F76">
        <w:rPr>
          <w:rFonts w:ascii="Arial" w:hAnsi="Arial" w:cs="Arial"/>
          <w:highlight w:val="yellow"/>
        </w:rPr>
        <w:t>,</w:t>
      </w:r>
      <w:r w:rsidRPr="0043618A">
        <w:rPr>
          <w:rFonts w:ascii="Arial" w:hAnsi="Arial" w:cs="Arial"/>
        </w:rPr>
        <w:t xml:space="preserve"> FAR </w:t>
      </w:r>
      <w:r w:rsidRPr="00C17F76">
        <w:rPr>
          <w:rFonts w:ascii="Arial" w:hAnsi="Arial" w:cs="Arial"/>
          <w:highlight w:val="yellow"/>
        </w:rPr>
        <w:t>plenamente</w:t>
      </w:r>
      <w:r w:rsidRPr="00C17F76">
        <w:rPr>
          <w:rFonts w:ascii="Arial" w:hAnsi="Arial" w:cs="Arial"/>
        </w:rPr>
        <w:t xml:space="preserve"> </w:t>
      </w:r>
      <w:r w:rsidRPr="0043618A">
        <w:rPr>
          <w:rFonts w:ascii="Arial" w:hAnsi="Arial" w:cs="Arial"/>
        </w:rPr>
        <w:t xml:space="preserve">activos, incluyendo, si es posible, al menos un </w:t>
      </w:r>
      <w:r w:rsidRPr="00C17F76">
        <w:rPr>
          <w:rFonts w:ascii="Arial" w:hAnsi="Arial" w:cs="Arial"/>
          <w:highlight w:val="yellow"/>
        </w:rPr>
        <w:t>FAR</w:t>
      </w:r>
      <w:r w:rsidRPr="0043618A">
        <w:rPr>
          <w:rFonts w:ascii="Arial" w:hAnsi="Arial" w:cs="Arial"/>
        </w:rPr>
        <w:t xml:space="preserve"> de una nueva familia. El </w:t>
      </w:r>
      <w:r w:rsidRPr="00C17F76">
        <w:rPr>
          <w:rFonts w:ascii="Arial" w:hAnsi="Arial" w:cs="Arial"/>
          <w:highlight w:val="yellow"/>
        </w:rPr>
        <w:t>inicio de un</w:t>
      </w:r>
      <w:r>
        <w:rPr>
          <w:rFonts w:ascii="Arial" w:hAnsi="Arial" w:cs="Arial"/>
        </w:rPr>
        <w:t xml:space="preserve"> </w:t>
      </w:r>
      <w:r w:rsidRPr="0043618A">
        <w:rPr>
          <w:rFonts w:ascii="Arial" w:hAnsi="Arial" w:cs="Arial"/>
        </w:rPr>
        <w:t>TAR de rescate no debe retrasarse para</w:t>
      </w:r>
      <w:r>
        <w:rPr>
          <w:rFonts w:ascii="Arial" w:hAnsi="Arial" w:cs="Arial"/>
        </w:rPr>
        <w:t xml:space="preserve"> </w:t>
      </w:r>
      <w:r w:rsidRPr="0043618A">
        <w:rPr>
          <w:rFonts w:ascii="Arial" w:hAnsi="Arial" w:cs="Arial"/>
        </w:rPr>
        <w:t xml:space="preserve">evitar el acúmulo de MR y el deterioro inmunológico </w:t>
      </w:r>
      <w:r w:rsidRPr="00C17F76">
        <w:rPr>
          <w:rFonts w:ascii="Arial" w:hAnsi="Arial" w:cs="Arial"/>
          <w:highlight w:val="yellow"/>
        </w:rPr>
        <w:t>y clínico del paciente.</w:t>
      </w:r>
      <w:r w:rsidRPr="0043618A">
        <w:rPr>
          <w:rFonts w:ascii="Arial" w:hAnsi="Arial" w:cs="Arial"/>
        </w:rPr>
        <w:t xml:space="preserve"> </w:t>
      </w:r>
    </w:p>
    <w:p w14:paraId="403BB427" w14:textId="77777777" w:rsidR="00802EB8" w:rsidRPr="0043618A" w:rsidRDefault="00802EB8" w:rsidP="00802EB8">
      <w:pPr>
        <w:spacing w:before="120" w:after="120" w:line="276" w:lineRule="auto"/>
        <w:jc w:val="both"/>
        <w:rPr>
          <w:rFonts w:ascii="Arial" w:hAnsi="Arial" w:cs="Arial"/>
          <w:b/>
          <w:color w:val="C00000"/>
        </w:rPr>
      </w:pPr>
    </w:p>
    <w:p w14:paraId="4D7B175B" w14:textId="77777777" w:rsidR="00802EB8" w:rsidRPr="0043618A" w:rsidRDefault="00802EB8" w:rsidP="00802EB8">
      <w:pPr>
        <w:spacing w:before="120" w:after="120" w:line="276" w:lineRule="auto"/>
        <w:jc w:val="both"/>
        <w:rPr>
          <w:rFonts w:ascii="Arial" w:hAnsi="Arial" w:cs="Arial"/>
          <w:b/>
          <w:color w:val="AE1C1F"/>
        </w:rPr>
      </w:pPr>
      <w:r w:rsidRPr="0043618A">
        <w:rPr>
          <w:rFonts w:ascii="Arial" w:hAnsi="Arial" w:cs="Arial"/>
          <w:b/>
          <w:color w:val="AE1C1F"/>
        </w:rPr>
        <w:t>5.4. Estrategias para mejorar el éxito de los tratamientos de rescate</w:t>
      </w:r>
    </w:p>
    <w:p w14:paraId="063BDA13" w14:textId="77777777" w:rsidR="00802EB8" w:rsidRPr="006F35A7" w:rsidRDefault="00802EB8" w:rsidP="00802EB8">
      <w:pPr>
        <w:pStyle w:val="Prrafodelista"/>
        <w:numPr>
          <w:ilvl w:val="0"/>
          <w:numId w:val="12"/>
        </w:numPr>
        <w:spacing w:before="120" w:after="120" w:line="276" w:lineRule="auto"/>
        <w:jc w:val="both"/>
        <w:rPr>
          <w:rFonts w:ascii="Arial" w:hAnsi="Arial" w:cs="Arial"/>
        </w:rPr>
      </w:pPr>
      <w:r w:rsidRPr="00F17ED3">
        <w:rPr>
          <w:rFonts w:ascii="Arial" w:hAnsi="Arial" w:cs="Arial"/>
          <w:b/>
          <w:bCs/>
          <w:i/>
        </w:rPr>
        <w:t>Facilitar la adherencia y tolerabilidad al TAR.</w:t>
      </w:r>
      <w:r w:rsidRPr="006F35A7">
        <w:rPr>
          <w:rFonts w:ascii="Arial" w:hAnsi="Arial" w:cs="Arial"/>
          <w:bCs/>
          <w:i/>
        </w:rPr>
        <w:t xml:space="preserve"> </w:t>
      </w:r>
      <w:r w:rsidRPr="00AF5080">
        <w:rPr>
          <w:rFonts w:ascii="Arial" w:hAnsi="Arial" w:cs="Arial"/>
          <w:bCs/>
          <w:highlight w:val="yellow"/>
        </w:rPr>
        <w:t>Corregir</w:t>
      </w:r>
      <w:r w:rsidRPr="006F35A7">
        <w:rPr>
          <w:rFonts w:ascii="Arial" w:hAnsi="Arial" w:cs="Arial"/>
          <w:bCs/>
        </w:rPr>
        <w:t xml:space="preserve"> </w:t>
      </w:r>
      <w:r w:rsidRPr="006F35A7">
        <w:rPr>
          <w:rFonts w:ascii="Arial" w:hAnsi="Arial" w:cs="Arial"/>
        </w:rPr>
        <w:t xml:space="preserve">causas de mala adherencia, posibles errores de dosificación </w:t>
      </w:r>
      <w:r>
        <w:rPr>
          <w:rFonts w:ascii="Arial" w:hAnsi="Arial" w:cs="Arial"/>
        </w:rPr>
        <w:t>e</w:t>
      </w:r>
      <w:r w:rsidRPr="006F35A7">
        <w:rPr>
          <w:rFonts w:ascii="Arial" w:hAnsi="Arial" w:cs="Arial"/>
        </w:rPr>
        <w:t xml:space="preserve"> interacciones </w:t>
      </w:r>
      <w:r w:rsidRPr="00AF5080">
        <w:rPr>
          <w:rFonts w:ascii="Arial" w:hAnsi="Arial" w:cs="Arial"/>
          <w:highlight w:val="yellow"/>
        </w:rPr>
        <w:lastRenderedPageBreak/>
        <w:t>medicamentosas</w:t>
      </w:r>
      <w:r w:rsidRPr="006F35A7">
        <w:rPr>
          <w:rFonts w:ascii="Arial" w:hAnsi="Arial" w:cs="Arial"/>
        </w:rPr>
        <w:t>; pautar un TAR bien tolerado</w:t>
      </w:r>
      <w:r w:rsidRPr="00AF5080">
        <w:rPr>
          <w:rFonts w:ascii="Arial" w:hAnsi="Arial" w:cs="Arial"/>
          <w:highlight w:val="yellow"/>
        </w:rPr>
        <w:t>, lo más simple posible, y adaptado a</w:t>
      </w:r>
      <w:r w:rsidRPr="006F35A7">
        <w:rPr>
          <w:rFonts w:ascii="Arial" w:hAnsi="Arial" w:cs="Arial"/>
        </w:rPr>
        <w:t xml:space="preserve"> las comorbilidades del paciente.</w:t>
      </w:r>
    </w:p>
    <w:p w14:paraId="4129C07A" w14:textId="77777777" w:rsidR="00802EB8" w:rsidRPr="00F17ED3" w:rsidRDefault="00802EB8" w:rsidP="00802EB8">
      <w:pPr>
        <w:pStyle w:val="Prrafodelista"/>
        <w:spacing w:before="120" w:after="120" w:line="276" w:lineRule="auto"/>
        <w:jc w:val="both"/>
        <w:rPr>
          <w:rFonts w:ascii="Arial" w:hAnsi="Arial" w:cs="Arial"/>
        </w:rPr>
      </w:pPr>
    </w:p>
    <w:p w14:paraId="79C9DD49" w14:textId="77777777" w:rsidR="00802EB8" w:rsidRPr="00F17ED3" w:rsidRDefault="00802EB8" w:rsidP="00802EB8">
      <w:pPr>
        <w:pStyle w:val="Prrafodelista"/>
        <w:numPr>
          <w:ilvl w:val="0"/>
          <w:numId w:val="12"/>
        </w:numPr>
        <w:spacing w:before="120" w:after="120" w:line="276" w:lineRule="auto"/>
        <w:jc w:val="both"/>
        <w:rPr>
          <w:rFonts w:ascii="Arial" w:hAnsi="Arial" w:cs="Arial"/>
        </w:rPr>
      </w:pPr>
      <w:r w:rsidRPr="00F17ED3">
        <w:rPr>
          <w:rFonts w:ascii="Arial" w:hAnsi="Arial" w:cs="Arial"/>
          <w:b/>
          <w:i/>
          <w:iCs/>
        </w:rPr>
        <w:t>Pruebas de resistencia</w:t>
      </w:r>
      <w:r w:rsidRPr="00F17ED3">
        <w:rPr>
          <w:rFonts w:ascii="Arial" w:hAnsi="Arial" w:cs="Arial"/>
          <w:b/>
          <w:bCs/>
          <w:i/>
        </w:rPr>
        <w:t>.</w:t>
      </w:r>
      <w:r w:rsidRPr="006F35A7">
        <w:rPr>
          <w:rFonts w:ascii="Arial" w:hAnsi="Arial" w:cs="Arial"/>
          <w:b/>
          <w:bCs/>
        </w:rPr>
        <w:t xml:space="preserve"> </w:t>
      </w:r>
      <w:r w:rsidRPr="00AF5080">
        <w:rPr>
          <w:rFonts w:ascii="Arial" w:hAnsi="Arial" w:cs="Arial"/>
          <w:bCs/>
          <w:highlight w:val="yellow"/>
        </w:rPr>
        <w:t>El FV a menudo se asocia a la acumulación de MR</w:t>
      </w:r>
      <w:r w:rsidRPr="0013073F">
        <w:rPr>
          <w:rFonts w:ascii="Arial" w:hAnsi="Arial" w:cs="Arial"/>
          <w:bCs/>
          <w:highlight w:val="yellow"/>
        </w:rPr>
        <w:t xml:space="preserve"> que limitan la eficacia de los TAR</w:t>
      </w:r>
      <w:r>
        <w:rPr>
          <w:rFonts w:ascii="Arial" w:hAnsi="Arial" w:cs="Arial"/>
          <w:bCs/>
          <w:highlight w:val="yellow"/>
        </w:rPr>
        <w:t>. Dichas MR</w:t>
      </w:r>
      <w:r w:rsidRPr="0013073F">
        <w:rPr>
          <w:rFonts w:ascii="Arial" w:hAnsi="Arial" w:cs="Arial"/>
          <w:bCs/>
          <w:highlight w:val="yellow"/>
        </w:rPr>
        <w:t xml:space="preserve"> no siempre se pueden predecir a partir de la historia clínica.</w:t>
      </w:r>
      <w:r w:rsidRPr="006F35A7">
        <w:rPr>
          <w:rFonts w:ascii="Arial" w:hAnsi="Arial" w:cs="Arial"/>
          <w:vertAlign w:val="superscript"/>
        </w:rPr>
        <w:t>3</w:t>
      </w:r>
      <w:r w:rsidRPr="006F35A7">
        <w:rPr>
          <w:rFonts w:ascii="Arial" w:hAnsi="Arial" w:cs="Arial"/>
        </w:rPr>
        <w:t xml:space="preserve"> </w:t>
      </w:r>
      <w:r w:rsidRPr="008E6026">
        <w:rPr>
          <w:rFonts w:ascii="Arial" w:hAnsi="Arial" w:cs="Arial"/>
          <w:highlight w:val="yellow"/>
        </w:rPr>
        <w:t>La prueba debe realizarse en plasma, mientras</w:t>
      </w:r>
      <w:r w:rsidRPr="006F35A7">
        <w:rPr>
          <w:rFonts w:ascii="Arial" w:hAnsi="Arial" w:cs="Arial"/>
        </w:rPr>
        <w:t xml:space="preserve"> el paciente recibe el TAR que ha fracasado</w:t>
      </w:r>
      <w:r w:rsidRPr="008E6026">
        <w:rPr>
          <w:rFonts w:ascii="Arial" w:hAnsi="Arial" w:cs="Arial"/>
          <w:highlight w:val="yellow"/>
        </w:rPr>
        <w:t>, y con una CVP &gt;200 copias/mL. Aunque existen tecnologías de secuenciación de virus ultrasensibles, a día de hoy únicamente se deben considerar aquellas MR presentes en al menos 20% de los virus (punto de corte equivalente al de la secuenciación Sanger) para modificar el TAR. Sólo si se incluyen ITINNs en el rescate, podría ser clínicamente relevante considerar MR presentes entre el 5% y el 20% de los virus.</w:t>
      </w:r>
      <w:r w:rsidRPr="006F35A7">
        <w:rPr>
          <w:rFonts w:ascii="Arial" w:hAnsi="Arial" w:cs="Arial"/>
        </w:rPr>
        <w:t xml:space="preserve"> </w:t>
      </w:r>
    </w:p>
    <w:p w14:paraId="503B38F9" w14:textId="77777777" w:rsidR="00802EB8" w:rsidRPr="0043618A" w:rsidRDefault="00802EB8" w:rsidP="00802EB8">
      <w:pPr>
        <w:spacing w:before="120" w:after="120" w:line="276" w:lineRule="auto"/>
        <w:ind w:left="708"/>
        <w:jc w:val="both"/>
        <w:rPr>
          <w:rFonts w:ascii="Arial" w:hAnsi="Arial" w:cs="Arial"/>
        </w:rPr>
      </w:pPr>
      <w:r w:rsidRPr="008E6026">
        <w:rPr>
          <w:rFonts w:ascii="Arial" w:hAnsi="Arial" w:cs="Arial"/>
          <w:highlight w:val="yellow"/>
        </w:rPr>
        <w:t>Las MR no desaparecen, por lo que es recomendable considerar</w:t>
      </w:r>
      <w:r>
        <w:rPr>
          <w:rFonts w:ascii="Arial" w:hAnsi="Arial" w:cs="Arial"/>
        </w:rPr>
        <w:t xml:space="preserve"> </w:t>
      </w:r>
      <w:r w:rsidRPr="0043618A">
        <w:rPr>
          <w:rFonts w:ascii="Arial" w:hAnsi="Arial" w:cs="Arial"/>
        </w:rPr>
        <w:t xml:space="preserve">todas las MR acumuladas en </w:t>
      </w:r>
      <w:r w:rsidRPr="00FD01EA">
        <w:rPr>
          <w:rFonts w:ascii="Arial" w:hAnsi="Arial" w:cs="Arial"/>
          <w:highlight w:val="yellow"/>
        </w:rPr>
        <w:t>las sucesivas pruebas</w:t>
      </w:r>
      <w:r w:rsidRPr="003E2161">
        <w:rPr>
          <w:rFonts w:ascii="Arial" w:hAnsi="Arial" w:cs="Arial"/>
          <w:highlight w:val="yellow"/>
        </w:rPr>
        <w:t xml:space="preserve"> </w:t>
      </w:r>
      <w:r w:rsidRPr="008E6026">
        <w:rPr>
          <w:rFonts w:ascii="Arial" w:hAnsi="Arial" w:cs="Arial"/>
          <w:highlight w:val="yellow"/>
        </w:rPr>
        <w:t>para diseñar un nuevo TAR</w:t>
      </w:r>
      <w:r w:rsidRPr="0043618A">
        <w:rPr>
          <w:rFonts w:ascii="Arial" w:hAnsi="Arial" w:cs="Arial"/>
        </w:rPr>
        <w:t xml:space="preserve">. </w:t>
      </w:r>
    </w:p>
    <w:p w14:paraId="0B058140" w14:textId="77777777" w:rsidR="00802EB8" w:rsidRPr="006F35A7" w:rsidRDefault="00802EB8" w:rsidP="00802EB8">
      <w:pPr>
        <w:spacing w:before="120" w:after="120" w:line="276" w:lineRule="auto"/>
        <w:ind w:left="708"/>
        <w:jc w:val="both"/>
        <w:rPr>
          <w:rFonts w:ascii="Arial" w:hAnsi="Arial" w:cs="Arial"/>
        </w:rPr>
      </w:pPr>
      <w:r w:rsidRPr="008E6026">
        <w:rPr>
          <w:rFonts w:ascii="Arial" w:hAnsi="Arial" w:cs="Arial"/>
          <w:highlight w:val="yellow"/>
        </w:rPr>
        <w:t>Aunque son útiles en investigación, las pruebas de</w:t>
      </w:r>
      <w:r w:rsidRPr="0043618A">
        <w:rPr>
          <w:rFonts w:ascii="Arial" w:hAnsi="Arial" w:cs="Arial"/>
        </w:rPr>
        <w:t xml:space="preserve"> </w:t>
      </w:r>
      <w:r w:rsidRPr="00F17ED3">
        <w:rPr>
          <w:rFonts w:ascii="Arial" w:hAnsi="Arial" w:cs="Arial"/>
          <w:i/>
        </w:rPr>
        <w:t xml:space="preserve">resistencias en ADN proviral </w:t>
      </w:r>
      <w:r w:rsidRPr="008E6026">
        <w:rPr>
          <w:rFonts w:ascii="Arial" w:hAnsi="Arial" w:cs="Arial"/>
          <w:highlight w:val="yellow"/>
        </w:rPr>
        <w:t xml:space="preserve">carecen de validez clínica para guiar el diseño de un TAR. Tienen una sensibilidad menor al 50% y cuando detectan </w:t>
      </w:r>
      <w:r>
        <w:rPr>
          <w:rFonts w:ascii="Arial" w:hAnsi="Arial" w:cs="Arial"/>
          <w:highlight w:val="yellow"/>
        </w:rPr>
        <w:t>MR</w:t>
      </w:r>
      <w:r w:rsidRPr="008E6026">
        <w:rPr>
          <w:rFonts w:ascii="Arial" w:hAnsi="Arial" w:cs="Arial"/>
          <w:highlight w:val="yellow"/>
        </w:rPr>
        <w:t>, éstas suelen estar en virus defectivos que a menudo no causan FV. Por ello, el genotipo en DNA proviral no debe utilizarse para guiar el diseño de nuevos TAR.</w:t>
      </w:r>
    </w:p>
    <w:p w14:paraId="6D3C3117" w14:textId="77777777" w:rsidR="00802EB8" w:rsidRPr="008E6026" w:rsidRDefault="00802EB8" w:rsidP="00802EB8">
      <w:pPr>
        <w:pStyle w:val="Prrafodelista"/>
        <w:numPr>
          <w:ilvl w:val="0"/>
          <w:numId w:val="12"/>
        </w:numPr>
        <w:spacing w:before="120" w:after="120" w:line="276" w:lineRule="auto"/>
        <w:jc w:val="both"/>
        <w:rPr>
          <w:rFonts w:ascii="Arial" w:hAnsi="Arial" w:cs="Arial"/>
          <w:highlight w:val="yellow"/>
        </w:rPr>
      </w:pPr>
      <w:r w:rsidRPr="00F17ED3">
        <w:rPr>
          <w:rFonts w:ascii="Arial" w:hAnsi="Arial" w:cs="Arial"/>
          <w:b/>
          <w:bCs/>
          <w:i/>
        </w:rPr>
        <w:t>Tropismo viral</w:t>
      </w:r>
      <w:r w:rsidRPr="00F17ED3">
        <w:rPr>
          <w:rFonts w:ascii="Arial" w:hAnsi="Arial" w:cs="Arial"/>
          <w:b/>
          <w:i/>
        </w:rPr>
        <w:t>.</w:t>
      </w:r>
      <w:r w:rsidRPr="006F35A7">
        <w:rPr>
          <w:rFonts w:ascii="Arial" w:hAnsi="Arial" w:cs="Arial"/>
        </w:rPr>
        <w:t xml:space="preserve"> Debe determinarse cuando se plantea el uso de MVC</w:t>
      </w:r>
      <w:r>
        <w:rPr>
          <w:rFonts w:ascii="Arial" w:hAnsi="Arial" w:cs="Arial"/>
        </w:rPr>
        <w:t>. Una vez se</w:t>
      </w:r>
      <w:r w:rsidRPr="006F35A7">
        <w:rPr>
          <w:rFonts w:ascii="Arial" w:hAnsi="Arial" w:cs="Arial"/>
        </w:rPr>
        <w:t xml:space="preserve"> han identificado cepas con tropismo </w:t>
      </w:r>
      <w:r>
        <w:rPr>
          <w:rFonts w:ascii="Arial" w:hAnsi="Arial" w:cs="Arial"/>
        </w:rPr>
        <w:t>no-R5</w:t>
      </w:r>
      <w:r w:rsidRPr="006F35A7">
        <w:rPr>
          <w:rFonts w:ascii="Arial" w:hAnsi="Arial" w:cs="Arial"/>
        </w:rPr>
        <w:t xml:space="preserve">, </w:t>
      </w:r>
      <w:r w:rsidRPr="008E6026">
        <w:rPr>
          <w:rFonts w:ascii="Arial" w:hAnsi="Arial" w:cs="Arial"/>
          <w:highlight w:val="yellow"/>
        </w:rPr>
        <w:t xml:space="preserve">ya no hace falta repetirlo porque estos virus persisten </w:t>
      </w:r>
      <w:r>
        <w:rPr>
          <w:rFonts w:ascii="Arial" w:hAnsi="Arial" w:cs="Arial"/>
          <w:highlight w:val="yellow"/>
        </w:rPr>
        <w:t>indefinidamente</w:t>
      </w:r>
      <w:r w:rsidRPr="008E6026">
        <w:rPr>
          <w:rFonts w:ascii="Arial" w:hAnsi="Arial" w:cs="Arial"/>
          <w:highlight w:val="yellow"/>
        </w:rPr>
        <w:t xml:space="preserve">. </w:t>
      </w:r>
    </w:p>
    <w:p w14:paraId="39342C14" w14:textId="77777777" w:rsidR="00802EB8" w:rsidRPr="00F17ED3" w:rsidRDefault="00802EB8" w:rsidP="00802EB8">
      <w:pPr>
        <w:pStyle w:val="Prrafodelista"/>
        <w:spacing w:line="276" w:lineRule="auto"/>
        <w:jc w:val="both"/>
        <w:rPr>
          <w:rFonts w:ascii="Arial" w:hAnsi="Arial" w:cs="Arial"/>
          <w:iCs/>
        </w:rPr>
      </w:pPr>
    </w:p>
    <w:p w14:paraId="218BC453" w14:textId="77777777" w:rsidR="00802EB8" w:rsidRPr="006F35A7" w:rsidRDefault="00802EB8" w:rsidP="00802EB8">
      <w:pPr>
        <w:pStyle w:val="Prrafodelista"/>
        <w:numPr>
          <w:ilvl w:val="0"/>
          <w:numId w:val="12"/>
        </w:numPr>
        <w:spacing w:line="276" w:lineRule="auto"/>
        <w:jc w:val="both"/>
        <w:rPr>
          <w:rFonts w:ascii="Arial" w:hAnsi="Arial" w:cs="Arial"/>
        </w:rPr>
      </w:pPr>
      <w:r w:rsidRPr="00F17ED3">
        <w:rPr>
          <w:rFonts w:ascii="Arial" w:hAnsi="Arial" w:cs="Arial"/>
          <w:b/>
          <w:i/>
          <w:iCs/>
        </w:rPr>
        <w:t>Monitorización de la concentración plasmática de fármacos</w:t>
      </w:r>
      <w:r w:rsidRPr="00F17ED3">
        <w:rPr>
          <w:rFonts w:ascii="Arial" w:hAnsi="Arial" w:cs="Arial"/>
          <w:b/>
          <w:bCs/>
          <w:i/>
        </w:rPr>
        <w:t xml:space="preserve">. </w:t>
      </w:r>
      <w:r w:rsidRPr="006F35A7">
        <w:rPr>
          <w:rFonts w:ascii="Arial" w:hAnsi="Arial" w:cs="Arial"/>
        </w:rPr>
        <w:t>No se ha demostrado que mejore la eficacia del TAR de rescate</w:t>
      </w:r>
      <w:r w:rsidRPr="008E6026">
        <w:rPr>
          <w:rFonts w:ascii="Arial" w:hAnsi="Arial" w:cs="Arial"/>
          <w:highlight w:val="yellow"/>
        </w:rPr>
        <w:t>, por lo que no debe usarse en rutina clínica, excepto para ajustar dosis si existen interacciones farmacológicas, o en pacientes con</w:t>
      </w:r>
      <w:r w:rsidRPr="006F35A7">
        <w:rPr>
          <w:rFonts w:ascii="Arial" w:hAnsi="Arial" w:cs="Arial"/>
        </w:rPr>
        <w:t xml:space="preserve"> peso extremo o insuficiencia hepática o renal.</w:t>
      </w:r>
    </w:p>
    <w:p w14:paraId="09F75B74" w14:textId="77777777" w:rsidR="00802EB8" w:rsidRDefault="00802EB8" w:rsidP="00802EB8">
      <w:pPr>
        <w:spacing w:before="120" w:after="120" w:line="276" w:lineRule="auto"/>
        <w:jc w:val="both"/>
        <w:rPr>
          <w:rFonts w:ascii="Arial" w:hAnsi="Arial" w:cs="Arial"/>
          <w:b/>
          <w:bCs/>
          <w:color w:val="AE1C1F"/>
        </w:rPr>
      </w:pPr>
    </w:p>
    <w:p w14:paraId="717C2690" w14:textId="77777777" w:rsidR="00802EB8" w:rsidRPr="00E954ED" w:rsidRDefault="00802EB8" w:rsidP="00802EB8">
      <w:pPr>
        <w:spacing w:before="120" w:after="120" w:line="276" w:lineRule="auto"/>
        <w:jc w:val="both"/>
        <w:rPr>
          <w:rFonts w:ascii="Arial" w:hAnsi="Arial" w:cs="Arial"/>
          <w:b/>
          <w:bCs/>
          <w:i/>
          <w:color w:val="000000" w:themeColor="text1"/>
        </w:rPr>
      </w:pPr>
      <w:r w:rsidRPr="00E954ED">
        <w:rPr>
          <w:rFonts w:ascii="Arial" w:hAnsi="Arial" w:cs="Arial"/>
          <w:b/>
          <w:bCs/>
          <w:i/>
          <w:color w:val="000000" w:themeColor="text1"/>
        </w:rPr>
        <w:t>Recomendaciones generales ante un fracaso virológico</w:t>
      </w:r>
    </w:p>
    <w:p w14:paraId="42E04FB5" w14:textId="77777777" w:rsidR="00802EB8" w:rsidRPr="0043618A" w:rsidRDefault="00802EB8" w:rsidP="00802EB8">
      <w:pPr>
        <w:numPr>
          <w:ilvl w:val="0"/>
          <w:numId w:val="7"/>
        </w:numPr>
        <w:spacing w:before="120" w:after="120" w:line="276" w:lineRule="auto"/>
        <w:jc w:val="both"/>
        <w:rPr>
          <w:rFonts w:ascii="Arial" w:hAnsi="Arial" w:cs="Arial"/>
          <w:lang w:eastAsia="en-US"/>
        </w:rPr>
      </w:pPr>
      <w:r w:rsidRPr="0043618A">
        <w:rPr>
          <w:rFonts w:ascii="Arial" w:hAnsi="Arial" w:cs="Arial"/>
          <w:lang w:eastAsia="en-US"/>
        </w:rPr>
        <w:t>Se debe</w:t>
      </w:r>
      <w:r>
        <w:rPr>
          <w:rFonts w:ascii="Arial" w:hAnsi="Arial" w:cs="Arial"/>
          <w:lang w:eastAsia="en-US"/>
        </w:rPr>
        <w:t>n</w:t>
      </w:r>
      <w:r w:rsidRPr="0043618A">
        <w:rPr>
          <w:rFonts w:ascii="Arial" w:hAnsi="Arial" w:cs="Arial"/>
          <w:lang w:eastAsia="en-US"/>
        </w:rPr>
        <w:t xml:space="preserve"> analizar las causas que motivaron el fracaso</w:t>
      </w:r>
      <w:r>
        <w:rPr>
          <w:rFonts w:ascii="Arial" w:hAnsi="Arial" w:cs="Arial"/>
          <w:lang w:eastAsia="en-US"/>
        </w:rPr>
        <w:t xml:space="preserve">, </w:t>
      </w:r>
      <w:r w:rsidRPr="0043618A">
        <w:rPr>
          <w:rFonts w:ascii="Arial" w:hAnsi="Arial" w:cs="Arial"/>
          <w:lang w:eastAsia="en-US"/>
        </w:rPr>
        <w:t>la historia farmacológica y los fracasos previos. El nuevo TAR debe ser lo más cómodo y bien tolerado posible (</w:t>
      </w:r>
      <w:r w:rsidRPr="0043618A">
        <w:rPr>
          <w:rFonts w:ascii="Arial" w:hAnsi="Arial" w:cs="Arial"/>
          <w:b/>
          <w:bCs/>
          <w:i/>
          <w:iCs/>
          <w:lang w:eastAsia="en-US"/>
        </w:rPr>
        <w:t>A-III</w:t>
      </w:r>
      <w:r w:rsidRPr="0043618A">
        <w:rPr>
          <w:rFonts w:ascii="Arial" w:hAnsi="Arial" w:cs="Arial"/>
          <w:lang w:eastAsia="en-US"/>
        </w:rPr>
        <w:t>)</w:t>
      </w:r>
      <w:r>
        <w:rPr>
          <w:rFonts w:ascii="Arial" w:hAnsi="Arial" w:cs="Arial"/>
          <w:lang w:eastAsia="en-US"/>
        </w:rPr>
        <w:t>.</w:t>
      </w:r>
    </w:p>
    <w:p w14:paraId="325EB416" w14:textId="77777777" w:rsidR="00802EB8" w:rsidRPr="0043618A" w:rsidRDefault="00802EB8" w:rsidP="00802EB8">
      <w:pPr>
        <w:numPr>
          <w:ilvl w:val="0"/>
          <w:numId w:val="7"/>
        </w:numPr>
        <w:spacing w:before="120" w:after="120" w:line="276" w:lineRule="auto"/>
        <w:jc w:val="both"/>
        <w:rPr>
          <w:rFonts w:ascii="Arial" w:hAnsi="Arial" w:cs="Arial"/>
          <w:lang w:eastAsia="en-US"/>
        </w:rPr>
      </w:pPr>
      <w:r w:rsidRPr="0043618A">
        <w:rPr>
          <w:rFonts w:ascii="Arial" w:hAnsi="Arial" w:cs="Arial"/>
          <w:lang w:eastAsia="en-US"/>
        </w:rPr>
        <w:t xml:space="preserve">El cambio del TAR por FV debe efectuarse precozmente para evitar la acumulación de </w:t>
      </w:r>
      <w:r>
        <w:rPr>
          <w:rFonts w:ascii="Arial" w:hAnsi="Arial" w:cs="Arial"/>
          <w:lang w:eastAsia="en-US"/>
        </w:rPr>
        <w:t>MR</w:t>
      </w:r>
      <w:r w:rsidRPr="0043618A">
        <w:rPr>
          <w:rFonts w:ascii="Arial" w:hAnsi="Arial" w:cs="Arial"/>
          <w:lang w:eastAsia="en-US"/>
        </w:rPr>
        <w:t xml:space="preserve"> y facilitar la respuesta al nuevo tratamiento</w:t>
      </w:r>
      <w:r w:rsidRPr="0043618A">
        <w:rPr>
          <w:rFonts w:ascii="Arial" w:hAnsi="Arial" w:cs="Arial"/>
          <w:b/>
          <w:bCs/>
          <w:i/>
          <w:iCs/>
          <w:lang w:eastAsia="en-US"/>
        </w:rPr>
        <w:t xml:space="preserve"> (A-III)</w:t>
      </w:r>
      <w:r>
        <w:rPr>
          <w:rFonts w:ascii="Arial" w:hAnsi="Arial" w:cs="Arial"/>
          <w:b/>
          <w:bCs/>
          <w:i/>
          <w:iCs/>
          <w:lang w:eastAsia="en-US"/>
        </w:rPr>
        <w:t>.</w:t>
      </w:r>
    </w:p>
    <w:p w14:paraId="762F87F4" w14:textId="77777777" w:rsidR="00802EB8" w:rsidRPr="0043618A" w:rsidRDefault="00802EB8" w:rsidP="00802EB8">
      <w:pPr>
        <w:numPr>
          <w:ilvl w:val="0"/>
          <w:numId w:val="7"/>
        </w:numPr>
        <w:spacing w:before="120" w:after="120" w:line="276" w:lineRule="auto"/>
        <w:jc w:val="both"/>
        <w:rPr>
          <w:rFonts w:ascii="Arial" w:hAnsi="Arial" w:cs="Arial"/>
          <w:lang w:eastAsia="en-US"/>
        </w:rPr>
      </w:pPr>
      <w:r w:rsidRPr="0013073F">
        <w:rPr>
          <w:rFonts w:ascii="Arial" w:hAnsi="Arial" w:cs="Arial"/>
          <w:highlight w:val="yellow"/>
          <w:lang w:eastAsia="en-US"/>
        </w:rPr>
        <w:t>Para confeccionar un régimen de rescate óptimo, se</w:t>
      </w:r>
      <w:r w:rsidRPr="0043618A">
        <w:rPr>
          <w:rFonts w:ascii="Arial" w:hAnsi="Arial" w:cs="Arial"/>
          <w:lang w:eastAsia="en-US"/>
        </w:rPr>
        <w:t xml:space="preserve"> debe realizar un estudio de resistencias </w:t>
      </w:r>
      <w:r w:rsidRPr="0013073F">
        <w:rPr>
          <w:rFonts w:ascii="Arial" w:hAnsi="Arial" w:cs="Arial"/>
          <w:highlight w:val="yellow"/>
          <w:lang w:eastAsia="en-US"/>
        </w:rPr>
        <w:t>en plasma</w:t>
      </w:r>
      <w:r w:rsidRPr="0043618A">
        <w:rPr>
          <w:rFonts w:ascii="Arial" w:hAnsi="Arial" w:cs="Arial"/>
          <w:lang w:eastAsia="en-US"/>
        </w:rPr>
        <w:t xml:space="preserve"> y</w:t>
      </w:r>
      <w:r w:rsidRPr="0013073F">
        <w:rPr>
          <w:rFonts w:ascii="Arial" w:hAnsi="Arial" w:cs="Arial"/>
          <w:highlight w:val="yellow"/>
          <w:lang w:eastAsia="en-US"/>
        </w:rPr>
        <w:t xml:space="preserve">, si se plantea usar MVC y no se conoce que el virus sea ya </w:t>
      </w:r>
      <w:r>
        <w:rPr>
          <w:rFonts w:ascii="Arial" w:hAnsi="Arial" w:cs="Arial"/>
          <w:highlight w:val="yellow"/>
          <w:lang w:eastAsia="en-US"/>
        </w:rPr>
        <w:t>no-R5</w:t>
      </w:r>
      <w:r w:rsidRPr="0013073F">
        <w:rPr>
          <w:rFonts w:ascii="Arial" w:hAnsi="Arial" w:cs="Arial"/>
          <w:highlight w:val="yellow"/>
          <w:lang w:eastAsia="en-US"/>
        </w:rPr>
        <w:t>, determinar el tropismo viral.</w:t>
      </w:r>
      <w:r w:rsidRPr="0043618A">
        <w:rPr>
          <w:rFonts w:ascii="Arial" w:hAnsi="Arial" w:cs="Arial"/>
          <w:lang w:eastAsia="en-US"/>
        </w:rPr>
        <w:t xml:space="preserve"> </w:t>
      </w:r>
      <w:r w:rsidRPr="0013073F">
        <w:rPr>
          <w:rFonts w:ascii="Arial" w:hAnsi="Arial" w:cs="Arial"/>
          <w:highlight w:val="yellow"/>
          <w:lang w:eastAsia="en-US"/>
        </w:rPr>
        <w:t>D</w:t>
      </w:r>
      <w:r w:rsidRPr="0043618A">
        <w:rPr>
          <w:rFonts w:ascii="Arial" w:hAnsi="Arial" w:cs="Arial"/>
          <w:lang w:eastAsia="en-US"/>
        </w:rPr>
        <w:t xml:space="preserve">eben valorarse todas las MR detectadas </w:t>
      </w:r>
      <w:r w:rsidRPr="0013073F">
        <w:rPr>
          <w:rFonts w:ascii="Arial" w:hAnsi="Arial" w:cs="Arial"/>
          <w:highlight w:val="yellow"/>
          <w:lang w:eastAsia="en-US"/>
        </w:rPr>
        <w:t>en genotipos previos</w:t>
      </w:r>
      <w:r w:rsidRPr="0043618A">
        <w:rPr>
          <w:rFonts w:ascii="Arial" w:hAnsi="Arial" w:cs="Arial"/>
          <w:lang w:eastAsia="en-US"/>
        </w:rPr>
        <w:t xml:space="preserve"> (</w:t>
      </w:r>
      <w:r w:rsidRPr="0043618A">
        <w:rPr>
          <w:rFonts w:ascii="Arial" w:hAnsi="Arial" w:cs="Arial"/>
          <w:b/>
          <w:bCs/>
          <w:i/>
          <w:iCs/>
          <w:lang w:eastAsia="en-US"/>
        </w:rPr>
        <w:t>A-I</w:t>
      </w:r>
      <w:r w:rsidRPr="0043618A">
        <w:rPr>
          <w:rFonts w:ascii="Arial" w:hAnsi="Arial" w:cs="Arial"/>
          <w:lang w:eastAsia="en-US"/>
        </w:rPr>
        <w:t>)</w:t>
      </w:r>
      <w:r>
        <w:rPr>
          <w:rFonts w:ascii="Arial" w:hAnsi="Arial" w:cs="Arial"/>
          <w:lang w:eastAsia="en-US"/>
        </w:rPr>
        <w:t>.</w:t>
      </w:r>
    </w:p>
    <w:p w14:paraId="187FA549" w14:textId="77777777" w:rsidR="00802EB8" w:rsidRPr="00516B46" w:rsidRDefault="00802EB8" w:rsidP="00802EB8">
      <w:pPr>
        <w:numPr>
          <w:ilvl w:val="0"/>
          <w:numId w:val="7"/>
        </w:numPr>
        <w:spacing w:before="120" w:after="120" w:line="276" w:lineRule="auto"/>
        <w:jc w:val="both"/>
        <w:rPr>
          <w:rFonts w:ascii="Arial" w:hAnsi="Arial" w:cs="Arial"/>
          <w:lang w:eastAsia="en-US"/>
        </w:rPr>
      </w:pPr>
      <w:r w:rsidRPr="0043618A">
        <w:rPr>
          <w:rFonts w:ascii="Arial" w:hAnsi="Arial" w:cs="Arial"/>
          <w:lang w:eastAsia="en-US"/>
        </w:rPr>
        <w:lastRenderedPageBreak/>
        <w:t xml:space="preserve">El nuevo TAR debe contener 3 FAR totalmente activos. Si no es posible, se </w:t>
      </w:r>
      <w:r w:rsidRPr="006224DA">
        <w:rPr>
          <w:rFonts w:ascii="Arial" w:hAnsi="Arial" w:cs="Arial"/>
          <w:lang w:eastAsia="en-US"/>
        </w:rPr>
        <w:t xml:space="preserve">recomienda la combinación de 2 FAR plenamente activos y </w:t>
      </w:r>
      <w:r w:rsidRPr="00FD01EA">
        <w:rPr>
          <w:rFonts w:ascii="Arial" w:hAnsi="Arial" w:cs="Arial"/>
          <w:lang w:eastAsia="en-US"/>
        </w:rPr>
        <w:t>si es posible</w:t>
      </w:r>
      <w:r w:rsidRPr="006224DA">
        <w:rPr>
          <w:rFonts w:ascii="Arial" w:hAnsi="Arial" w:cs="Arial"/>
          <w:lang w:eastAsia="en-US"/>
        </w:rPr>
        <w:t xml:space="preserve"> otros que conserven</w:t>
      </w:r>
      <w:r w:rsidRPr="0043618A">
        <w:rPr>
          <w:rFonts w:ascii="Arial" w:hAnsi="Arial" w:cs="Arial"/>
          <w:lang w:eastAsia="en-US"/>
        </w:rPr>
        <w:t xml:space="preserve"> actividad virológica parcial </w:t>
      </w:r>
      <w:r w:rsidRPr="0043618A">
        <w:rPr>
          <w:rFonts w:ascii="Arial" w:hAnsi="Arial" w:cs="Arial"/>
          <w:b/>
          <w:bCs/>
          <w:i/>
          <w:iCs/>
          <w:lang w:eastAsia="en-US"/>
        </w:rPr>
        <w:t xml:space="preserve">(A-I). </w:t>
      </w:r>
    </w:p>
    <w:p w14:paraId="73F4AEEB" w14:textId="77777777" w:rsidR="00802EB8" w:rsidRDefault="00802EB8" w:rsidP="00802EB8">
      <w:pPr>
        <w:numPr>
          <w:ilvl w:val="0"/>
          <w:numId w:val="7"/>
        </w:numPr>
        <w:spacing w:before="120" w:after="120" w:line="276" w:lineRule="auto"/>
        <w:jc w:val="both"/>
        <w:rPr>
          <w:rFonts w:ascii="Arial" w:hAnsi="Arial" w:cs="Arial"/>
          <w:lang w:eastAsia="en-US"/>
        </w:rPr>
      </w:pPr>
      <w:r w:rsidRPr="0043618A">
        <w:rPr>
          <w:rFonts w:ascii="Arial" w:hAnsi="Arial" w:cs="Arial"/>
          <w:lang w:eastAsia="en-US"/>
        </w:rPr>
        <w:t>Pautas con solo 2 FAR completamente activos, basadas en IP/p, pueden ser razonables cuando no es posible utilizar ITIAN ni construir un régimen sencillo con 3 fármacos activos (</w:t>
      </w:r>
      <w:r w:rsidRPr="0043618A">
        <w:rPr>
          <w:rFonts w:ascii="Arial" w:hAnsi="Arial" w:cs="Arial"/>
          <w:b/>
          <w:bCs/>
          <w:i/>
          <w:iCs/>
          <w:lang w:eastAsia="en-US"/>
        </w:rPr>
        <w:t>A-I</w:t>
      </w:r>
      <w:r w:rsidRPr="0043618A">
        <w:rPr>
          <w:rFonts w:ascii="Arial" w:hAnsi="Arial" w:cs="Arial"/>
          <w:lang w:eastAsia="en-US"/>
        </w:rPr>
        <w:t>)</w:t>
      </w:r>
      <w:r>
        <w:rPr>
          <w:rFonts w:ascii="Arial" w:hAnsi="Arial" w:cs="Arial"/>
          <w:lang w:eastAsia="en-US"/>
        </w:rPr>
        <w:t xml:space="preserve"> (ver apartado 5.5.2).</w:t>
      </w:r>
    </w:p>
    <w:p w14:paraId="0CE75F91" w14:textId="77777777" w:rsidR="00802EB8" w:rsidRPr="00FD01EA" w:rsidRDefault="00802EB8" w:rsidP="00802EB8">
      <w:pPr>
        <w:pStyle w:val="Prrafodelista"/>
        <w:numPr>
          <w:ilvl w:val="0"/>
          <w:numId w:val="7"/>
        </w:numPr>
        <w:spacing w:line="276" w:lineRule="auto"/>
        <w:jc w:val="both"/>
        <w:rPr>
          <w:rFonts w:ascii="Arial" w:hAnsi="Arial" w:cs="Arial"/>
          <w:lang w:eastAsia="en-US"/>
        </w:rPr>
      </w:pPr>
      <w:r>
        <w:rPr>
          <w:rFonts w:ascii="Arial" w:hAnsi="Arial" w:cs="Arial"/>
          <w:highlight w:val="yellow"/>
        </w:rPr>
        <w:t>L</w:t>
      </w:r>
      <w:r w:rsidRPr="0013073F">
        <w:rPr>
          <w:rFonts w:ascii="Arial" w:hAnsi="Arial" w:cs="Arial"/>
          <w:highlight w:val="yellow"/>
        </w:rPr>
        <w:t>os pacientes con VHB deberán mantener un TAR con TDF/XTC independientemente de la susceptibilidad del VIH al mismo, para evitar rebrotes de replicación de VHB.</w:t>
      </w:r>
      <w:r>
        <w:rPr>
          <w:rFonts w:ascii="Arial" w:hAnsi="Arial" w:cs="Arial"/>
          <w:highlight w:val="yellow"/>
        </w:rPr>
        <w:t xml:space="preserve"> </w:t>
      </w:r>
      <w:r w:rsidRPr="00E527D1">
        <w:rPr>
          <w:rFonts w:ascii="Arial" w:hAnsi="Arial" w:cs="Arial"/>
          <w:b/>
          <w:i/>
          <w:highlight w:val="yellow"/>
        </w:rPr>
        <w:t>(A-I)</w:t>
      </w:r>
    </w:p>
    <w:p w14:paraId="2349EA43" w14:textId="77777777" w:rsidR="00802EB8" w:rsidRDefault="00802EB8" w:rsidP="00802EB8">
      <w:pPr>
        <w:autoSpaceDE w:val="0"/>
        <w:autoSpaceDN w:val="0"/>
        <w:adjustRightInd w:val="0"/>
        <w:spacing w:before="120" w:after="120" w:line="276" w:lineRule="auto"/>
        <w:jc w:val="both"/>
        <w:rPr>
          <w:rFonts w:ascii="Arial" w:hAnsi="Arial" w:cs="Arial"/>
          <w:lang w:eastAsia="en-US"/>
        </w:rPr>
      </w:pPr>
    </w:p>
    <w:p w14:paraId="65ACC2BC" w14:textId="77777777" w:rsidR="00802EB8" w:rsidRPr="0043618A" w:rsidRDefault="00802EB8" w:rsidP="00802EB8">
      <w:pPr>
        <w:autoSpaceDE w:val="0"/>
        <w:autoSpaceDN w:val="0"/>
        <w:adjustRightInd w:val="0"/>
        <w:spacing w:before="120" w:after="120" w:line="276" w:lineRule="auto"/>
        <w:jc w:val="both"/>
        <w:rPr>
          <w:rFonts w:ascii="Arial" w:hAnsi="Arial" w:cs="Arial"/>
          <w:b/>
          <w:color w:val="AE1C1F"/>
        </w:rPr>
      </w:pPr>
      <w:r w:rsidRPr="0043618A">
        <w:rPr>
          <w:rFonts w:ascii="Arial" w:hAnsi="Arial" w:cs="Arial"/>
          <w:b/>
          <w:color w:val="AE1C1F"/>
        </w:rPr>
        <w:t>5.5. Escenarios clínicos de fracaso virológico</w:t>
      </w:r>
    </w:p>
    <w:p w14:paraId="2FB7A18E" w14:textId="77777777" w:rsidR="00802EB8" w:rsidRPr="00F17ED3" w:rsidRDefault="00802EB8" w:rsidP="00802EB8">
      <w:pPr>
        <w:autoSpaceDE w:val="0"/>
        <w:autoSpaceDN w:val="0"/>
        <w:adjustRightInd w:val="0"/>
        <w:spacing w:before="120" w:after="120" w:line="276" w:lineRule="auto"/>
        <w:jc w:val="both"/>
        <w:rPr>
          <w:rFonts w:ascii="Arial" w:hAnsi="Arial" w:cs="Arial"/>
          <w:b/>
          <w:i/>
          <w:iCs/>
          <w:color w:val="AE1C1F"/>
        </w:rPr>
      </w:pPr>
      <w:r w:rsidRPr="00F17ED3">
        <w:rPr>
          <w:rFonts w:ascii="Arial" w:hAnsi="Arial" w:cs="Arial"/>
          <w:b/>
          <w:i/>
          <w:iCs/>
          <w:color w:val="AE1C1F"/>
        </w:rPr>
        <w:t>5.5.1.</w:t>
      </w:r>
      <w:r>
        <w:rPr>
          <w:rFonts w:ascii="Arial" w:hAnsi="Arial" w:cs="Arial"/>
          <w:b/>
          <w:i/>
          <w:iCs/>
          <w:color w:val="AE1C1F"/>
        </w:rPr>
        <w:t xml:space="preserve"> </w:t>
      </w:r>
      <w:r w:rsidRPr="00F17ED3">
        <w:rPr>
          <w:rFonts w:ascii="Arial" w:hAnsi="Arial" w:cs="Arial"/>
          <w:b/>
          <w:i/>
          <w:iCs/>
          <w:color w:val="AE1C1F"/>
        </w:rPr>
        <w:t>Fracaso virológico con viremias bajas</w:t>
      </w:r>
    </w:p>
    <w:p w14:paraId="32BD96B5" w14:textId="77777777" w:rsidR="00802EB8" w:rsidRPr="0043618A" w:rsidRDefault="00802EB8" w:rsidP="00802EB8">
      <w:pPr>
        <w:autoSpaceDE w:val="0"/>
        <w:autoSpaceDN w:val="0"/>
        <w:adjustRightInd w:val="0"/>
        <w:spacing w:before="120" w:after="120" w:line="276" w:lineRule="auto"/>
        <w:jc w:val="both"/>
        <w:rPr>
          <w:rFonts w:ascii="Arial" w:hAnsi="Arial" w:cs="Arial"/>
        </w:rPr>
      </w:pPr>
      <w:r w:rsidRPr="0043618A">
        <w:rPr>
          <w:rFonts w:ascii="Arial" w:hAnsi="Arial" w:cs="Arial"/>
        </w:rPr>
        <w:t>Bajo este epígrafe se consideran 2 situaciones:</w:t>
      </w:r>
    </w:p>
    <w:p w14:paraId="2E4B7A97" w14:textId="77777777" w:rsidR="00802EB8" w:rsidRPr="00F17ED3" w:rsidRDefault="00802EB8" w:rsidP="00802EB8">
      <w:pPr>
        <w:autoSpaceDE w:val="0"/>
        <w:autoSpaceDN w:val="0"/>
        <w:adjustRightInd w:val="0"/>
        <w:spacing w:before="120" w:after="120" w:line="276" w:lineRule="auto"/>
        <w:jc w:val="both"/>
        <w:rPr>
          <w:rFonts w:ascii="Arial" w:hAnsi="Arial" w:cs="Arial"/>
          <w:b/>
          <w:i/>
          <w:color w:val="000000"/>
        </w:rPr>
      </w:pPr>
      <w:r w:rsidRPr="00F17ED3">
        <w:rPr>
          <w:rFonts w:ascii="Arial" w:hAnsi="Arial" w:cs="Arial"/>
          <w:b/>
          <w:bCs/>
          <w:i/>
          <w:color w:val="000000"/>
        </w:rPr>
        <w:t>a) Viremias de muy bajo nivel</w:t>
      </w:r>
      <w:r>
        <w:rPr>
          <w:rFonts w:ascii="Arial" w:hAnsi="Arial" w:cs="Arial"/>
          <w:b/>
          <w:bCs/>
          <w:i/>
          <w:color w:val="000000"/>
        </w:rPr>
        <w:t>:</w:t>
      </w:r>
      <w:r w:rsidRPr="00F17ED3">
        <w:rPr>
          <w:rFonts w:ascii="Arial" w:hAnsi="Arial" w:cs="Arial"/>
          <w:b/>
          <w:bCs/>
          <w:i/>
          <w:color w:val="000000"/>
        </w:rPr>
        <w:t xml:space="preserve"> CVP de 50-200 copias/mL</w:t>
      </w:r>
    </w:p>
    <w:p w14:paraId="20AACEB8" w14:textId="77777777" w:rsidR="00802EB8" w:rsidRPr="00F17ED3" w:rsidRDefault="00802EB8" w:rsidP="00802EB8">
      <w:pPr>
        <w:autoSpaceDE w:val="0"/>
        <w:autoSpaceDN w:val="0"/>
        <w:adjustRightInd w:val="0"/>
        <w:spacing w:before="120" w:after="120" w:line="276" w:lineRule="auto"/>
        <w:jc w:val="both"/>
        <w:rPr>
          <w:rFonts w:ascii="Arial" w:hAnsi="Arial" w:cs="Arial"/>
        </w:rPr>
      </w:pPr>
      <w:r w:rsidRPr="008E6026">
        <w:rPr>
          <w:rFonts w:ascii="Arial" w:hAnsi="Arial" w:cs="Arial"/>
          <w:highlight w:val="yellow"/>
        </w:rPr>
        <w:t>Existe discusión sobre la actitud terapéutica más adecuada en esta situación, porque:</w:t>
      </w:r>
    </w:p>
    <w:p w14:paraId="53C936D8" w14:textId="77777777" w:rsidR="00802EB8" w:rsidRPr="0043618A" w:rsidRDefault="00802EB8" w:rsidP="00802EB8">
      <w:pPr>
        <w:pStyle w:val="Prrafodelista"/>
        <w:numPr>
          <w:ilvl w:val="0"/>
          <w:numId w:val="9"/>
        </w:numPr>
        <w:autoSpaceDE w:val="0"/>
        <w:autoSpaceDN w:val="0"/>
        <w:adjustRightInd w:val="0"/>
        <w:spacing w:before="120" w:after="120" w:line="276" w:lineRule="auto"/>
        <w:jc w:val="both"/>
        <w:rPr>
          <w:rFonts w:ascii="Arial" w:hAnsi="Arial" w:cs="Arial"/>
        </w:rPr>
      </w:pPr>
      <w:r w:rsidRPr="00F17ED3">
        <w:rPr>
          <w:rFonts w:ascii="Arial" w:hAnsi="Arial" w:cs="Arial"/>
        </w:rPr>
        <w:t>Las pruebas que utilizan técnicas de PCR en tiempo real (TaqMan® o Abbott RealTime®) presentan mayor sensibilidad para detectar viremias de muy bajo nivel</w:t>
      </w:r>
      <w:r w:rsidRPr="00F17ED3">
        <w:rPr>
          <w:rFonts w:ascii="Arial" w:hAnsi="Arial" w:cs="Arial"/>
          <w:noProof/>
          <w:vertAlign w:val="superscript"/>
        </w:rPr>
        <w:t>6,7</w:t>
      </w:r>
      <w:r w:rsidRPr="008E6026">
        <w:rPr>
          <w:rFonts w:ascii="Arial" w:hAnsi="Arial" w:cs="Arial"/>
          <w:highlight w:val="yellow"/>
        </w:rPr>
        <w:t>, siendo más susceptibles a falsos positivos técnicos</w:t>
      </w:r>
      <w:r w:rsidRPr="00F17ED3">
        <w:rPr>
          <w:rFonts w:ascii="Arial" w:hAnsi="Arial" w:cs="Arial"/>
        </w:rPr>
        <w:t>.</w:t>
      </w:r>
    </w:p>
    <w:p w14:paraId="6949D9AD" w14:textId="77777777" w:rsidR="00802EB8" w:rsidRPr="0043618A" w:rsidRDefault="00802EB8" w:rsidP="00802EB8">
      <w:pPr>
        <w:pStyle w:val="Prrafodelista"/>
        <w:numPr>
          <w:ilvl w:val="0"/>
          <w:numId w:val="9"/>
        </w:numPr>
        <w:autoSpaceDE w:val="0"/>
        <w:autoSpaceDN w:val="0"/>
        <w:adjustRightInd w:val="0"/>
        <w:spacing w:before="120" w:after="120" w:line="276" w:lineRule="auto"/>
        <w:jc w:val="both"/>
        <w:rPr>
          <w:rFonts w:ascii="Arial" w:hAnsi="Arial" w:cs="Arial"/>
        </w:rPr>
      </w:pPr>
      <w:r w:rsidRPr="008E6026">
        <w:rPr>
          <w:rFonts w:ascii="Arial" w:hAnsi="Arial" w:cs="Arial"/>
          <w:highlight w:val="yellow"/>
        </w:rPr>
        <w:t xml:space="preserve">La </w:t>
      </w:r>
      <w:r>
        <w:rPr>
          <w:rFonts w:ascii="Arial" w:hAnsi="Arial" w:cs="Arial"/>
          <w:highlight w:val="yellow"/>
        </w:rPr>
        <w:t>viremia de muy bajo nivel</w:t>
      </w:r>
      <w:r w:rsidRPr="008E6026">
        <w:rPr>
          <w:rFonts w:ascii="Arial" w:hAnsi="Arial" w:cs="Arial"/>
          <w:highlight w:val="yellow"/>
        </w:rPr>
        <w:t xml:space="preserve"> persistente puede ocasionarse a partir de la integración del VIH en una región transcripcionalmente activa de una población de </w:t>
      </w:r>
      <w:r>
        <w:rPr>
          <w:rFonts w:ascii="Arial" w:hAnsi="Arial" w:cs="Arial"/>
          <w:highlight w:val="yellow"/>
        </w:rPr>
        <w:t xml:space="preserve">linfocitos </w:t>
      </w:r>
      <w:r w:rsidRPr="008E6026">
        <w:rPr>
          <w:rFonts w:ascii="Arial" w:hAnsi="Arial" w:cs="Arial"/>
          <w:highlight w:val="yellow"/>
        </w:rPr>
        <w:t>CD4 + clonalmente expandida, sin que en realidad exista replicación viral</w:t>
      </w:r>
      <w:r w:rsidRPr="008E6026">
        <w:rPr>
          <w:rFonts w:ascii="Arial" w:hAnsi="Arial" w:cs="Arial"/>
          <w:highlight w:val="yellow"/>
          <w:vertAlign w:val="superscript"/>
        </w:rPr>
        <w:t>7b</w:t>
      </w:r>
      <w:r w:rsidRPr="0043618A">
        <w:rPr>
          <w:rFonts w:ascii="Arial" w:hAnsi="Arial" w:cs="Arial"/>
        </w:rPr>
        <w:t xml:space="preserve">. </w:t>
      </w:r>
    </w:p>
    <w:p w14:paraId="5130C08D" w14:textId="77777777" w:rsidR="00802EB8" w:rsidRPr="0043618A" w:rsidRDefault="00802EB8" w:rsidP="00802EB8">
      <w:pPr>
        <w:pStyle w:val="Prrafodelista"/>
        <w:numPr>
          <w:ilvl w:val="0"/>
          <w:numId w:val="9"/>
        </w:numPr>
        <w:autoSpaceDE w:val="0"/>
        <w:autoSpaceDN w:val="0"/>
        <w:adjustRightInd w:val="0"/>
        <w:spacing w:before="120" w:after="120" w:line="276" w:lineRule="auto"/>
        <w:jc w:val="both"/>
        <w:rPr>
          <w:rFonts w:ascii="Arial" w:hAnsi="Arial" w:cs="Arial"/>
        </w:rPr>
      </w:pPr>
      <w:r>
        <w:rPr>
          <w:rFonts w:ascii="Arial" w:hAnsi="Arial" w:cs="Arial"/>
        </w:rPr>
        <w:t>Por otro lado</w:t>
      </w:r>
      <w:r w:rsidRPr="0043618A">
        <w:rPr>
          <w:rFonts w:ascii="Arial" w:hAnsi="Arial" w:cs="Arial"/>
        </w:rPr>
        <w:t>, a</w:t>
      </w:r>
      <w:r w:rsidRPr="00F17ED3">
        <w:rPr>
          <w:rFonts w:ascii="Arial" w:hAnsi="Arial" w:cs="Arial"/>
        </w:rPr>
        <w:t>lgunos estudios han mostrado un mayor riesgo de FV</w:t>
      </w:r>
      <w:r w:rsidRPr="00F17ED3">
        <w:rPr>
          <w:rFonts w:ascii="Arial" w:hAnsi="Arial" w:cs="Arial"/>
          <w:noProof/>
          <w:vertAlign w:val="superscript"/>
        </w:rPr>
        <w:t>8,9,</w:t>
      </w:r>
      <w:r w:rsidRPr="008E6026">
        <w:rPr>
          <w:rFonts w:ascii="Arial" w:hAnsi="Arial" w:cs="Arial"/>
          <w:noProof/>
          <w:highlight w:val="yellow"/>
          <w:vertAlign w:val="superscript"/>
        </w:rPr>
        <w:t>10,11</w:t>
      </w:r>
      <w:r w:rsidRPr="00F17ED3">
        <w:rPr>
          <w:rFonts w:ascii="Arial" w:hAnsi="Arial" w:cs="Arial"/>
        </w:rPr>
        <w:t xml:space="preserve"> y de desarrollo de MR</w:t>
      </w:r>
      <w:r w:rsidRPr="00F17ED3">
        <w:rPr>
          <w:rFonts w:ascii="Arial" w:hAnsi="Arial" w:cs="Arial"/>
          <w:noProof/>
          <w:vertAlign w:val="superscript"/>
        </w:rPr>
        <w:t>10</w:t>
      </w:r>
      <w:r w:rsidRPr="00F17ED3">
        <w:rPr>
          <w:rFonts w:ascii="Arial" w:hAnsi="Arial" w:cs="Arial"/>
        </w:rPr>
        <w:t xml:space="preserve"> en estos pacientes</w:t>
      </w:r>
      <w:r>
        <w:rPr>
          <w:rFonts w:ascii="Arial" w:hAnsi="Arial" w:cs="Arial"/>
        </w:rPr>
        <w:t xml:space="preserve">. </w:t>
      </w:r>
      <w:r w:rsidRPr="008E6026">
        <w:rPr>
          <w:rFonts w:ascii="Arial" w:hAnsi="Arial" w:cs="Arial"/>
          <w:highlight w:val="yellow"/>
        </w:rPr>
        <w:t>Sin embargo, las diferencias absolutas son pequeñas</w:t>
      </w:r>
      <w:r w:rsidRPr="008E6026">
        <w:rPr>
          <w:rFonts w:ascii="Arial" w:hAnsi="Arial" w:cs="Arial"/>
          <w:highlight w:val="yellow"/>
          <w:vertAlign w:val="superscript"/>
        </w:rPr>
        <w:t xml:space="preserve">8,10 </w:t>
      </w:r>
      <w:r w:rsidRPr="008E6026">
        <w:rPr>
          <w:rFonts w:ascii="Arial" w:hAnsi="Arial" w:cs="Arial"/>
          <w:highlight w:val="yellow"/>
        </w:rPr>
        <w:t>y afectan más a pacientes pre</w:t>
      </w:r>
      <w:r>
        <w:rPr>
          <w:rFonts w:ascii="Arial" w:hAnsi="Arial" w:cs="Arial"/>
          <w:highlight w:val="yellow"/>
        </w:rPr>
        <w:t>-</w:t>
      </w:r>
      <w:r w:rsidRPr="008E6026">
        <w:rPr>
          <w:rFonts w:ascii="Arial" w:hAnsi="Arial" w:cs="Arial"/>
          <w:highlight w:val="yellow"/>
        </w:rPr>
        <w:t>tratados que a pacientes</w:t>
      </w:r>
      <w:r w:rsidRPr="00F17ED3">
        <w:rPr>
          <w:rFonts w:ascii="Arial" w:hAnsi="Arial" w:cs="Arial"/>
        </w:rPr>
        <w:t xml:space="preserve"> </w:t>
      </w:r>
      <w:r w:rsidRPr="00F17ED3">
        <w:rPr>
          <w:rFonts w:ascii="Arial" w:hAnsi="Arial" w:cs="Arial"/>
          <w:i/>
        </w:rPr>
        <w:t>naive</w:t>
      </w:r>
      <w:r w:rsidRPr="00F17ED3">
        <w:rPr>
          <w:rFonts w:ascii="Arial" w:hAnsi="Arial" w:cs="Arial"/>
          <w:noProof/>
          <w:vertAlign w:val="superscript"/>
        </w:rPr>
        <w:t>11</w:t>
      </w:r>
      <w:r w:rsidRPr="00F17ED3">
        <w:rPr>
          <w:rFonts w:ascii="Arial" w:hAnsi="Arial" w:cs="Arial"/>
        </w:rPr>
        <w:t xml:space="preserve">. </w:t>
      </w:r>
    </w:p>
    <w:p w14:paraId="5657C0FB" w14:textId="77777777" w:rsidR="00802EB8" w:rsidRPr="008E6026" w:rsidRDefault="00802EB8" w:rsidP="00802EB8">
      <w:pPr>
        <w:pStyle w:val="Prrafodelista"/>
        <w:numPr>
          <w:ilvl w:val="0"/>
          <w:numId w:val="9"/>
        </w:numPr>
        <w:autoSpaceDE w:val="0"/>
        <w:autoSpaceDN w:val="0"/>
        <w:adjustRightInd w:val="0"/>
        <w:spacing w:before="120" w:after="120" w:line="276" w:lineRule="auto"/>
        <w:jc w:val="both"/>
        <w:rPr>
          <w:rFonts w:ascii="Arial" w:hAnsi="Arial" w:cs="Arial"/>
          <w:highlight w:val="yellow"/>
        </w:rPr>
      </w:pPr>
      <w:r w:rsidRPr="008E6026">
        <w:rPr>
          <w:rFonts w:ascii="Arial" w:hAnsi="Arial" w:cs="Arial"/>
          <w:highlight w:val="yellow"/>
        </w:rPr>
        <w:t xml:space="preserve">Es difícil amplificar material genómico suficiente para realizar </w:t>
      </w:r>
      <w:r>
        <w:rPr>
          <w:rFonts w:ascii="Arial" w:hAnsi="Arial" w:cs="Arial"/>
          <w:highlight w:val="yellow"/>
        </w:rPr>
        <w:t>una prueba</w:t>
      </w:r>
      <w:r w:rsidRPr="008E6026">
        <w:rPr>
          <w:rFonts w:ascii="Arial" w:hAnsi="Arial" w:cs="Arial"/>
          <w:highlight w:val="yellow"/>
        </w:rPr>
        <w:t xml:space="preserve"> genotípic</w:t>
      </w:r>
      <w:r>
        <w:rPr>
          <w:rFonts w:ascii="Arial" w:hAnsi="Arial" w:cs="Arial"/>
          <w:highlight w:val="yellow"/>
        </w:rPr>
        <w:t>a</w:t>
      </w:r>
      <w:r w:rsidRPr="008E6026">
        <w:rPr>
          <w:rFonts w:ascii="Arial" w:hAnsi="Arial" w:cs="Arial"/>
          <w:highlight w:val="yellow"/>
        </w:rPr>
        <w:t xml:space="preserve"> de MR en plasma</w:t>
      </w:r>
      <w:r w:rsidRPr="008E6026">
        <w:rPr>
          <w:rFonts w:ascii="Arial" w:hAnsi="Arial" w:cs="Arial"/>
          <w:i/>
          <w:highlight w:val="yellow"/>
        </w:rPr>
        <w:t xml:space="preserve">, </w:t>
      </w:r>
      <w:r w:rsidRPr="008E6026">
        <w:rPr>
          <w:rFonts w:ascii="Arial" w:hAnsi="Arial" w:cs="Arial"/>
          <w:highlight w:val="yellow"/>
        </w:rPr>
        <w:t>aunque</w:t>
      </w:r>
      <w:r w:rsidRPr="0043618A">
        <w:rPr>
          <w:rFonts w:ascii="Arial" w:hAnsi="Arial" w:cs="Arial"/>
        </w:rPr>
        <w:t xml:space="preserve"> se puede aumentar </w:t>
      </w:r>
      <w:r w:rsidRPr="008E6026">
        <w:rPr>
          <w:rFonts w:ascii="Arial" w:hAnsi="Arial" w:cs="Arial"/>
          <w:highlight w:val="yellow"/>
        </w:rPr>
        <w:t>un poco</w:t>
      </w:r>
      <w:r w:rsidRPr="0043618A">
        <w:rPr>
          <w:rFonts w:ascii="Arial" w:hAnsi="Arial" w:cs="Arial"/>
        </w:rPr>
        <w:t xml:space="preserve"> la sensibilidad </w:t>
      </w:r>
      <w:r w:rsidRPr="008E6026">
        <w:rPr>
          <w:rFonts w:ascii="Arial" w:hAnsi="Arial" w:cs="Arial"/>
          <w:highlight w:val="yellow"/>
        </w:rPr>
        <w:t>del test</w:t>
      </w:r>
      <w:r w:rsidRPr="0043618A">
        <w:rPr>
          <w:rFonts w:ascii="Arial" w:hAnsi="Arial" w:cs="Arial"/>
        </w:rPr>
        <w:t xml:space="preserve"> concentrando el virus a partir de un volumen mayor de plasma (3 ml)</w:t>
      </w:r>
      <w:r w:rsidRPr="0043618A">
        <w:rPr>
          <w:rFonts w:ascii="Arial" w:hAnsi="Arial" w:cs="Arial"/>
          <w:noProof/>
          <w:vertAlign w:val="superscript"/>
        </w:rPr>
        <w:t>12</w:t>
      </w:r>
      <w:r w:rsidRPr="008E6026">
        <w:rPr>
          <w:rFonts w:ascii="Arial" w:hAnsi="Arial" w:cs="Arial"/>
          <w:highlight w:val="yellow"/>
        </w:rPr>
        <w:t>. Aunque</w:t>
      </w:r>
      <w:r w:rsidRPr="0043618A">
        <w:rPr>
          <w:rFonts w:ascii="Arial" w:hAnsi="Arial" w:cs="Arial"/>
        </w:rPr>
        <w:t xml:space="preserve"> los estudios genotípicos en ADN proviral </w:t>
      </w:r>
      <w:r w:rsidRPr="008E6026">
        <w:rPr>
          <w:rFonts w:ascii="Arial" w:hAnsi="Arial" w:cs="Arial"/>
          <w:highlight w:val="yellow"/>
        </w:rPr>
        <w:t>suponen una respuesta técnica a esta limitación</w:t>
      </w:r>
      <w:r w:rsidRPr="008E6026">
        <w:rPr>
          <w:rFonts w:ascii="Arial" w:hAnsi="Arial" w:cs="Arial"/>
          <w:noProof/>
          <w:highlight w:val="yellow"/>
          <w:vertAlign w:val="superscript"/>
          <w:lang w:eastAsia="en-US"/>
        </w:rPr>
        <w:t>13</w:t>
      </w:r>
      <w:r w:rsidRPr="0043618A">
        <w:rPr>
          <w:rFonts w:ascii="Arial" w:hAnsi="Arial" w:cs="Arial"/>
        </w:rPr>
        <w:t xml:space="preserve">, </w:t>
      </w:r>
      <w:r w:rsidRPr="008E6026">
        <w:rPr>
          <w:rFonts w:ascii="Arial" w:hAnsi="Arial" w:cs="Arial"/>
          <w:highlight w:val="yellow"/>
        </w:rPr>
        <w:t>no están validados para el manejo clínico de pacientes (ver punto 5.4)</w:t>
      </w:r>
    </w:p>
    <w:p w14:paraId="7F933C44" w14:textId="77777777" w:rsidR="00802EB8" w:rsidRPr="0043618A" w:rsidRDefault="00802EB8" w:rsidP="00802EB8">
      <w:pPr>
        <w:autoSpaceDE w:val="0"/>
        <w:autoSpaceDN w:val="0"/>
        <w:adjustRightInd w:val="0"/>
        <w:spacing w:before="120" w:after="120" w:line="276" w:lineRule="auto"/>
        <w:jc w:val="both"/>
        <w:rPr>
          <w:rFonts w:ascii="Arial" w:hAnsi="Arial" w:cs="Arial"/>
        </w:rPr>
      </w:pPr>
    </w:p>
    <w:p w14:paraId="4E7BE9CC" w14:textId="77777777" w:rsidR="00802EB8" w:rsidRPr="00F17ED3" w:rsidRDefault="00802EB8" w:rsidP="00802EB8">
      <w:pPr>
        <w:autoSpaceDE w:val="0"/>
        <w:autoSpaceDN w:val="0"/>
        <w:adjustRightInd w:val="0"/>
        <w:spacing w:before="120" w:after="120" w:line="276" w:lineRule="auto"/>
        <w:jc w:val="both"/>
        <w:rPr>
          <w:rFonts w:ascii="Arial" w:hAnsi="Arial" w:cs="Arial"/>
          <w:b/>
          <w:i/>
          <w:color w:val="000000"/>
        </w:rPr>
      </w:pPr>
      <w:r w:rsidRPr="00F17ED3">
        <w:rPr>
          <w:rFonts w:ascii="Arial" w:hAnsi="Arial" w:cs="Arial"/>
          <w:b/>
          <w:bCs/>
          <w:i/>
          <w:color w:val="000000"/>
        </w:rPr>
        <w:t>b) Viremias de bajo nivel: CVP: 200-1000 copias/mL</w:t>
      </w:r>
    </w:p>
    <w:p w14:paraId="02C522EF" w14:textId="77777777" w:rsidR="00802EB8" w:rsidRDefault="00802EB8" w:rsidP="00802EB8">
      <w:pPr>
        <w:autoSpaceDE w:val="0"/>
        <w:autoSpaceDN w:val="0"/>
        <w:adjustRightInd w:val="0"/>
        <w:spacing w:before="120" w:after="120" w:line="276" w:lineRule="auto"/>
        <w:jc w:val="both"/>
        <w:rPr>
          <w:rFonts w:ascii="Arial" w:hAnsi="Arial" w:cs="Arial"/>
          <w:color w:val="000000"/>
          <w:lang w:eastAsia="en-US"/>
        </w:rPr>
      </w:pPr>
      <w:r w:rsidRPr="0043618A">
        <w:rPr>
          <w:rFonts w:ascii="Arial" w:hAnsi="Arial" w:cs="Arial"/>
          <w:lang w:eastAsia="en-US"/>
        </w:rPr>
        <w:t xml:space="preserve">La presencia de CVP de </w:t>
      </w:r>
      <w:r w:rsidRPr="0043618A">
        <w:rPr>
          <w:rFonts w:ascii="Arial" w:hAnsi="Arial" w:cs="Arial"/>
          <w:i/>
          <w:iCs/>
          <w:lang w:eastAsia="en-US"/>
        </w:rPr>
        <w:t>200-1000 copias/mL</w:t>
      </w:r>
      <w:r w:rsidRPr="0043618A">
        <w:rPr>
          <w:rFonts w:ascii="Arial" w:hAnsi="Arial" w:cs="Arial"/>
          <w:lang w:eastAsia="en-US"/>
        </w:rPr>
        <w:t xml:space="preserve"> se asocia a un mayor riesgo de FV</w:t>
      </w:r>
      <w:r w:rsidRPr="0043618A">
        <w:rPr>
          <w:rFonts w:ascii="Arial" w:hAnsi="Arial" w:cs="Arial"/>
          <w:noProof/>
          <w:vertAlign w:val="superscript"/>
          <w:lang w:eastAsia="en-US"/>
        </w:rPr>
        <w:t xml:space="preserve">8,9,13,14 </w:t>
      </w:r>
      <w:r w:rsidRPr="0043618A">
        <w:rPr>
          <w:rFonts w:ascii="Arial" w:hAnsi="Arial" w:cs="Arial"/>
          <w:lang w:eastAsia="en-US"/>
        </w:rPr>
        <w:t>y de selección de MR</w:t>
      </w:r>
      <w:r w:rsidRPr="0043618A">
        <w:rPr>
          <w:rFonts w:ascii="Arial" w:hAnsi="Arial" w:cs="Arial"/>
          <w:noProof/>
          <w:vertAlign w:val="superscript"/>
          <w:lang w:eastAsia="en-US"/>
        </w:rPr>
        <w:t>7</w:t>
      </w:r>
      <w:r w:rsidRPr="0043618A">
        <w:rPr>
          <w:rFonts w:ascii="Arial" w:hAnsi="Arial" w:cs="Arial"/>
          <w:lang w:eastAsia="en-US"/>
        </w:rPr>
        <w:t xml:space="preserve">, </w:t>
      </w:r>
      <w:r w:rsidRPr="002E19E3">
        <w:rPr>
          <w:rFonts w:ascii="Arial" w:hAnsi="Arial" w:cs="Arial"/>
          <w:highlight w:val="yellow"/>
          <w:lang w:eastAsia="en-US"/>
        </w:rPr>
        <w:t>por lo que</w:t>
      </w:r>
      <w:r w:rsidRPr="0043618A">
        <w:rPr>
          <w:rFonts w:ascii="Arial" w:hAnsi="Arial" w:cs="Arial"/>
          <w:lang w:eastAsia="en-US"/>
        </w:rPr>
        <w:t xml:space="preserve"> debe considerarse un FV. Ante esta situación es preciso un estudio genotípico y elaborar una pauta de rescate </w:t>
      </w:r>
      <w:r w:rsidRPr="0043618A">
        <w:rPr>
          <w:rFonts w:ascii="Arial" w:hAnsi="Arial" w:cs="Arial"/>
          <w:lang w:eastAsia="en-US"/>
        </w:rPr>
        <w:lastRenderedPageBreak/>
        <w:t>teniendo en cuenta las MR, los FV previos, los</w:t>
      </w:r>
      <w:r w:rsidRPr="0043618A">
        <w:rPr>
          <w:rFonts w:ascii="Arial" w:hAnsi="Arial" w:cs="Arial"/>
          <w:color w:val="000000"/>
          <w:lang w:eastAsia="en-US"/>
        </w:rPr>
        <w:t xml:space="preserve"> problemas de adherencia, la toxicidad, el riesgo de interacciones y la comodidad de los FAR. </w:t>
      </w:r>
    </w:p>
    <w:p w14:paraId="5FD9ECE9" w14:textId="77777777" w:rsidR="00802EB8" w:rsidRDefault="00802EB8" w:rsidP="00802EB8">
      <w:pPr>
        <w:autoSpaceDE w:val="0"/>
        <w:autoSpaceDN w:val="0"/>
        <w:adjustRightInd w:val="0"/>
        <w:spacing w:before="120" w:after="120" w:line="276" w:lineRule="auto"/>
        <w:jc w:val="both"/>
        <w:rPr>
          <w:rFonts w:ascii="Arial" w:hAnsi="Arial" w:cs="Arial"/>
          <w:b/>
          <w:i/>
          <w:highlight w:val="yellow"/>
        </w:rPr>
      </w:pPr>
    </w:p>
    <w:p w14:paraId="4662886E" w14:textId="77777777" w:rsidR="00802EB8" w:rsidRDefault="00802EB8" w:rsidP="00802EB8">
      <w:pPr>
        <w:autoSpaceDE w:val="0"/>
        <w:autoSpaceDN w:val="0"/>
        <w:adjustRightInd w:val="0"/>
        <w:spacing w:before="120" w:after="120" w:line="276" w:lineRule="auto"/>
        <w:jc w:val="both"/>
        <w:rPr>
          <w:rFonts w:ascii="Arial" w:hAnsi="Arial" w:cs="Arial"/>
          <w:highlight w:val="yellow"/>
        </w:rPr>
      </w:pPr>
      <w:r>
        <w:rPr>
          <w:rFonts w:ascii="Arial" w:hAnsi="Arial" w:cs="Arial"/>
          <w:b/>
          <w:i/>
          <w:highlight w:val="yellow"/>
        </w:rPr>
        <w:t>Recomendaciones en viremias bajas</w:t>
      </w:r>
    </w:p>
    <w:p w14:paraId="4D18B003" w14:textId="77777777" w:rsidR="00802EB8" w:rsidRPr="004F2D45" w:rsidRDefault="00802EB8" w:rsidP="00802EB8">
      <w:pPr>
        <w:pStyle w:val="Prrafodelista"/>
        <w:numPr>
          <w:ilvl w:val="0"/>
          <w:numId w:val="48"/>
        </w:numPr>
        <w:autoSpaceDE w:val="0"/>
        <w:autoSpaceDN w:val="0"/>
        <w:adjustRightInd w:val="0"/>
        <w:spacing w:before="120" w:after="120" w:line="276" w:lineRule="auto"/>
        <w:jc w:val="both"/>
        <w:rPr>
          <w:rFonts w:ascii="Arial" w:hAnsi="Arial" w:cs="Arial"/>
        </w:rPr>
      </w:pPr>
      <w:r w:rsidRPr="004F2D45">
        <w:rPr>
          <w:rFonts w:ascii="Arial" w:hAnsi="Arial" w:cs="Arial"/>
          <w:highlight w:val="yellow"/>
        </w:rPr>
        <w:t>En ausencia de evidencia sólida,</w:t>
      </w:r>
      <w:r w:rsidRPr="004F2D45">
        <w:rPr>
          <w:rFonts w:ascii="Arial" w:hAnsi="Arial" w:cs="Arial"/>
        </w:rPr>
        <w:t xml:space="preserve"> si el estudio genotípico no muestra MR, se recomienda administrar un TAR con alta barrera genética frente al desarrollo de resistencias</w:t>
      </w:r>
      <w:r w:rsidRPr="004F2D45">
        <w:rPr>
          <w:rFonts w:ascii="Arial" w:hAnsi="Arial" w:cs="Arial"/>
          <w:highlight w:val="yellow"/>
        </w:rPr>
        <w:t>, reforzar la adherencia</w:t>
      </w:r>
      <w:r w:rsidRPr="004F2D45">
        <w:rPr>
          <w:rFonts w:ascii="Arial" w:hAnsi="Arial" w:cs="Arial"/>
        </w:rPr>
        <w:t xml:space="preserve"> y revisar potenciales interacciones </w:t>
      </w:r>
      <w:r w:rsidRPr="00E527D1">
        <w:rPr>
          <w:rFonts w:ascii="Arial" w:hAnsi="Arial" w:cs="Arial"/>
          <w:b/>
          <w:i/>
        </w:rPr>
        <w:t>(A-III).</w:t>
      </w:r>
      <w:r w:rsidRPr="004F2D45">
        <w:rPr>
          <w:rFonts w:ascii="Arial" w:hAnsi="Arial" w:cs="Arial"/>
        </w:rPr>
        <w:t xml:space="preserve"> </w:t>
      </w:r>
    </w:p>
    <w:p w14:paraId="47254AF1" w14:textId="77777777" w:rsidR="00802EB8" w:rsidRPr="004F2D45" w:rsidRDefault="00802EB8" w:rsidP="00802EB8">
      <w:pPr>
        <w:pStyle w:val="Prrafodelista"/>
        <w:numPr>
          <w:ilvl w:val="0"/>
          <w:numId w:val="48"/>
        </w:numPr>
        <w:autoSpaceDE w:val="0"/>
        <w:autoSpaceDN w:val="0"/>
        <w:adjustRightInd w:val="0"/>
        <w:spacing w:before="120" w:after="120" w:line="276" w:lineRule="auto"/>
        <w:jc w:val="both"/>
        <w:rPr>
          <w:rFonts w:ascii="Arial" w:hAnsi="Arial" w:cs="Arial"/>
        </w:rPr>
      </w:pPr>
      <w:r w:rsidRPr="004F2D45">
        <w:rPr>
          <w:rFonts w:ascii="Arial" w:hAnsi="Arial" w:cs="Arial"/>
        </w:rPr>
        <w:t>Particularmente en pacientes pre</w:t>
      </w:r>
      <w:r>
        <w:rPr>
          <w:rFonts w:ascii="Arial" w:hAnsi="Arial" w:cs="Arial"/>
        </w:rPr>
        <w:t>-</w:t>
      </w:r>
      <w:r w:rsidRPr="004F2D45">
        <w:rPr>
          <w:rFonts w:ascii="Arial" w:hAnsi="Arial" w:cs="Arial"/>
        </w:rPr>
        <w:t>tratados, puede ser recomendable un seguimiento clínico más estrecho.</w:t>
      </w:r>
      <w:r>
        <w:rPr>
          <w:rFonts w:ascii="Arial" w:hAnsi="Arial" w:cs="Arial"/>
        </w:rPr>
        <w:t xml:space="preserve"> </w:t>
      </w:r>
      <w:r w:rsidRPr="00E527D1">
        <w:rPr>
          <w:rFonts w:ascii="Arial" w:hAnsi="Arial" w:cs="Arial"/>
          <w:b/>
          <w:i/>
        </w:rPr>
        <w:t>(C-III)</w:t>
      </w:r>
      <w:r w:rsidRPr="004F2D45">
        <w:rPr>
          <w:rFonts w:ascii="Arial" w:hAnsi="Arial" w:cs="Arial"/>
        </w:rPr>
        <w:t xml:space="preserve"> </w:t>
      </w:r>
    </w:p>
    <w:p w14:paraId="7CB8CFF2" w14:textId="77777777" w:rsidR="00802EB8" w:rsidRPr="00FD01EA" w:rsidRDefault="00802EB8" w:rsidP="00802EB8">
      <w:pPr>
        <w:pStyle w:val="Prrafodelista"/>
        <w:numPr>
          <w:ilvl w:val="0"/>
          <w:numId w:val="48"/>
        </w:numPr>
        <w:autoSpaceDE w:val="0"/>
        <w:autoSpaceDN w:val="0"/>
        <w:adjustRightInd w:val="0"/>
        <w:spacing w:before="120" w:after="120" w:line="276" w:lineRule="auto"/>
        <w:jc w:val="both"/>
        <w:rPr>
          <w:rFonts w:ascii="Arial" w:hAnsi="Arial" w:cs="Arial"/>
        </w:rPr>
      </w:pPr>
      <w:r w:rsidRPr="004F2D45">
        <w:rPr>
          <w:rFonts w:ascii="Arial" w:hAnsi="Arial" w:cs="Arial"/>
          <w:highlight w:val="yellow"/>
        </w:rPr>
        <w:t xml:space="preserve">Si, por lo contrario, el test muestra MR, se recomienda actuar como si se tratara de un FV clásico, optimizando el tratamiento según el perfil de MR. </w:t>
      </w:r>
      <w:r w:rsidRPr="00E527D1">
        <w:rPr>
          <w:rFonts w:ascii="Arial" w:hAnsi="Arial" w:cs="Arial"/>
          <w:b/>
          <w:i/>
          <w:highlight w:val="yellow"/>
        </w:rPr>
        <w:t>(A-I)</w:t>
      </w:r>
    </w:p>
    <w:p w14:paraId="590E734B" w14:textId="77777777" w:rsidR="00802EB8" w:rsidRPr="00B83FE5" w:rsidRDefault="00802EB8" w:rsidP="00802EB8">
      <w:pPr>
        <w:pStyle w:val="Prrafodelista"/>
        <w:numPr>
          <w:ilvl w:val="0"/>
          <w:numId w:val="48"/>
        </w:numPr>
        <w:autoSpaceDE w:val="0"/>
        <w:autoSpaceDN w:val="0"/>
        <w:adjustRightInd w:val="0"/>
        <w:spacing w:before="120" w:after="120" w:line="276" w:lineRule="auto"/>
        <w:jc w:val="both"/>
        <w:rPr>
          <w:rFonts w:ascii="Arial" w:hAnsi="Arial" w:cs="Arial"/>
          <w:b/>
          <w:i/>
          <w:color w:val="000000"/>
        </w:rPr>
      </w:pPr>
      <w:r w:rsidRPr="00B83FE5">
        <w:rPr>
          <w:rFonts w:ascii="Arial" w:hAnsi="Arial" w:cs="Arial"/>
          <w:highlight w:val="yellow"/>
        </w:rPr>
        <w:t>No</w:t>
      </w:r>
      <w:r w:rsidRPr="00B83FE5">
        <w:rPr>
          <w:rFonts w:ascii="Arial" w:hAnsi="Arial" w:cs="Arial"/>
        </w:rPr>
        <w:t xml:space="preserve"> se recomienda la intensificación terapéutica añadiendo un solo fármaco activo </w:t>
      </w:r>
      <w:r w:rsidRPr="00E527D1">
        <w:rPr>
          <w:rFonts w:ascii="Arial" w:hAnsi="Arial" w:cs="Arial"/>
          <w:b/>
          <w:i/>
        </w:rPr>
        <w:t>(A-III).</w:t>
      </w:r>
      <w:r w:rsidRPr="00B83FE5">
        <w:rPr>
          <w:rFonts w:ascii="Arial" w:hAnsi="Arial" w:cs="Arial"/>
        </w:rPr>
        <w:t xml:space="preserve"> </w:t>
      </w:r>
    </w:p>
    <w:p w14:paraId="1A69F22B" w14:textId="77777777" w:rsidR="00802EB8" w:rsidRPr="0043618A" w:rsidRDefault="00802EB8" w:rsidP="00802EB8">
      <w:pPr>
        <w:autoSpaceDE w:val="0"/>
        <w:autoSpaceDN w:val="0"/>
        <w:adjustRightInd w:val="0"/>
        <w:spacing w:before="120" w:after="120" w:line="276" w:lineRule="auto"/>
        <w:jc w:val="both"/>
        <w:rPr>
          <w:rFonts w:ascii="Arial" w:hAnsi="Arial" w:cs="Arial"/>
        </w:rPr>
      </w:pPr>
    </w:p>
    <w:p w14:paraId="6D7C2101" w14:textId="77777777" w:rsidR="00802EB8" w:rsidRPr="00F17ED3" w:rsidRDefault="00802EB8" w:rsidP="00802EB8">
      <w:pPr>
        <w:autoSpaceDE w:val="0"/>
        <w:autoSpaceDN w:val="0"/>
        <w:adjustRightInd w:val="0"/>
        <w:spacing w:before="120" w:after="120" w:line="276" w:lineRule="auto"/>
        <w:jc w:val="both"/>
        <w:rPr>
          <w:rFonts w:ascii="Arial" w:hAnsi="Arial" w:cs="Arial"/>
          <w:b/>
          <w:i/>
          <w:iCs/>
          <w:color w:val="AE1C1F"/>
        </w:rPr>
      </w:pPr>
      <w:r w:rsidRPr="00F17ED3">
        <w:rPr>
          <w:rFonts w:ascii="Arial" w:hAnsi="Arial" w:cs="Arial"/>
          <w:b/>
          <w:i/>
          <w:iCs/>
          <w:color w:val="AE1C1F"/>
        </w:rPr>
        <w:t xml:space="preserve">5.5.2. </w:t>
      </w:r>
      <w:r w:rsidRPr="002E19E3">
        <w:rPr>
          <w:rFonts w:ascii="Arial" w:hAnsi="Arial" w:cs="Arial"/>
          <w:b/>
          <w:i/>
          <w:iCs/>
          <w:color w:val="AE1C1F"/>
          <w:highlight w:val="yellow"/>
        </w:rPr>
        <w:t>Primer fracaso</w:t>
      </w:r>
      <w:r w:rsidRPr="00F17ED3">
        <w:rPr>
          <w:rFonts w:ascii="Arial" w:hAnsi="Arial" w:cs="Arial"/>
          <w:b/>
          <w:i/>
          <w:iCs/>
          <w:color w:val="AE1C1F"/>
        </w:rPr>
        <w:t xml:space="preserve"> virológico </w:t>
      </w:r>
    </w:p>
    <w:p w14:paraId="4E0B04D8" w14:textId="77777777" w:rsidR="00802EB8" w:rsidRPr="0043618A" w:rsidRDefault="00802EB8" w:rsidP="00802EB8">
      <w:pPr>
        <w:autoSpaceDE w:val="0"/>
        <w:autoSpaceDN w:val="0"/>
        <w:adjustRightInd w:val="0"/>
        <w:spacing w:before="120" w:after="120" w:line="276" w:lineRule="auto"/>
        <w:jc w:val="both"/>
        <w:rPr>
          <w:rFonts w:ascii="Arial" w:hAnsi="Arial" w:cs="Arial"/>
        </w:rPr>
      </w:pPr>
      <w:r w:rsidRPr="0043618A">
        <w:rPr>
          <w:rFonts w:ascii="Arial" w:hAnsi="Arial" w:cs="Arial"/>
        </w:rPr>
        <w:t xml:space="preserve">Es el fracaso a </w:t>
      </w:r>
      <w:r w:rsidRPr="002E19E3">
        <w:rPr>
          <w:rFonts w:ascii="Arial" w:hAnsi="Arial" w:cs="Arial"/>
          <w:highlight w:val="yellow"/>
        </w:rPr>
        <w:t>la primera</w:t>
      </w:r>
      <w:r w:rsidRPr="0043618A">
        <w:rPr>
          <w:rFonts w:ascii="Arial" w:hAnsi="Arial" w:cs="Arial"/>
        </w:rPr>
        <w:t xml:space="preserve"> línea de TAR. La selección de MR y las pautas de segunda línea difieren dependiendo de la pauta de inicio utilizada. </w:t>
      </w:r>
    </w:p>
    <w:p w14:paraId="17C5B873" w14:textId="77777777" w:rsidR="00802EB8" w:rsidRPr="00B83FE5" w:rsidRDefault="00802EB8" w:rsidP="00802EB8">
      <w:pPr>
        <w:pStyle w:val="Prrafodelista"/>
        <w:numPr>
          <w:ilvl w:val="0"/>
          <w:numId w:val="13"/>
        </w:numPr>
        <w:autoSpaceDE w:val="0"/>
        <w:autoSpaceDN w:val="0"/>
        <w:adjustRightInd w:val="0"/>
        <w:spacing w:before="120" w:after="120" w:line="276" w:lineRule="auto"/>
        <w:jc w:val="both"/>
        <w:rPr>
          <w:rFonts w:ascii="Arial" w:hAnsi="Arial" w:cs="Arial"/>
          <w:highlight w:val="yellow"/>
        </w:rPr>
      </w:pPr>
      <w:r w:rsidRPr="00F17ED3">
        <w:rPr>
          <w:rFonts w:ascii="Arial" w:hAnsi="Arial" w:cs="Arial"/>
          <w:b/>
          <w:i/>
          <w:iCs/>
        </w:rPr>
        <w:t>Fracaso virológico a 2 ITIAN+INI</w:t>
      </w:r>
      <w:r w:rsidRPr="00F17ED3">
        <w:rPr>
          <w:rFonts w:ascii="Arial" w:hAnsi="Arial" w:cs="Arial"/>
          <w:b/>
        </w:rPr>
        <w:t>.</w:t>
      </w:r>
      <w:r w:rsidRPr="00F17ED3">
        <w:rPr>
          <w:rFonts w:ascii="Arial" w:hAnsi="Arial" w:cs="Arial"/>
        </w:rPr>
        <w:t xml:space="preserve"> </w:t>
      </w:r>
      <w:r w:rsidRPr="0043618A">
        <w:rPr>
          <w:rFonts w:ascii="Arial" w:hAnsi="Arial" w:cs="Arial"/>
        </w:rPr>
        <w:t xml:space="preserve">Múltiples ensayos clínicos demuestran </w:t>
      </w:r>
      <w:r w:rsidRPr="0013073F">
        <w:rPr>
          <w:rFonts w:ascii="Arial" w:hAnsi="Arial" w:cs="Arial"/>
          <w:highlight w:val="yellow"/>
        </w:rPr>
        <w:t xml:space="preserve">que en pacientes que inician regímenes triples con DTG o BIC (o terapia doble con DTG+3TC) siendo naïve a los antirretrovirales y sin MR transmitidas, el FV es muy raro y, salvo algún caso anecdótico, no se asocia a MR en la integrasa ni en la RT. Sin embargo, la experiencia fuera de ensayos clínicos puede ser distinta, y en situaciones de baja adherencia o interacciones medicamentosas (con tuberculostáticos, por ejemplo), puede desarrollarse FV con resistencia a </w:t>
      </w:r>
      <w:r>
        <w:rPr>
          <w:rFonts w:ascii="Arial" w:hAnsi="Arial" w:cs="Arial"/>
          <w:highlight w:val="yellow"/>
        </w:rPr>
        <w:t>ITIAN</w:t>
      </w:r>
      <w:r w:rsidRPr="0013073F">
        <w:rPr>
          <w:rFonts w:ascii="Arial" w:hAnsi="Arial" w:cs="Arial"/>
          <w:highlight w:val="yellow"/>
        </w:rPr>
        <w:t xml:space="preserve"> </w:t>
      </w:r>
      <w:r>
        <w:rPr>
          <w:rFonts w:ascii="Arial" w:hAnsi="Arial" w:cs="Arial"/>
          <w:highlight w:val="yellow"/>
        </w:rPr>
        <w:t>e</w:t>
      </w:r>
      <w:r w:rsidRPr="0013073F">
        <w:rPr>
          <w:rFonts w:ascii="Arial" w:hAnsi="Arial" w:cs="Arial"/>
          <w:highlight w:val="yellow"/>
        </w:rPr>
        <w:t xml:space="preserve"> INIs</w:t>
      </w:r>
      <w:r w:rsidRPr="0013073F">
        <w:rPr>
          <w:rFonts w:ascii="Arial" w:hAnsi="Arial" w:cs="Arial"/>
          <w:highlight w:val="yellow"/>
          <w:vertAlign w:val="superscript"/>
        </w:rPr>
        <w:t>14b</w:t>
      </w:r>
      <w:r w:rsidRPr="0013073F">
        <w:rPr>
          <w:rFonts w:ascii="Arial" w:hAnsi="Arial" w:cs="Arial"/>
          <w:highlight w:val="yellow"/>
        </w:rPr>
        <w:t xml:space="preserve">. Por el contrario, el FV a RAL o EVG, suele asociarse a MR cruzadas a </w:t>
      </w:r>
      <w:r>
        <w:rPr>
          <w:rFonts w:ascii="Arial" w:hAnsi="Arial" w:cs="Arial"/>
          <w:highlight w:val="yellow"/>
        </w:rPr>
        <w:t>INIs</w:t>
      </w:r>
      <w:r w:rsidRPr="0013073F">
        <w:rPr>
          <w:rFonts w:ascii="Arial" w:hAnsi="Arial" w:cs="Arial"/>
          <w:highlight w:val="yellow"/>
        </w:rPr>
        <w:t xml:space="preserve">, a menudo acompañadas de MR a ITIAN. RAL y EVG tienen una menor barrera genética y son </w:t>
      </w:r>
      <w:r>
        <w:rPr>
          <w:rFonts w:ascii="Arial" w:hAnsi="Arial" w:cs="Arial"/>
          <w:highlight w:val="yellow"/>
        </w:rPr>
        <w:t>menos</w:t>
      </w:r>
      <w:r w:rsidRPr="0013073F">
        <w:rPr>
          <w:rFonts w:ascii="Arial" w:hAnsi="Arial" w:cs="Arial"/>
          <w:highlight w:val="yellow"/>
        </w:rPr>
        <w:t xml:space="preserve"> utilizados hoy en día como tratamiento inicial.</w:t>
      </w:r>
      <w:r w:rsidRPr="00B83FE5">
        <w:rPr>
          <w:rFonts w:ascii="Arial" w:hAnsi="Arial" w:cs="Arial"/>
          <w:highlight w:val="yellow"/>
        </w:rPr>
        <w:t xml:space="preserve"> </w:t>
      </w:r>
      <w:r w:rsidRPr="00A64DC6">
        <w:rPr>
          <w:rFonts w:ascii="Arial" w:hAnsi="Arial" w:cs="Arial"/>
          <w:highlight w:val="yellow"/>
        </w:rPr>
        <w:t>No existen estudios que evalúen la mejor estrategia tras el FV a DTG o BIC porque son fármacos recientes y se asocian a tasas muy bajas de FV.</w:t>
      </w:r>
      <w:r>
        <w:rPr>
          <w:rFonts w:ascii="Arial" w:hAnsi="Arial" w:cs="Arial"/>
          <w:highlight w:val="yellow"/>
        </w:rPr>
        <w:t xml:space="preserve"> </w:t>
      </w:r>
    </w:p>
    <w:p w14:paraId="1741CF6C" w14:textId="77777777" w:rsidR="00802EB8" w:rsidRPr="002E19E3" w:rsidRDefault="00802EB8" w:rsidP="00802EB8">
      <w:pPr>
        <w:pStyle w:val="Prrafodelista"/>
        <w:spacing w:after="160" w:line="276" w:lineRule="auto"/>
        <w:ind w:left="360"/>
        <w:jc w:val="both"/>
        <w:rPr>
          <w:rFonts w:ascii="Arial" w:hAnsi="Arial" w:cs="Arial"/>
        </w:rPr>
      </w:pPr>
    </w:p>
    <w:p w14:paraId="52BF2C30" w14:textId="77777777" w:rsidR="00802EB8" w:rsidRPr="00FD01EA" w:rsidRDefault="00802EB8" w:rsidP="00802EB8">
      <w:pPr>
        <w:pStyle w:val="Prrafodelista"/>
        <w:numPr>
          <w:ilvl w:val="0"/>
          <w:numId w:val="13"/>
        </w:numPr>
        <w:autoSpaceDE w:val="0"/>
        <w:autoSpaceDN w:val="0"/>
        <w:adjustRightInd w:val="0"/>
        <w:spacing w:before="120" w:after="120" w:line="276" w:lineRule="auto"/>
        <w:jc w:val="both"/>
        <w:rPr>
          <w:rFonts w:ascii="Arial" w:hAnsi="Arial" w:cs="Arial"/>
          <w:highlight w:val="yellow"/>
        </w:rPr>
      </w:pPr>
      <w:r w:rsidRPr="002E19E3">
        <w:rPr>
          <w:rFonts w:ascii="Arial" w:hAnsi="Arial" w:cs="Arial"/>
          <w:b/>
          <w:i/>
          <w:iCs/>
          <w:highlight w:val="yellow"/>
        </w:rPr>
        <w:t>Fracaso virológico a IP/p + 2 ITIAN</w:t>
      </w:r>
      <w:r w:rsidRPr="002E19E3">
        <w:rPr>
          <w:rFonts w:ascii="Arial" w:hAnsi="Arial" w:cs="Arial"/>
          <w:b/>
          <w:highlight w:val="yellow"/>
        </w:rPr>
        <w:t>.</w:t>
      </w:r>
      <w:r w:rsidRPr="002E19E3">
        <w:rPr>
          <w:rFonts w:ascii="Arial" w:hAnsi="Arial" w:cs="Arial"/>
          <w:highlight w:val="yellow"/>
        </w:rPr>
        <w:t xml:space="preserve">  </w:t>
      </w:r>
      <w:r w:rsidRPr="004F2D45">
        <w:rPr>
          <w:rFonts w:ascii="Arial" w:hAnsi="Arial" w:cs="Arial"/>
        </w:rPr>
        <w:t>En los pacientes que fracasan a una pauta inicial con IP/</w:t>
      </w:r>
      <w:r>
        <w:rPr>
          <w:rFonts w:ascii="Arial" w:hAnsi="Arial" w:cs="Arial"/>
        </w:rPr>
        <w:t>p</w:t>
      </w:r>
      <w:r w:rsidRPr="004F2D45">
        <w:rPr>
          <w:rFonts w:ascii="Arial" w:hAnsi="Arial" w:cs="Arial"/>
        </w:rPr>
        <w:t xml:space="preserve"> + 2 ITIAN, el FV se debe habitualmente a mala adherencia.</w:t>
      </w:r>
      <w:r w:rsidRPr="004F2D45">
        <w:rPr>
          <w:rFonts w:ascii="Arial" w:hAnsi="Arial" w:cs="Arial"/>
          <w:highlight w:val="yellow"/>
        </w:rPr>
        <w:t xml:space="preserve"> La probabilidad d</w:t>
      </w:r>
      <w:r w:rsidRPr="002E19E3">
        <w:rPr>
          <w:rFonts w:ascii="Arial" w:hAnsi="Arial" w:cs="Arial"/>
          <w:highlight w:val="yellow"/>
        </w:rPr>
        <w:t>e seleccionar MR a IP potenciados en pacientes naïve a los ARV es prácticamente nula. Además, los IP/p protegen frente a la selección de MR a los ITIAN acompañantes, observándose sólo, y muy raramente, la M184V</w:t>
      </w:r>
      <w:r w:rsidRPr="0013073F">
        <w:rPr>
          <w:rFonts w:ascii="Arial" w:hAnsi="Arial" w:cs="Arial"/>
        </w:rPr>
        <w:t>. Una revisión sistemática en pacientes con fracaso a una pauta de inicio con IP/</w:t>
      </w:r>
      <w:r w:rsidRPr="00FD01EA">
        <w:rPr>
          <w:rFonts w:ascii="Arial" w:hAnsi="Arial" w:cs="Arial"/>
        </w:rPr>
        <w:t xml:space="preserve">p + 2 ITIAN, sin MR, demostró que mantener el mismo TAR es igual de eficaz que cambiar a una pauta de rescate con FAR </w:t>
      </w:r>
      <w:r w:rsidRPr="00FD01EA">
        <w:rPr>
          <w:rFonts w:ascii="Arial" w:hAnsi="Arial" w:cs="Arial"/>
        </w:rPr>
        <w:lastRenderedPageBreak/>
        <w:t xml:space="preserve">de otras familias, especialmente en </w:t>
      </w:r>
      <w:r w:rsidRPr="00FD01EA">
        <w:rPr>
          <w:rFonts w:ascii="Arial" w:hAnsi="Arial" w:cs="Arial"/>
          <w:highlight w:val="yellow"/>
        </w:rPr>
        <w:t>personas</w:t>
      </w:r>
      <w:r w:rsidRPr="00FD01EA">
        <w:rPr>
          <w:rFonts w:ascii="Arial" w:hAnsi="Arial" w:cs="Arial"/>
        </w:rPr>
        <w:t xml:space="preserve"> con cifras elevadas de linfocitos CD4+</w:t>
      </w:r>
      <w:r w:rsidRPr="00FD01EA">
        <w:rPr>
          <w:rFonts w:ascii="Arial" w:hAnsi="Arial" w:cs="Arial"/>
          <w:noProof/>
          <w:vertAlign w:val="superscript"/>
        </w:rPr>
        <w:t>15</w:t>
      </w:r>
      <w:r w:rsidRPr="00FD01EA">
        <w:rPr>
          <w:rFonts w:ascii="Arial" w:hAnsi="Arial" w:cs="Arial"/>
        </w:rPr>
        <w:t xml:space="preserve">. </w:t>
      </w:r>
    </w:p>
    <w:p w14:paraId="0B0F11FF" w14:textId="77777777" w:rsidR="00802EB8" w:rsidRPr="00FD01EA" w:rsidRDefault="00802EB8" w:rsidP="00802EB8">
      <w:pPr>
        <w:pStyle w:val="Prrafodelista"/>
        <w:numPr>
          <w:ilvl w:val="0"/>
          <w:numId w:val="13"/>
        </w:numPr>
        <w:autoSpaceDE w:val="0"/>
        <w:autoSpaceDN w:val="0"/>
        <w:adjustRightInd w:val="0"/>
        <w:spacing w:before="120" w:after="120" w:line="276" w:lineRule="auto"/>
        <w:jc w:val="both"/>
        <w:rPr>
          <w:rFonts w:ascii="Arial" w:hAnsi="Arial" w:cs="Arial"/>
          <w:highlight w:val="yellow"/>
          <w:lang w:eastAsia="en-US"/>
        </w:rPr>
      </w:pPr>
      <w:r w:rsidRPr="00FD01EA">
        <w:rPr>
          <w:rFonts w:ascii="Arial" w:hAnsi="Arial" w:cs="Arial"/>
          <w:b/>
        </w:rPr>
        <w:t>Fracaso virológico a 2 ITIAN+ITINN.</w:t>
      </w:r>
      <w:r w:rsidRPr="00FD01EA">
        <w:rPr>
          <w:rFonts w:ascii="Arial" w:hAnsi="Arial" w:cs="Arial"/>
        </w:rPr>
        <w:t xml:space="preserve"> </w:t>
      </w:r>
      <w:r w:rsidRPr="00FD01EA">
        <w:rPr>
          <w:rFonts w:ascii="Arial" w:hAnsi="Arial" w:cs="Arial"/>
          <w:highlight w:val="yellow"/>
        </w:rPr>
        <w:t>El FV a</w:t>
      </w:r>
      <w:r w:rsidRPr="00FD01EA">
        <w:rPr>
          <w:rFonts w:ascii="Arial" w:hAnsi="Arial" w:cs="Arial"/>
        </w:rPr>
        <w:t xml:space="preserve"> EFV o NVP </w:t>
      </w:r>
      <w:r w:rsidRPr="00FD01EA">
        <w:rPr>
          <w:rFonts w:ascii="Arial" w:hAnsi="Arial" w:cs="Arial"/>
          <w:highlight w:val="yellow"/>
        </w:rPr>
        <w:t>frecuentemente se asocia al desarrollo de MR, sobretodo:</w:t>
      </w:r>
      <w:r w:rsidRPr="00FD01EA">
        <w:rPr>
          <w:rFonts w:ascii="Arial" w:hAnsi="Arial" w:cs="Arial"/>
        </w:rPr>
        <w:t xml:space="preserve"> K103N, L100I o Y181C. El FV </w:t>
      </w:r>
      <w:r w:rsidRPr="00FD01EA">
        <w:rPr>
          <w:rFonts w:ascii="Arial" w:hAnsi="Arial" w:cs="Arial"/>
          <w:highlight w:val="yellow"/>
        </w:rPr>
        <w:t>a</w:t>
      </w:r>
      <w:r w:rsidRPr="00FD01EA">
        <w:rPr>
          <w:rFonts w:ascii="Arial" w:hAnsi="Arial" w:cs="Arial"/>
        </w:rPr>
        <w:t xml:space="preserve"> RPV selecciona preferentemente las MR E138K y Y181C, que confieren resistencia cruzada a todos los ITINN. </w:t>
      </w:r>
      <w:r w:rsidRPr="00FD01EA">
        <w:rPr>
          <w:rFonts w:ascii="Arial" w:hAnsi="Arial" w:cs="Arial"/>
          <w:highlight w:val="yellow"/>
        </w:rPr>
        <w:t>EL FV a DOR selecciona las mutaciones V106I y F227C, así como A98C.</w:t>
      </w:r>
      <w:r w:rsidRPr="00FD01EA">
        <w:rPr>
          <w:rFonts w:ascii="Arial" w:hAnsi="Arial" w:cs="Arial"/>
        </w:rPr>
        <w:t xml:space="preserve"> El FV a ITINN </w:t>
      </w:r>
      <w:r w:rsidRPr="00FD01EA">
        <w:rPr>
          <w:rFonts w:ascii="Arial" w:hAnsi="Arial" w:cs="Arial"/>
          <w:highlight w:val="yellow"/>
        </w:rPr>
        <w:t>suele</w:t>
      </w:r>
      <w:r w:rsidRPr="00FD01EA">
        <w:rPr>
          <w:rFonts w:ascii="Arial" w:hAnsi="Arial" w:cs="Arial"/>
        </w:rPr>
        <w:t xml:space="preserve"> acompañarse </w:t>
      </w:r>
      <w:r w:rsidRPr="00FD01EA">
        <w:rPr>
          <w:rFonts w:ascii="Arial" w:hAnsi="Arial" w:cs="Arial"/>
          <w:highlight w:val="yellow"/>
        </w:rPr>
        <w:t>también</w:t>
      </w:r>
      <w:r w:rsidRPr="00FD01EA">
        <w:rPr>
          <w:rFonts w:ascii="Arial" w:hAnsi="Arial" w:cs="Arial"/>
        </w:rPr>
        <w:t xml:space="preserve"> de MR a ITIAN, especialmente M184V/I y, con menor frecuencia, K65R. </w:t>
      </w:r>
      <w:r w:rsidRPr="00FD01EA">
        <w:rPr>
          <w:rFonts w:ascii="Arial" w:hAnsi="Arial" w:cs="Arial"/>
          <w:highlight w:val="yellow"/>
        </w:rPr>
        <w:t>El estudio DAWNING</w:t>
      </w:r>
      <w:r w:rsidRPr="00FD01EA">
        <w:rPr>
          <w:rFonts w:ascii="Arial" w:hAnsi="Arial" w:cs="Arial"/>
          <w:noProof/>
          <w:highlight w:val="yellow"/>
          <w:vertAlign w:val="superscript"/>
          <w:lang w:eastAsia="en-US"/>
        </w:rPr>
        <w:t>17</w:t>
      </w:r>
      <w:r w:rsidRPr="00FD01EA">
        <w:rPr>
          <w:rFonts w:ascii="Arial" w:hAnsi="Arial" w:cs="Arial"/>
          <w:highlight w:val="yellow"/>
        </w:rPr>
        <w:t xml:space="preserve"> demostró que en pacientes que fracasan a ITINNs, el cambio a DTG es superior al cambio a un régimen con LPV/r, incluso en presencia de MR a uno de los ITIAN. </w:t>
      </w:r>
      <w:r w:rsidRPr="00FD01EA">
        <w:rPr>
          <w:rFonts w:ascii="Arial" w:hAnsi="Arial" w:cs="Arial"/>
          <w:highlight w:val="yellow"/>
          <w:lang w:eastAsia="en-US"/>
        </w:rPr>
        <w:t>En el mismo escenario, tres ensayos clínicos demostraron la no inferioridad de la biterapia con LPV/r + RAL frente a LPV/r + 2 o 3 ITIAN</w:t>
      </w:r>
      <w:r w:rsidRPr="00FD01EA">
        <w:rPr>
          <w:rFonts w:ascii="Arial" w:hAnsi="Arial" w:cs="Arial"/>
          <w:noProof/>
          <w:highlight w:val="yellow"/>
          <w:vertAlign w:val="superscript"/>
          <w:lang w:eastAsia="en-US"/>
        </w:rPr>
        <w:t xml:space="preserve">18-20. </w:t>
      </w:r>
    </w:p>
    <w:p w14:paraId="5C320DF8" w14:textId="77777777" w:rsidR="00802EB8" w:rsidRPr="00104A00" w:rsidRDefault="00802EB8" w:rsidP="00802EB8">
      <w:pPr>
        <w:autoSpaceDE w:val="0"/>
        <w:autoSpaceDN w:val="0"/>
        <w:adjustRightInd w:val="0"/>
        <w:spacing w:before="120" w:after="120" w:line="276" w:lineRule="auto"/>
        <w:jc w:val="both"/>
        <w:rPr>
          <w:rFonts w:ascii="Arial" w:hAnsi="Arial" w:cs="Arial"/>
          <w:highlight w:val="yellow"/>
        </w:rPr>
      </w:pPr>
    </w:p>
    <w:p w14:paraId="074ED4FD" w14:textId="77777777" w:rsidR="00802EB8" w:rsidRPr="00C40A9D" w:rsidRDefault="00802EB8" w:rsidP="00802EB8">
      <w:pPr>
        <w:autoSpaceDE w:val="0"/>
        <w:autoSpaceDN w:val="0"/>
        <w:adjustRightInd w:val="0"/>
        <w:spacing w:before="120" w:after="120" w:line="276" w:lineRule="auto"/>
        <w:jc w:val="both"/>
        <w:rPr>
          <w:rFonts w:ascii="Arial" w:hAnsi="Arial" w:cs="Arial"/>
          <w:b/>
          <w:i/>
          <w:highlight w:val="yellow"/>
        </w:rPr>
      </w:pPr>
      <w:r w:rsidRPr="00C40A9D">
        <w:rPr>
          <w:rFonts w:ascii="Arial" w:hAnsi="Arial" w:cs="Arial"/>
          <w:b/>
          <w:i/>
          <w:highlight w:val="yellow"/>
        </w:rPr>
        <w:t xml:space="preserve">Recomendaciones </w:t>
      </w:r>
      <w:r>
        <w:rPr>
          <w:rFonts w:ascii="Arial" w:hAnsi="Arial" w:cs="Arial"/>
          <w:b/>
          <w:i/>
          <w:highlight w:val="yellow"/>
        </w:rPr>
        <w:t>en</w:t>
      </w:r>
      <w:r w:rsidRPr="00C40A9D">
        <w:rPr>
          <w:rFonts w:ascii="Arial" w:hAnsi="Arial" w:cs="Arial"/>
          <w:b/>
          <w:i/>
          <w:highlight w:val="yellow"/>
        </w:rPr>
        <w:t xml:space="preserve"> primer fracaso virológico: </w:t>
      </w:r>
    </w:p>
    <w:p w14:paraId="764DA4FB" w14:textId="77777777" w:rsidR="00802EB8" w:rsidRPr="00B83FE5" w:rsidRDefault="00802EB8" w:rsidP="00802EB8">
      <w:pPr>
        <w:pStyle w:val="Prrafodelista"/>
        <w:numPr>
          <w:ilvl w:val="0"/>
          <w:numId w:val="47"/>
        </w:numPr>
        <w:autoSpaceDE w:val="0"/>
        <w:autoSpaceDN w:val="0"/>
        <w:adjustRightInd w:val="0"/>
        <w:spacing w:before="120" w:after="120" w:line="276" w:lineRule="auto"/>
        <w:jc w:val="both"/>
        <w:rPr>
          <w:rFonts w:ascii="Arial" w:hAnsi="Arial" w:cs="Arial"/>
          <w:highlight w:val="yellow"/>
        </w:rPr>
      </w:pPr>
      <w:r w:rsidRPr="004F2D45">
        <w:rPr>
          <w:rFonts w:ascii="Arial" w:hAnsi="Arial" w:cs="Arial"/>
          <w:highlight w:val="yellow"/>
        </w:rPr>
        <w:t xml:space="preserve">El diseño del TAR tras un FV dependerá del resultado del test de resistencias. Si existen MR, se adecuarán los cambios de TAR a las mismas, con el objetivo de conseguir un TAR de rescate plenamente activo </w:t>
      </w:r>
      <w:r w:rsidRPr="00E527D1">
        <w:rPr>
          <w:rFonts w:ascii="Arial" w:hAnsi="Arial" w:cs="Arial"/>
          <w:b/>
          <w:i/>
          <w:highlight w:val="yellow"/>
        </w:rPr>
        <w:t>(A-II).</w:t>
      </w:r>
      <w:r w:rsidRPr="004F2D45">
        <w:rPr>
          <w:rFonts w:ascii="Arial" w:hAnsi="Arial" w:cs="Arial"/>
        </w:rPr>
        <w:t xml:space="preserve"> </w:t>
      </w:r>
    </w:p>
    <w:p w14:paraId="1BBF1E6E" w14:textId="77777777" w:rsidR="00802EB8" w:rsidRPr="00E527D1" w:rsidRDefault="00802EB8" w:rsidP="00802EB8">
      <w:pPr>
        <w:pStyle w:val="Prrafodelista"/>
        <w:numPr>
          <w:ilvl w:val="0"/>
          <w:numId w:val="47"/>
        </w:numPr>
        <w:autoSpaceDE w:val="0"/>
        <w:autoSpaceDN w:val="0"/>
        <w:adjustRightInd w:val="0"/>
        <w:spacing w:before="120" w:after="120" w:line="276" w:lineRule="auto"/>
        <w:jc w:val="both"/>
        <w:rPr>
          <w:rFonts w:ascii="Arial" w:hAnsi="Arial" w:cs="Arial"/>
          <w:highlight w:val="yellow"/>
        </w:rPr>
      </w:pPr>
      <w:r w:rsidRPr="00B83FE5">
        <w:rPr>
          <w:rFonts w:ascii="Arial" w:hAnsi="Arial" w:cs="Arial"/>
          <w:highlight w:val="yellow"/>
        </w:rPr>
        <w:t>En ausencia de MR, se sospechará mala adherencia y se investigarán posibles interacciones, errores en la prescripción o la toma, y la existencia de aspectos de la vida del paciente que dificulten una correcta toma de la medicación</w:t>
      </w:r>
      <w:r>
        <w:rPr>
          <w:rFonts w:ascii="Arial" w:hAnsi="Arial" w:cs="Arial"/>
          <w:highlight w:val="yellow"/>
        </w:rPr>
        <w:t xml:space="preserve"> </w:t>
      </w:r>
      <w:r w:rsidRPr="00E527D1">
        <w:rPr>
          <w:rFonts w:ascii="Arial" w:hAnsi="Arial" w:cs="Arial"/>
          <w:b/>
          <w:i/>
          <w:highlight w:val="yellow"/>
        </w:rPr>
        <w:t>(A-II</w:t>
      </w:r>
      <w:r w:rsidRPr="00E527D1">
        <w:rPr>
          <w:rFonts w:ascii="Arial" w:hAnsi="Arial" w:cs="Arial"/>
          <w:highlight w:val="yellow"/>
        </w:rPr>
        <w:t>)</w:t>
      </w:r>
      <w:r>
        <w:rPr>
          <w:rFonts w:ascii="Arial" w:hAnsi="Arial" w:cs="Arial"/>
          <w:highlight w:val="yellow"/>
        </w:rPr>
        <w:t>.</w:t>
      </w:r>
      <w:r w:rsidRPr="00E527D1">
        <w:rPr>
          <w:rFonts w:ascii="Arial" w:hAnsi="Arial" w:cs="Arial"/>
          <w:highlight w:val="yellow"/>
        </w:rPr>
        <w:t xml:space="preserve"> Si se corrigen estos aspectos, será posible continuar el mismo TAR. Alternativamente, se modificará el TAR según lo resumido en la Tabla 6 </w:t>
      </w:r>
      <w:r w:rsidRPr="00E527D1">
        <w:rPr>
          <w:rFonts w:ascii="Arial" w:hAnsi="Arial" w:cs="Arial"/>
          <w:b/>
          <w:i/>
          <w:highlight w:val="yellow"/>
        </w:rPr>
        <w:t>(A-I)</w:t>
      </w:r>
      <w:r w:rsidRPr="00E527D1">
        <w:rPr>
          <w:rFonts w:ascii="Arial" w:hAnsi="Arial" w:cs="Arial"/>
          <w:highlight w:val="yellow"/>
        </w:rPr>
        <w:t xml:space="preserve">. </w:t>
      </w:r>
    </w:p>
    <w:p w14:paraId="0DFF3582" w14:textId="77777777" w:rsidR="00802EB8" w:rsidRDefault="00802EB8" w:rsidP="00802EB8">
      <w:pPr>
        <w:pStyle w:val="Prrafodelista"/>
        <w:numPr>
          <w:ilvl w:val="1"/>
          <w:numId w:val="13"/>
        </w:numPr>
        <w:spacing w:line="276" w:lineRule="auto"/>
        <w:ind w:left="720"/>
        <w:jc w:val="both"/>
        <w:rPr>
          <w:rFonts w:ascii="Arial" w:hAnsi="Arial" w:cs="Arial"/>
          <w:highlight w:val="yellow"/>
        </w:rPr>
      </w:pPr>
      <w:r>
        <w:rPr>
          <w:rFonts w:ascii="Arial" w:hAnsi="Arial" w:cs="Arial"/>
          <w:i/>
          <w:highlight w:val="yellow"/>
        </w:rPr>
        <w:t>L</w:t>
      </w:r>
      <w:r w:rsidRPr="0013073F">
        <w:rPr>
          <w:rFonts w:ascii="Arial" w:hAnsi="Arial" w:cs="Arial"/>
          <w:i/>
          <w:highlight w:val="yellow"/>
        </w:rPr>
        <w:t>os pacientes que desarrollen FV a un régimen con ITINN</w:t>
      </w:r>
      <w:r w:rsidRPr="0013073F">
        <w:rPr>
          <w:rFonts w:ascii="Arial" w:hAnsi="Arial" w:cs="Arial"/>
          <w:highlight w:val="yellow"/>
        </w:rPr>
        <w:t xml:space="preserve"> podrán</w:t>
      </w:r>
      <w:r>
        <w:rPr>
          <w:rFonts w:ascii="Arial" w:hAnsi="Arial" w:cs="Arial"/>
          <w:highlight w:val="yellow"/>
        </w:rPr>
        <w:t>:</w:t>
      </w:r>
      <w:r w:rsidRPr="0013073F">
        <w:rPr>
          <w:rFonts w:ascii="Arial" w:hAnsi="Arial" w:cs="Arial"/>
          <w:highlight w:val="yellow"/>
        </w:rPr>
        <w:t xml:space="preserve"> </w:t>
      </w:r>
    </w:p>
    <w:p w14:paraId="12B48403" w14:textId="77777777" w:rsidR="00802EB8" w:rsidRDefault="00802EB8" w:rsidP="00802EB8">
      <w:pPr>
        <w:pStyle w:val="Prrafodelista"/>
        <w:numPr>
          <w:ilvl w:val="2"/>
          <w:numId w:val="13"/>
        </w:numPr>
        <w:spacing w:line="276" w:lineRule="auto"/>
        <w:jc w:val="both"/>
        <w:rPr>
          <w:rFonts w:ascii="Arial" w:hAnsi="Arial" w:cs="Arial"/>
          <w:highlight w:val="yellow"/>
        </w:rPr>
      </w:pPr>
      <w:r w:rsidRPr="0013073F">
        <w:rPr>
          <w:rFonts w:ascii="Arial" w:hAnsi="Arial" w:cs="Arial"/>
          <w:highlight w:val="yellow"/>
        </w:rPr>
        <w:t xml:space="preserve">cambiar a un TAR con DTG o bien a un tratamiento con </w:t>
      </w:r>
      <w:r>
        <w:rPr>
          <w:rFonts w:ascii="Arial" w:hAnsi="Arial" w:cs="Arial"/>
          <w:highlight w:val="yellow"/>
        </w:rPr>
        <w:t>2 ITIANs+</w:t>
      </w:r>
      <w:r w:rsidRPr="0013073F">
        <w:rPr>
          <w:rFonts w:ascii="Arial" w:hAnsi="Arial" w:cs="Arial"/>
          <w:highlight w:val="yellow"/>
        </w:rPr>
        <w:t>DRV</w:t>
      </w:r>
      <w:r>
        <w:rPr>
          <w:rFonts w:ascii="Arial" w:hAnsi="Arial" w:cs="Arial"/>
          <w:highlight w:val="yellow"/>
        </w:rPr>
        <w:t xml:space="preserve">p </w:t>
      </w:r>
      <w:r w:rsidRPr="00E527D1">
        <w:rPr>
          <w:rFonts w:ascii="Arial" w:hAnsi="Arial" w:cs="Arial"/>
          <w:b/>
          <w:i/>
          <w:highlight w:val="yellow"/>
        </w:rPr>
        <w:t>(A-I)</w:t>
      </w:r>
      <w:r w:rsidRPr="0013073F">
        <w:rPr>
          <w:rFonts w:ascii="Arial" w:hAnsi="Arial" w:cs="Arial"/>
          <w:highlight w:val="yellow"/>
        </w:rPr>
        <w:t xml:space="preserve">. </w:t>
      </w:r>
      <w:r>
        <w:rPr>
          <w:rFonts w:ascii="Arial" w:hAnsi="Arial" w:cs="Arial"/>
          <w:highlight w:val="yellow"/>
        </w:rPr>
        <w:t xml:space="preserve">No existen datos con BIC o con la coformulación </w:t>
      </w:r>
      <w:r w:rsidRPr="0013073F">
        <w:rPr>
          <w:rFonts w:ascii="Arial" w:hAnsi="Arial" w:cs="Arial"/>
          <w:highlight w:val="yellow"/>
        </w:rPr>
        <w:t>TAF/FTC/DRVc</w:t>
      </w:r>
      <w:r>
        <w:rPr>
          <w:rFonts w:ascii="Arial" w:hAnsi="Arial" w:cs="Arial"/>
          <w:highlight w:val="yellow"/>
        </w:rPr>
        <w:t>.</w:t>
      </w:r>
    </w:p>
    <w:p w14:paraId="32391B04" w14:textId="77777777" w:rsidR="00802EB8" w:rsidRDefault="00802EB8" w:rsidP="00802EB8">
      <w:pPr>
        <w:pStyle w:val="Prrafodelista"/>
        <w:numPr>
          <w:ilvl w:val="2"/>
          <w:numId w:val="13"/>
        </w:numPr>
        <w:spacing w:line="276" w:lineRule="auto"/>
        <w:jc w:val="both"/>
        <w:rPr>
          <w:rFonts w:ascii="Arial" w:hAnsi="Arial" w:cs="Arial"/>
          <w:highlight w:val="yellow"/>
        </w:rPr>
      </w:pPr>
      <w:r w:rsidRPr="0013073F">
        <w:rPr>
          <w:rFonts w:ascii="Arial" w:hAnsi="Arial" w:cs="Arial"/>
          <w:highlight w:val="yellow"/>
        </w:rPr>
        <w:t xml:space="preserve">En presencia de </w:t>
      </w:r>
      <w:r>
        <w:rPr>
          <w:rFonts w:ascii="Arial" w:hAnsi="Arial" w:cs="Arial"/>
          <w:highlight w:val="yellow"/>
        </w:rPr>
        <w:t xml:space="preserve">MR a 1 </w:t>
      </w:r>
      <w:r w:rsidRPr="0013073F">
        <w:rPr>
          <w:rFonts w:ascii="Arial" w:hAnsi="Arial" w:cs="Arial"/>
          <w:highlight w:val="yellow"/>
        </w:rPr>
        <w:t xml:space="preserve">ITIAN, </w:t>
      </w:r>
      <w:r>
        <w:rPr>
          <w:rFonts w:ascii="Arial" w:hAnsi="Arial" w:cs="Arial"/>
          <w:highlight w:val="yellow"/>
        </w:rPr>
        <w:t xml:space="preserve">es </w:t>
      </w:r>
      <w:r w:rsidRPr="0013073F">
        <w:rPr>
          <w:rFonts w:ascii="Arial" w:hAnsi="Arial" w:cs="Arial"/>
          <w:highlight w:val="yellow"/>
        </w:rPr>
        <w:t xml:space="preserve">preferible optar por </w:t>
      </w:r>
      <w:r>
        <w:rPr>
          <w:rFonts w:ascii="Arial" w:hAnsi="Arial" w:cs="Arial"/>
          <w:highlight w:val="yellow"/>
        </w:rPr>
        <w:t xml:space="preserve">un régimen con DTG que con LPV/r </w:t>
      </w:r>
      <w:r w:rsidRPr="00E527D1">
        <w:rPr>
          <w:rFonts w:ascii="Arial" w:hAnsi="Arial" w:cs="Arial"/>
          <w:b/>
          <w:i/>
          <w:highlight w:val="yellow"/>
        </w:rPr>
        <w:t>(A-I)</w:t>
      </w:r>
      <w:r w:rsidRPr="0013073F">
        <w:rPr>
          <w:rFonts w:ascii="Arial" w:hAnsi="Arial" w:cs="Arial"/>
          <w:highlight w:val="yellow"/>
        </w:rPr>
        <w:t>.</w:t>
      </w:r>
    </w:p>
    <w:p w14:paraId="53CE3D92" w14:textId="77777777" w:rsidR="00802EB8" w:rsidRDefault="00802EB8" w:rsidP="00802EB8">
      <w:pPr>
        <w:pStyle w:val="Prrafodelista"/>
        <w:numPr>
          <w:ilvl w:val="2"/>
          <w:numId w:val="13"/>
        </w:numPr>
        <w:spacing w:line="276" w:lineRule="auto"/>
        <w:jc w:val="both"/>
        <w:rPr>
          <w:rFonts w:ascii="Arial" w:hAnsi="Arial" w:cs="Arial"/>
          <w:highlight w:val="yellow"/>
        </w:rPr>
      </w:pPr>
      <w:r w:rsidRPr="0013073F">
        <w:rPr>
          <w:rFonts w:ascii="Arial" w:hAnsi="Arial" w:cs="Arial"/>
          <w:highlight w:val="yellow"/>
        </w:rPr>
        <w:t xml:space="preserve">En presencia de mutaciones a </w:t>
      </w:r>
      <w:r>
        <w:rPr>
          <w:rFonts w:ascii="Arial" w:hAnsi="Arial" w:cs="Arial"/>
          <w:highlight w:val="yellow"/>
        </w:rPr>
        <w:t xml:space="preserve">los </w:t>
      </w:r>
      <w:r w:rsidRPr="0013073F">
        <w:rPr>
          <w:rFonts w:ascii="Arial" w:hAnsi="Arial" w:cs="Arial"/>
          <w:highlight w:val="yellow"/>
        </w:rPr>
        <w:t xml:space="preserve">dos ITIAN, </w:t>
      </w:r>
      <w:r>
        <w:rPr>
          <w:rFonts w:ascii="Arial" w:hAnsi="Arial" w:cs="Arial"/>
          <w:highlight w:val="yellow"/>
        </w:rPr>
        <w:t xml:space="preserve">parece preferible </w:t>
      </w:r>
      <w:r w:rsidRPr="0013073F">
        <w:rPr>
          <w:rFonts w:ascii="Arial" w:hAnsi="Arial" w:cs="Arial"/>
          <w:highlight w:val="yellow"/>
        </w:rPr>
        <w:t>optar por TAF/FTC/DRVc</w:t>
      </w:r>
      <w:r>
        <w:rPr>
          <w:rFonts w:ascii="Arial" w:hAnsi="Arial" w:cs="Arial"/>
          <w:highlight w:val="yellow"/>
        </w:rPr>
        <w:t xml:space="preserve"> (</w:t>
      </w:r>
      <w:r w:rsidRPr="00E527D1">
        <w:rPr>
          <w:rFonts w:ascii="Arial" w:hAnsi="Arial" w:cs="Arial"/>
          <w:b/>
          <w:i/>
          <w:highlight w:val="yellow"/>
        </w:rPr>
        <w:t>C-III)</w:t>
      </w:r>
      <w:r w:rsidRPr="0013073F">
        <w:rPr>
          <w:rFonts w:ascii="Arial" w:hAnsi="Arial" w:cs="Arial"/>
          <w:highlight w:val="yellow"/>
        </w:rPr>
        <w:t>.</w:t>
      </w:r>
    </w:p>
    <w:p w14:paraId="2A1CF111" w14:textId="77777777" w:rsidR="00802EB8" w:rsidRPr="004F2D45" w:rsidRDefault="00802EB8" w:rsidP="00802EB8">
      <w:pPr>
        <w:pStyle w:val="Prrafodelista"/>
        <w:numPr>
          <w:ilvl w:val="2"/>
          <w:numId w:val="13"/>
        </w:numPr>
        <w:spacing w:line="276" w:lineRule="auto"/>
        <w:jc w:val="both"/>
        <w:rPr>
          <w:rFonts w:ascii="Arial" w:hAnsi="Arial" w:cs="Arial"/>
          <w:highlight w:val="yellow"/>
        </w:rPr>
      </w:pPr>
      <w:r w:rsidRPr="004F2D45">
        <w:rPr>
          <w:rFonts w:ascii="Arial" w:hAnsi="Arial" w:cs="Arial"/>
          <w:highlight w:val="yellow"/>
          <w:lang w:eastAsia="en-US"/>
        </w:rPr>
        <w:t xml:space="preserve">LPV/r + RAL puede ser una opción en pacientes que requieran una pauta sin ITIAN </w:t>
      </w:r>
      <w:r w:rsidRPr="00E527D1">
        <w:rPr>
          <w:rFonts w:ascii="Arial" w:hAnsi="Arial" w:cs="Arial"/>
          <w:b/>
          <w:i/>
          <w:highlight w:val="yellow"/>
          <w:lang w:eastAsia="en-US"/>
        </w:rPr>
        <w:t>(B-I).</w:t>
      </w:r>
      <w:r w:rsidRPr="004F2D45">
        <w:rPr>
          <w:rFonts w:ascii="Arial" w:hAnsi="Arial" w:cs="Arial"/>
          <w:highlight w:val="yellow"/>
          <w:lang w:eastAsia="en-US"/>
        </w:rPr>
        <w:t xml:space="preserve"> </w:t>
      </w:r>
    </w:p>
    <w:p w14:paraId="3358E9A6" w14:textId="77777777" w:rsidR="00802EB8" w:rsidRPr="00B83FE5" w:rsidRDefault="00802EB8" w:rsidP="00802EB8">
      <w:pPr>
        <w:pStyle w:val="Prrafodelista"/>
        <w:numPr>
          <w:ilvl w:val="2"/>
          <w:numId w:val="13"/>
        </w:numPr>
        <w:spacing w:line="276" w:lineRule="auto"/>
        <w:jc w:val="both"/>
        <w:rPr>
          <w:rFonts w:ascii="Arial" w:hAnsi="Arial" w:cs="Arial"/>
          <w:lang w:eastAsia="en-US"/>
        </w:rPr>
      </w:pPr>
      <w:r w:rsidRPr="00A64DC6">
        <w:rPr>
          <w:rFonts w:ascii="Arial" w:hAnsi="Arial" w:cs="Arial"/>
          <w:highlight w:val="yellow"/>
          <w:lang w:eastAsia="en-US"/>
        </w:rPr>
        <w:t>Actualmente se están evaluando regímenes que combinan DTG+DRV/c, posiblemente más seguros, convenientes y mejor tolerados que LPV/r + RAL</w:t>
      </w:r>
      <w:r>
        <w:rPr>
          <w:rFonts w:ascii="Arial" w:hAnsi="Arial" w:cs="Arial"/>
          <w:highlight w:val="yellow"/>
          <w:lang w:eastAsia="en-US"/>
        </w:rPr>
        <w:t xml:space="preserve"> (B-II)</w:t>
      </w:r>
      <w:r w:rsidRPr="00A64DC6">
        <w:rPr>
          <w:rFonts w:ascii="Arial" w:hAnsi="Arial" w:cs="Arial"/>
          <w:highlight w:val="yellow"/>
          <w:lang w:eastAsia="en-US"/>
        </w:rPr>
        <w:t>.</w:t>
      </w:r>
      <w:r w:rsidRPr="00A64DC6">
        <w:rPr>
          <w:rFonts w:ascii="Arial" w:hAnsi="Arial" w:cs="Arial"/>
          <w:lang w:eastAsia="en-US"/>
        </w:rPr>
        <w:t xml:space="preserve"> </w:t>
      </w:r>
    </w:p>
    <w:p w14:paraId="7508624A" w14:textId="77777777" w:rsidR="00802EB8" w:rsidRPr="00A64DC6" w:rsidRDefault="00802EB8" w:rsidP="00802EB8">
      <w:pPr>
        <w:pStyle w:val="Prrafodelista"/>
        <w:numPr>
          <w:ilvl w:val="1"/>
          <w:numId w:val="13"/>
        </w:numPr>
        <w:autoSpaceDE w:val="0"/>
        <w:autoSpaceDN w:val="0"/>
        <w:adjustRightInd w:val="0"/>
        <w:spacing w:before="120" w:after="120" w:line="276" w:lineRule="auto"/>
        <w:ind w:left="720"/>
        <w:jc w:val="both"/>
        <w:rPr>
          <w:rFonts w:ascii="Arial" w:hAnsi="Arial" w:cs="Arial"/>
          <w:highlight w:val="yellow"/>
        </w:rPr>
      </w:pPr>
      <w:r>
        <w:rPr>
          <w:rFonts w:ascii="Arial" w:hAnsi="Arial" w:cs="Arial"/>
          <w:i/>
        </w:rPr>
        <w:t>L</w:t>
      </w:r>
      <w:r w:rsidRPr="0013073F">
        <w:rPr>
          <w:rFonts w:ascii="Arial" w:hAnsi="Arial" w:cs="Arial"/>
          <w:i/>
        </w:rPr>
        <w:t xml:space="preserve">os pacientes </w:t>
      </w:r>
      <w:r w:rsidRPr="0013073F">
        <w:rPr>
          <w:rFonts w:ascii="Arial" w:hAnsi="Arial" w:cs="Arial"/>
          <w:i/>
          <w:highlight w:val="yellow"/>
        </w:rPr>
        <w:t>que desarrollen FV</w:t>
      </w:r>
      <w:r w:rsidRPr="0013073F">
        <w:rPr>
          <w:rFonts w:ascii="Arial" w:hAnsi="Arial" w:cs="Arial"/>
          <w:i/>
        </w:rPr>
        <w:t xml:space="preserve"> a una pauta inicial con IP/</w:t>
      </w:r>
      <w:r>
        <w:rPr>
          <w:rFonts w:ascii="Arial" w:hAnsi="Arial" w:cs="Arial"/>
          <w:i/>
        </w:rPr>
        <w:t>p</w:t>
      </w:r>
      <w:r w:rsidRPr="0013073F">
        <w:rPr>
          <w:rFonts w:ascii="Arial" w:hAnsi="Arial" w:cs="Arial"/>
          <w:i/>
        </w:rPr>
        <w:t xml:space="preserve"> + 2 ITIAN</w:t>
      </w:r>
      <w:r w:rsidRPr="0013073F">
        <w:rPr>
          <w:rFonts w:ascii="Arial" w:hAnsi="Arial" w:cs="Arial"/>
        </w:rPr>
        <w:t xml:space="preserve">, </w:t>
      </w:r>
      <w:r>
        <w:rPr>
          <w:rFonts w:ascii="Arial" w:hAnsi="Arial" w:cs="Arial"/>
        </w:rPr>
        <w:t>podrán:</w:t>
      </w:r>
      <w:r w:rsidRPr="0013073F">
        <w:rPr>
          <w:rFonts w:ascii="Arial" w:hAnsi="Arial" w:cs="Arial"/>
        </w:rPr>
        <w:t xml:space="preserve"> </w:t>
      </w:r>
    </w:p>
    <w:p w14:paraId="5DAF9AAE" w14:textId="77777777" w:rsidR="00802EB8" w:rsidRPr="00A64DC6" w:rsidRDefault="00802EB8" w:rsidP="00802EB8">
      <w:pPr>
        <w:pStyle w:val="Prrafodelista"/>
        <w:numPr>
          <w:ilvl w:val="2"/>
          <w:numId w:val="13"/>
        </w:numPr>
        <w:autoSpaceDE w:val="0"/>
        <w:autoSpaceDN w:val="0"/>
        <w:adjustRightInd w:val="0"/>
        <w:spacing w:before="120" w:after="120" w:line="276" w:lineRule="auto"/>
        <w:jc w:val="both"/>
        <w:rPr>
          <w:rFonts w:ascii="Arial" w:hAnsi="Arial" w:cs="Arial"/>
          <w:highlight w:val="yellow"/>
        </w:rPr>
      </w:pPr>
      <w:r>
        <w:rPr>
          <w:rFonts w:ascii="Arial" w:hAnsi="Arial" w:cs="Arial"/>
        </w:rPr>
        <w:t>M</w:t>
      </w:r>
      <w:r w:rsidRPr="0013073F">
        <w:rPr>
          <w:rFonts w:ascii="Arial" w:hAnsi="Arial" w:cs="Arial"/>
        </w:rPr>
        <w:t xml:space="preserve">antener el mismo TAR </w:t>
      </w:r>
      <w:r w:rsidRPr="00CD618E">
        <w:rPr>
          <w:rFonts w:ascii="Arial" w:hAnsi="Arial" w:cs="Arial"/>
          <w:b/>
          <w:i/>
          <w:noProof/>
        </w:rPr>
        <w:t>(A-I)</w:t>
      </w:r>
      <w:r>
        <w:rPr>
          <w:rFonts w:ascii="Arial" w:hAnsi="Arial" w:cs="Arial"/>
          <w:noProof/>
        </w:rPr>
        <w:t>, o bien</w:t>
      </w:r>
      <w:r w:rsidRPr="0013073F">
        <w:rPr>
          <w:rFonts w:ascii="Arial" w:hAnsi="Arial" w:cs="Arial"/>
        </w:rPr>
        <w:t xml:space="preserve"> </w:t>
      </w:r>
    </w:p>
    <w:p w14:paraId="34CDF155" w14:textId="77777777" w:rsidR="00802EB8" w:rsidRDefault="00802EB8" w:rsidP="00802EB8">
      <w:pPr>
        <w:pStyle w:val="Prrafodelista"/>
        <w:numPr>
          <w:ilvl w:val="2"/>
          <w:numId w:val="13"/>
        </w:numPr>
        <w:autoSpaceDE w:val="0"/>
        <w:autoSpaceDN w:val="0"/>
        <w:adjustRightInd w:val="0"/>
        <w:spacing w:before="120" w:after="120" w:line="276" w:lineRule="auto"/>
        <w:jc w:val="both"/>
        <w:rPr>
          <w:rFonts w:ascii="Arial" w:hAnsi="Arial" w:cs="Arial"/>
          <w:highlight w:val="yellow"/>
        </w:rPr>
      </w:pPr>
      <w:r w:rsidRPr="0013073F">
        <w:rPr>
          <w:rFonts w:ascii="Arial" w:hAnsi="Arial" w:cs="Arial"/>
          <w:highlight w:val="yellow"/>
        </w:rPr>
        <w:lastRenderedPageBreak/>
        <w:t xml:space="preserve">cambiar a un STR con DTG, sobretodo si </w:t>
      </w:r>
      <w:r>
        <w:rPr>
          <w:rFonts w:ascii="Arial" w:hAnsi="Arial" w:cs="Arial"/>
          <w:highlight w:val="yellow"/>
        </w:rPr>
        <w:t xml:space="preserve">no existen MR en la integrasa y hay </w:t>
      </w:r>
      <w:r w:rsidRPr="0013073F">
        <w:rPr>
          <w:rFonts w:ascii="Arial" w:hAnsi="Arial" w:cs="Arial"/>
          <w:highlight w:val="yellow"/>
        </w:rPr>
        <w:t>problemas de tolerancia al IP/p</w:t>
      </w:r>
      <w:r>
        <w:rPr>
          <w:rFonts w:ascii="Arial" w:hAnsi="Arial" w:cs="Arial"/>
          <w:highlight w:val="yellow"/>
        </w:rPr>
        <w:t xml:space="preserve"> (B-III)</w:t>
      </w:r>
      <w:r w:rsidRPr="0013073F">
        <w:rPr>
          <w:rFonts w:ascii="Arial" w:hAnsi="Arial" w:cs="Arial"/>
          <w:highlight w:val="yellow"/>
        </w:rPr>
        <w:t>.</w:t>
      </w:r>
      <w:r w:rsidRPr="00104A00">
        <w:rPr>
          <w:rFonts w:ascii="Arial" w:hAnsi="Arial" w:cs="Arial"/>
          <w:highlight w:val="yellow"/>
        </w:rPr>
        <w:t xml:space="preserve"> </w:t>
      </w:r>
      <w:r>
        <w:rPr>
          <w:rFonts w:ascii="Arial" w:hAnsi="Arial" w:cs="Arial"/>
          <w:highlight w:val="yellow"/>
        </w:rPr>
        <w:t>No existen datos con</w:t>
      </w:r>
      <w:r w:rsidRPr="0013073F">
        <w:rPr>
          <w:rFonts w:ascii="Arial" w:hAnsi="Arial" w:cs="Arial"/>
          <w:highlight w:val="yellow"/>
        </w:rPr>
        <w:t xml:space="preserve"> BIC</w:t>
      </w:r>
      <w:r>
        <w:rPr>
          <w:rFonts w:ascii="Arial" w:hAnsi="Arial" w:cs="Arial"/>
          <w:highlight w:val="yellow"/>
        </w:rPr>
        <w:t>.</w:t>
      </w:r>
    </w:p>
    <w:p w14:paraId="5BB027D6" w14:textId="77777777" w:rsidR="00802EB8" w:rsidRPr="00B83FE5" w:rsidRDefault="00802EB8" w:rsidP="00802EB8">
      <w:pPr>
        <w:pStyle w:val="Prrafodelista"/>
        <w:numPr>
          <w:ilvl w:val="1"/>
          <w:numId w:val="13"/>
        </w:numPr>
        <w:autoSpaceDE w:val="0"/>
        <w:autoSpaceDN w:val="0"/>
        <w:adjustRightInd w:val="0"/>
        <w:spacing w:before="120" w:after="120" w:line="276" w:lineRule="auto"/>
        <w:ind w:left="720"/>
        <w:jc w:val="both"/>
        <w:rPr>
          <w:rFonts w:ascii="Arial" w:hAnsi="Arial" w:cs="Arial"/>
          <w:highlight w:val="yellow"/>
        </w:rPr>
      </w:pPr>
      <w:r w:rsidRPr="00B83FE5">
        <w:rPr>
          <w:rFonts w:ascii="Arial" w:hAnsi="Arial" w:cs="Arial"/>
          <w:i/>
        </w:rPr>
        <w:t xml:space="preserve">En pacientes </w:t>
      </w:r>
      <w:r w:rsidRPr="0013073F">
        <w:rPr>
          <w:rFonts w:ascii="Arial" w:hAnsi="Arial" w:cs="Arial"/>
          <w:i/>
          <w:highlight w:val="yellow"/>
        </w:rPr>
        <w:t xml:space="preserve">que desarrollen FV </w:t>
      </w:r>
      <w:r w:rsidRPr="00B83FE5">
        <w:rPr>
          <w:rFonts w:ascii="Arial" w:hAnsi="Arial" w:cs="Arial"/>
          <w:i/>
        </w:rPr>
        <w:t>a una pauta inicial con</w:t>
      </w:r>
      <w:r>
        <w:rPr>
          <w:rFonts w:ascii="Arial" w:hAnsi="Arial" w:cs="Arial"/>
          <w:i/>
        </w:rPr>
        <w:t xml:space="preserve"> </w:t>
      </w:r>
      <w:r w:rsidRPr="00B83FE5">
        <w:rPr>
          <w:rFonts w:ascii="Arial" w:hAnsi="Arial" w:cs="Arial"/>
          <w:i/>
        </w:rPr>
        <w:t>2 ITI</w:t>
      </w:r>
      <w:r>
        <w:rPr>
          <w:rFonts w:ascii="Arial" w:hAnsi="Arial" w:cs="Arial"/>
          <w:i/>
        </w:rPr>
        <w:t>A</w:t>
      </w:r>
      <w:r w:rsidRPr="00B83FE5">
        <w:rPr>
          <w:rFonts w:ascii="Arial" w:hAnsi="Arial" w:cs="Arial"/>
          <w:i/>
        </w:rPr>
        <w:t>N +</w:t>
      </w:r>
      <w:r>
        <w:rPr>
          <w:rFonts w:ascii="Arial" w:hAnsi="Arial" w:cs="Arial"/>
          <w:i/>
        </w:rPr>
        <w:t xml:space="preserve"> </w:t>
      </w:r>
      <w:r w:rsidRPr="00B83FE5">
        <w:rPr>
          <w:rFonts w:ascii="Arial" w:hAnsi="Arial" w:cs="Arial"/>
          <w:i/>
        </w:rPr>
        <w:t xml:space="preserve">DTG o BIC </w:t>
      </w:r>
      <w:r w:rsidRPr="00B83FE5">
        <w:rPr>
          <w:rFonts w:ascii="Arial" w:hAnsi="Arial" w:cs="Arial"/>
          <w:highlight w:val="yellow"/>
        </w:rPr>
        <w:t xml:space="preserve"> </w:t>
      </w:r>
    </w:p>
    <w:p w14:paraId="0FF53468" w14:textId="77777777" w:rsidR="00802EB8" w:rsidRDefault="00802EB8" w:rsidP="00802EB8">
      <w:pPr>
        <w:pStyle w:val="Prrafodelista"/>
        <w:numPr>
          <w:ilvl w:val="2"/>
          <w:numId w:val="13"/>
        </w:numPr>
        <w:autoSpaceDE w:val="0"/>
        <w:autoSpaceDN w:val="0"/>
        <w:adjustRightInd w:val="0"/>
        <w:spacing w:before="120" w:after="120" w:line="276" w:lineRule="auto"/>
        <w:jc w:val="both"/>
        <w:rPr>
          <w:rFonts w:ascii="Arial" w:hAnsi="Arial" w:cs="Arial"/>
          <w:highlight w:val="yellow"/>
        </w:rPr>
      </w:pPr>
      <w:r w:rsidRPr="00104A00">
        <w:rPr>
          <w:rFonts w:ascii="Arial" w:hAnsi="Arial" w:cs="Arial"/>
        </w:rPr>
        <w:t xml:space="preserve">Si el genotipado muestra MR, construir pauta de rescate siguiendo las recomendaciones generales ante un </w:t>
      </w:r>
      <w:r>
        <w:rPr>
          <w:rFonts w:ascii="Arial" w:hAnsi="Arial" w:cs="Arial"/>
        </w:rPr>
        <w:t>FV</w:t>
      </w:r>
      <w:r w:rsidRPr="00104A00">
        <w:rPr>
          <w:rFonts w:ascii="Arial" w:hAnsi="Arial" w:cs="Arial"/>
        </w:rPr>
        <w:t xml:space="preserve">, del punto 5.4 </w:t>
      </w:r>
      <w:r w:rsidRPr="00CD618E">
        <w:rPr>
          <w:rFonts w:ascii="Arial" w:hAnsi="Arial" w:cs="Arial"/>
          <w:b/>
          <w:i/>
        </w:rPr>
        <w:t>(A-I)</w:t>
      </w:r>
      <w:r>
        <w:rPr>
          <w:rFonts w:ascii="Arial" w:hAnsi="Arial" w:cs="Arial"/>
          <w:highlight w:val="yellow"/>
        </w:rPr>
        <w:t>.</w:t>
      </w:r>
    </w:p>
    <w:p w14:paraId="4CE83054" w14:textId="77777777" w:rsidR="00802EB8" w:rsidRPr="001F20D3" w:rsidRDefault="00802EB8" w:rsidP="00802EB8">
      <w:pPr>
        <w:pStyle w:val="Prrafodelista"/>
        <w:numPr>
          <w:ilvl w:val="2"/>
          <w:numId w:val="13"/>
        </w:numPr>
        <w:autoSpaceDE w:val="0"/>
        <w:autoSpaceDN w:val="0"/>
        <w:adjustRightInd w:val="0"/>
        <w:spacing w:before="120" w:after="120" w:line="276" w:lineRule="auto"/>
        <w:jc w:val="both"/>
        <w:rPr>
          <w:rFonts w:ascii="Arial" w:hAnsi="Arial" w:cs="Arial"/>
          <w:highlight w:val="yellow"/>
        </w:rPr>
      </w:pPr>
      <w:r w:rsidRPr="00A64DC6">
        <w:rPr>
          <w:rFonts w:ascii="Arial" w:hAnsi="Arial" w:cs="Arial"/>
          <w:highlight w:val="yellow"/>
        </w:rPr>
        <w:t>Se valorará mantener, además, DTG a doble dosis si persiste susceptibilidad residual a este fármaco</w:t>
      </w:r>
      <w:r w:rsidRPr="00A64DC6">
        <w:rPr>
          <w:rFonts w:ascii="Arial" w:hAnsi="Arial" w:cs="Arial"/>
        </w:rPr>
        <w:t xml:space="preserve"> </w:t>
      </w:r>
      <w:r w:rsidRPr="00CD618E">
        <w:rPr>
          <w:rFonts w:ascii="Arial" w:hAnsi="Arial" w:cs="Arial"/>
          <w:b/>
          <w:i/>
        </w:rPr>
        <w:t>(A-III).</w:t>
      </w:r>
    </w:p>
    <w:p w14:paraId="0292E95A" w14:textId="77777777" w:rsidR="00802EB8" w:rsidRPr="001F20D3" w:rsidRDefault="00802EB8" w:rsidP="00802EB8">
      <w:pPr>
        <w:autoSpaceDE w:val="0"/>
        <w:autoSpaceDN w:val="0"/>
        <w:adjustRightInd w:val="0"/>
        <w:spacing w:before="120" w:after="120" w:line="276" w:lineRule="auto"/>
        <w:jc w:val="both"/>
        <w:rPr>
          <w:rFonts w:ascii="Arial" w:hAnsi="Arial" w:cs="Arial"/>
          <w:highlight w:val="yellow"/>
        </w:rPr>
      </w:pPr>
    </w:p>
    <w:p w14:paraId="590EC536" w14:textId="77777777" w:rsidR="00802EB8" w:rsidRPr="0013073F" w:rsidRDefault="00802EB8" w:rsidP="00802EB8">
      <w:pPr>
        <w:spacing w:before="120" w:after="120" w:line="276" w:lineRule="auto"/>
        <w:jc w:val="both"/>
        <w:rPr>
          <w:rFonts w:ascii="Arial" w:hAnsi="Arial" w:cs="Arial"/>
          <w:b/>
          <w:bCs/>
          <w:color w:val="AE1C1F"/>
        </w:rPr>
      </w:pPr>
      <w:r w:rsidRPr="0013073F">
        <w:rPr>
          <w:rFonts w:ascii="Arial" w:hAnsi="Arial" w:cs="Arial"/>
          <w:b/>
          <w:bCs/>
          <w:i/>
          <w:color w:val="AE1C1F"/>
        </w:rPr>
        <w:t>5.5.3.</w:t>
      </w:r>
      <w:r w:rsidRPr="0013073F">
        <w:rPr>
          <w:rFonts w:ascii="Arial" w:hAnsi="Arial" w:cs="Arial"/>
          <w:b/>
          <w:bCs/>
          <w:color w:val="AE1C1F"/>
        </w:rPr>
        <w:t xml:space="preserve"> </w:t>
      </w:r>
      <w:r w:rsidRPr="0013073F">
        <w:rPr>
          <w:rFonts w:ascii="Arial" w:hAnsi="Arial" w:cs="Arial"/>
          <w:b/>
          <w:bCs/>
          <w:i/>
          <w:color w:val="AE1C1F"/>
        </w:rPr>
        <w:t>Fracaso virológico avanzado</w:t>
      </w:r>
      <w:r w:rsidRPr="0013073F">
        <w:rPr>
          <w:rFonts w:ascii="Arial" w:hAnsi="Arial" w:cs="Arial"/>
          <w:b/>
          <w:bCs/>
          <w:color w:val="AE1C1F"/>
        </w:rPr>
        <w:t xml:space="preserve"> </w:t>
      </w:r>
    </w:p>
    <w:p w14:paraId="26B08635" w14:textId="77777777" w:rsidR="00802EB8" w:rsidRPr="0013073F" w:rsidRDefault="00802EB8" w:rsidP="00802EB8">
      <w:pPr>
        <w:spacing w:before="120" w:after="120" w:line="276" w:lineRule="auto"/>
        <w:jc w:val="both"/>
        <w:rPr>
          <w:rFonts w:ascii="Arial" w:hAnsi="Arial" w:cs="Arial"/>
        </w:rPr>
      </w:pPr>
      <w:r w:rsidRPr="0043618A">
        <w:rPr>
          <w:rFonts w:ascii="Arial" w:hAnsi="Arial" w:cs="Arial"/>
        </w:rPr>
        <w:t>E</w:t>
      </w:r>
      <w:r w:rsidRPr="0013073F">
        <w:rPr>
          <w:rFonts w:ascii="Arial" w:hAnsi="Arial" w:cs="Arial"/>
          <w:highlight w:val="yellow"/>
        </w:rPr>
        <w:t>s el fracaso a la segunda o sucesivas líneas de TAR.</w:t>
      </w:r>
      <w:r w:rsidRPr="0043618A">
        <w:rPr>
          <w:rFonts w:ascii="Arial" w:hAnsi="Arial" w:cs="Arial"/>
        </w:rPr>
        <w:t xml:space="preserve"> En este escenario, la mayoría de los pacientes presentan MR a dos o más familias de FAR. </w:t>
      </w:r>
      <w:r w:rsidRPr="0013073F">
        <w:rPr>
          <w:rFonts w:ascii="Arial" w:hAnsi="Arial" w:cs="Arial"/>
          <w:highlight w:val="yellow"/>
        </w:rPr>
        <w:t>Los principales</w:t>
      </w:r>
      <w:r w:rsidRPr="0043618A">
        <w:rPr>
          <w:rFonts w:ascii="Arial" w:hAnsi="Arial" w:cs="Arial"/>
        </w:rPr>
        <w:t xml:space="preserve"> ensayos clínicos </w:t>
      </w:r>
      <w:r w:rsidRPr="0013073F">
        <w:rPr>
          <w:rFonts w:ascii="Arial" w:hAnsi="Arial" w:cs="Arial"/>
          <w:highlight w:val="yellow"/>
        </w:rPr>
        <w:t>de</w:t>
      </w:r>
      <w:r w:rsidRPr="0043618A">
        <w:rPr>
          <w:rFonts w:ascii="Arial" w:hAnsi="Arial" w:cs="Arial"/>
        </w:rPr>
        <w:t xml:space="preserve"> pautas de tratamientos de rescate avanzado </w:t>
      </w:r>
      <w:r w:rsidRPr="0013073F">
        <w:rPr>
          <w:rFonts w:ascii="Arial" w:hAnsi="Arial" w:cs="Arial"/>
          <w:highlight w:val="yellow"/>
        </w:rPr>
        <w:t>se resumen en la</w:t>
      </w:r>
      <w:r w:rsidRPr="0043618A">
        <w:rPr>
          <w:rFonts w:ascii="Arial" w:hAnsi="Arial" w:cs="Arial"/>
        </w:rPr>
        <w:t xml:space="preserve"> Tabla 6. </w:t>
      </w:r>
    </w:p>
    <w:p w14:paraId="5D1964B6" w14:textId="77777777" w:rsidR="00802EB8" w:rsidRPr="00FD01EA" w:rsidRDefault="00802EB8" w:rsidP="00802EB8">
      <w:pPr>
        <w:pStyle w:val="Prrafodelista"/>
        <w:numPr>
          <w:ilvl w:val="0"/>
          <w:numId w:val="11"/>
        </w:numPr>
        <w:spacing w:line="276" w:lineRule="auto"/>
        <w:ind w:left="360"/>
        <w:jc w:val="both"/>
        <w:rPr>
          <w:rFonts w:ascii="Arial" w:hAnsi="Arial" w:cs="Arial"/>
        </w:rPr>
      </w:pPr>
      <w:r w:rsidRPr="00FD01EA">
        <w:rPr>
          <w:rFonts w:ascii="Arial" w:hAnsi="Arial" w:cs="Arial"/>
          <w:i/>
          <w:highlight w:val="yellow"/>
        </w:rPr>
        <w:t xml:space="preserve">Inhibidores de la proteasa.  </w:t>
      </w:r>
      <w:r w:rsidRPr="00FD01EA">
        <w:rPr>
          <w:rFonts w:ascii="Arial" w:hAnsi="Arial" w:cs="Arial"/>
          <w:highlight w:val="yellow"/>
        </w:rPr>
        <w:t>No resulta infrecuente encontrar personas con resistencia a tres familias de FAR incluyendo los IP, sin ninguna MR frente a DRV. En el estudio ODIN</w:t>
      </w:r>
      <w:r w:rsidRPr="00FD01EA">
        <w:rPr>
          <w:rFonts w:ascii="Arial" w:hAnsi="Arial" w:cs="Arial"/>
          <w:highlight w:val="yellow"/>
          <w:vertAlign w:val="superscript"/>
        </w:rPr>
        <w:t>27</w:t>
      </w:r>
      <w:r w:rsidRPr="00FD01EA">
        <w:rPr>
          <w:rFonts w:ascii="Arial" w:hAnsi="Arial" w:cs="Arial"/>
          <w:highlight w:val="yellow"/>
        </w:rPr>
        <w:t>, DRV/r QD (800/100) + 2 ITIAN fue no inferior a DRV/r (600/100) BID en pacientes en FV con más de 50 linfocitos CD4+/µL y sin MR específicas a DRV. Sin embargo, cuando existe alguna mutación mayor de resistencia a DRV, se recomienda utilizar DRV/r 600/100 mg BID</w:t>
      </w:r>
      <w:r w:rsidRPr="00FD01EA">
        <w:rPr>
          <w:rFonts w:ascii="Arial" w:hAnsi="Arial" w:cs="Arial"/>
          <w:highlight w:val="yellow"/>
          <w:vertAlign w:val="superscript"/>
        </w:rPr>
        <w:t>5</w:t>
      </w:r>
      <w:r w:rsidRPr="00FD01EA">
        <w:rPr>
          <w:rFonts w:ascii="Arial" w:hAnsi="Arial" w:cs="Arial"/>
          <w:highlight w:val="yellow"/>
        </w:rPr>
        <w:t xml:space="preserve">. </w:t>
      </w:r>
    </w:p>
    <w:p w14:paraId="32398292" w14:textId="77777777" w:rsidR="00802EB8" w:rsidRPr="00FD01EA" w:rsidRDefault="00802EB8" w:rsidP="00802EB8">
      <w:pPr>
        <w:pStyle w:val="Prrafodelista"/>
        <w:spacing w:line="276" w:lineRule="auto"/>
        <w:ind w:left="360"/>
        <w:jc w:val="both"/>
        <w:rPr>
          <w:rFonts w:ascii="Arial" w:hAnsi="Arial" w:cs="Arial"/>
        </w:rPr>
      </w:pPr>
    </w:p>
    <w:p w14:paraId="6352D675" w14:textId="77777777" w:rsidR="00802EB8" w:rsidRPr="002E3D27" w:rsidRDefault="00802EB8" w:rsidP="00802EB8">
      <w:pPr>
        <w:pStyle w:val="Prrafodelista"/>
        <w:numPr>
          <w:ilvl w:val="0"/>
          <w:numId w:val="11"/>
        </w:numPr>
        <w:spacing w:line="276" w:lineRule="auto"/>
        <w:ind w:left="360"/>
        <w:jc w:val="both"/>
        <w:rPr>
          <w:rFonts w:ascii="Arial" w:hAnsi="Arial" w:cs="Arial"/>
        </w:rPr>
      </w:pPr>
      <w:r w:rsidRPr="0013073F">
        <w:rPr>
          <w:rFonts w:ascii="Arial" w:hAnsi="Arial" w:cs="Arial"/>
          <w:i/>
          <w:highlight w:val="yellow"/>
        </w:rPr>
        <w:t xml:space="preserve">ITIAN. </w:t>
      </w:r>
      <w:r w:rsidRPr="0013073F">
        <w:rPr>
          <w:rFonts w:ascii="Arial" w:hAnsi="Arial" w:cs="Arial"/>
          <w:highlight w:val="yellow"/>
        </w:rPr>
        <w:t>La eficacia residual de los ITIAN en presencia de MR es motivo de debate. En distintos estudios en FV avanzado, la adición de ITIAN inactivos o parcialmente activos a la pauta con 3 FAR activos no aumentó la eficacia del régimen comparador (ya de por sí muy elevada)</w:t>
      </w:r>
      <w:r w:rsidRPr="0013073F">
        <w:rPr>
          <w:rFonts w:ascii="Arial" w:hAnsi="Arial" w:cs="Arial"/>
          <w:highlight w:val="yellow"/>
          <w:vertAlign w:val="superscript"/>
        </w:rPr>
        <w:t xml:space="preserve"> 35-37-37b</w:t>
      </w:r>
      <w:r w:rsidRPr="0013073F">
        <w:rPr>
          <w:rFonts w:ascii="Arial" w:hAnsi="Arial" w:cs="Arial"/>
          <w:highlight w:val="yellow"/>
        </w:rPr>
        <w:t>. Sin embargo, el</w:t>
      </w:r>
      <w:r w:rsidRPr="0013073F">
        <w:rPr>
          <w:rFonts w:ascii="Arial" w:hAnsi="Arial" w:cs="Arial"/>
        </w:rPr>
        <w:t xml:space="preserve"> </w:t>
      </w:r>
      <w:r w:rsidRPr="0013073F">
        <w:rPr>
          <w:rFonts w:ascii="Arial" w:hAnsi="Arial" w:cs="Arial"/>
          <w:highlight w:val="yellow"/>
        </w:rPr>
        <w:t>mantenimiento de XTC en presencia de M184V hipersensibiliza el virus a TDF y AZT, reduce el fitness viral, y contribuye a disminuir la CV en 0,5 log, sin apenas toxicidad ni coste añadido. Además, incluso en presencia de K65R TDF mantiene actividad residual. Los estudios EARNEST y SECOND LINE</w:t>
      </w:r>
      <w:r>
        <w:rPr>
          <w:rFonts w:ascii="Arial" w:hAnsi="Arial" w:cs="Arial"/>
          <w:highlight w:val="yellow"/>
          <w:vertAlign w:val="superscript"/>
        </w:rPr>
        <w:t>18,19</w:t>
      </w:r>
      <w:r w:rsidRPr="0013073F">
        <w:rPr>
          <w:rFonts w:ascii="Arial" w:hAnsi="Arial" w:cs="Arial"/>
          <w:highlight w:val="yellow"/>
        </w:rPr>
        <w:t xml:space="preserve"> demostraron no sólo la persistencia de efectividad de los ITIAN</w:t>
      </w:r>
      <w:r>
        <w:rPr>
          <w:rFonts w:ascii="Arial" w:hAnsi="Arial" w:cs="Arial"/>
          <w:highlight w:val="yellow"/>
        </w:rPr>
        <w:t>; a</w:t>
      </w:r>
      <w:r w:rsidRPr="0013073F">
        <w:rPr>
          <w:rFonts w:ascii="Arial" w:hAnsi="Arial" w:cs="Arial"/>
          <w:highlight w:val="yellow"/>
        </w:rPr>
        <w:t xml:space="preserve">demás, la presencia de MR a ITIAN se asociaba a una mejor respuesta a un régimen basado en LPV/r cuando éste se combinaba con 2 ITIANs. En comparación, la respuesta a monoterapia con LPV/r fue significativamente peor. </w:t>
      </w:r>
    </w:p>
    <w:p w14:paraId="7BFA21EA" w14:textId="77777777" w:rsidR="00802EB8" w:rsidRPr="003F4C21" w:rsidRDefault="00802EB8" w:rsidP="00802EB8">
      <w:pPr>
        <w:spacing w:line="276" w:lineRule="auto"/>
        <w:jc w:val="both"/>
        <w:rPr>
          <w:rFonts w:ascii="Arial" w:hAnsi="Arial" w:cs="Arial"/>
        </w:rPr>
      </w:pPr>
    </w:p>
    <w:p w14:paraId="45F3FEED" w14:textId="77777777" w:rsidR="00802EB8" w:rsidRPr="0013073F" w:rsidRDefault="00802EB8" w:rsidP="00802EB8">
      <w:pPr>
        <w:pStyle w:val="Prrafodelista"/>
        <w:numPr>
          <w:ilvl w:val="0"/>
          <w:numId w:val="11"/>
        </w:numPr>
        <w:spacing w:line="276" w:lineRule="auto"/>
        <w:ind w:left="360"/>
        <w:jc w:val="both"/>
        <w:rPr>
          <w:rFonts w:ascii="Arial" w:hAnsi="Arial" w:cs="Arial"/>
          <w:highlight w:val="yellow"/>
        </w:rPr>
      </w:pPr>
      <w:r w:rsidRPr="0013073F">
        <w:rPr>
          <w:rFonts w:ascii="Arial" w:hAnsi="Arial" w:cs="Arial"/>
          <w:i/>
          <w:highlight w:val="yellow"/>
        </w:rPr>
        <w:t>Inhibidores de la integrasa.</w:t>
      </w:r>
      <w:r w:rsidRPr="0013073F">
        <w:rPr>
          <w:rFonts w:ascii="Arial" w:hAnsi="Arial" w:cs="Arial"/>
          <w:highlight w:val="yellow"/>
          <w:vertAlign w:val="superscript"/>
        </w:rPr>
        <w:t xml:space="preserve"> </w:t>
      </w:r>
      <w:r w:rsidRPr="0013073F">
        <w:rPr>
          <w:rFonts w:ascii="Arial" w:hAnsi="Arial" w:cs="Arial"/>
          <w:highlight w:val="yellow"/>
        </w:rPr>
        <w:t xml:space="preserve">La presencia de la mutación Q148H/R en la integrasa asociada con otras MR adicionales se relacionó con una menor eficacia de DTG. </w:t>
      </w:r>
      <w:r w:rsidRPr="0013073F">
        <w:rPr>
          <w:rFonts w:ascii="Arial" w:hAnsi="Arial" w:cs="Arial"/>
          <w:highlight w:val="yellow"/>
          <w:vertAlign w:val="superscript"/>
        </w:rPr>
        <w:t>39-43</w:t>
      </w:r>
      <w:r w:rsidRPr="0013073F">
        <w:rPr>
          <w:rFonts w:ascii="Arial" w:hAnsi="Arial" w:cs="Arial"/>
          <w:highlight w:val="yellow"/>
        </w:rPr>
        <w:t xml:space="preserve"> Asimismo, la respuesta a DTG disminuye en presencia de N155H/S147G y dos MR secundarias</w:t>
      </w:r>
      <w:r w:rsidRPr="0013073F">
        <w:rPr>
          <w:rFonts w:ascii="Arial" w:hAnsi="Arial" w:cs="Arial"/>
          <w:highlight w:val="yellow"/>
          <w:vertAlign w:val="superscript"/>
        </w:rPr>
        <w:t>42</w:t>
      </w:r>
      <w:r w:rsidRPr="0013073F">
        <w:rPr>
          <w:rFonts w:ascii="Arial" w:hAnsi="Arial" w:cs="Arial"/>
          <w:highlight w:val="yellow"/>
        </w:rPr>
        <w:t>.</w:t>
      </w:r>
      <w:r w:rsidRPr="0013073F">
        <w:rPr>
          <w:rFonts w:ascii="Arial" w:hAnsi="Arial" w:cs="Arial"/>
          <w:highlight w:val="yellow"/>
          <w:vertAlign w:val="superscript"/>
        </w:rPr>
        <w:t xml:space="preserve"> </w:t>
      </w:r>
      <w:r w:rsidRPr="0013073F">
        <w:rPr>
          <w:rFonts w:ascii="Arial" w:hAnsi="Arial" w:cs="Arial"/>
          <w:highlight w:val="yellow"/>
        </w:rPr>
        <w:t xml:space="preserve">BIC no ha sido investigado hasta </w:t>
      </w:r>
      <w:r w:rsidRPr="0013073F">
        <w:rPr>
          <w:rFonts w:ascii="Arial" w:hAnsi="Arial" w:cs="Arial"/>
          <w:highlight w:val="yellow"/>
        </w:rPr>
        <w:lastRenderedPageBreak/>
        <w:t xml:space="preserve">la fecha como TAR de rescate y siempre se presenta co-formulado con TAF/FTC. </w:t>
      </w:r>
    </w:p>
    <w:p w14:paraId="3C8799BF" w14:textId="77777777" w:rsidR="00802EB8" w:rsidRPr="0013073F" w:rsidRDefault="00802EB8" w:rsidP="00802EB8">
      <w:pPr>
        <w:spacing w:line="276" w:lineRule="auto"/>
        <w:jc w:val="both"/>
        <w:rPr>
          <w:rFonts w:ascii="Arial" w:hAnsi="Arial" w:cs="Arial"/>
        </w:rPr>
      </w:pPr>
    </w:p>
    <w:p w14:paraId="39221173" w14:textId="77777777" w:rsidR="00802EB8" w:rsidRPr="0013073F" w:rsidRDefault="00802EB8" w:rsidP="00802EB8">
      <w:pPr>
        <w:pStyle w:val="Prrafodelista"/>
        <w:spacing w:line="276" w:lineRule="auto"/>
        <w:ind w:left="360"/>
        <w:jc w:val="both"/>
        <w:rPr>
          <w:rFonts w:ascii="Arial" w:hAnsi="Arial" w:cs="Arial"/>
          <w:highlight w:val="yellow"/>
        </w:rPr>
      </w:pPr>
      <w:r w:rsidRPr="0013073F">
        <w:rPr>
          <w:rFonts w:ascii="Arial" w:hAnsi="Arial" w:cs="Arial"/>
          <w:highlight w:val="yellow"/>
        </w:rPr>
        <w:t>EVG</w:t>
      </w:r>
      <w:r w:rsidRPr="0013073F">
        <w:rPr>
          <w:rFonts w:ascii="Arial" w:hAnsi="Arial" w:cs="Arial"/>
          <w:bCs/>
          <w:highlight w:val="yellow"/>
        </w:rPr>
        <w:t xml:space="preserve"> se comparó con </w:t>
      </w:r>
      <w:r w:rsidRPr="0013073F">
        <w:rPr>
          <w:rFonts w:ascii="Arial" w:hAnsi="Arial" w:cs="Arial"/>
          <w:highlight w:val="yellow"/>
        </w:rPr>
        <w:t>RAL, ambos con tratamiento optimizado (IP/r + 1 FAR activo), en pacientes con CVP &gt;1000 copias/mL y experiencia o resistencia ≥2 familias de FAR. EVG resultó no inferior a RAL en la semana 48</w:t>
      </w:r>
      <w:r w:rsidRPr="0013073F">
        <w:rPr>
          <w:rFonts w:ascii="Arial" w:hAnsi="Arial" w:cs="Arial"/>
          <w:highlight w:val="yellow"/>
          <w:vertAlign w:val="superscript"/>
        </w:rPr>
        <w:t>38</w:t>
      </w:r>
      <w:r w:rsidRPr="0013073F">
        <w:rPr>
          <w:rFonts w:ascii="Arial" w:hAnsi="Arial" w:cs="Arial"/>
          <w:highlight w:val="yellow"/>
        </w:rPr>
        <w:t xml:space="preserve">. </w:t>
      </w:r>
    </w:p>
    <w:p w14:paraId="6B04332E" w14:textId="77777777" w:rsidR="00802EB8" w:rsidRPr="0013073F" w:rsidRDefault="00802EB8" w:rsidP="00802EB8">
      <w:pPr>
        <w:pStyle w:val="Prrafodelista"/>
        <w:spacing w:line="276" w:lineRule="auto"/>
        <w:ind w:left="360"/>
        <w:jc w:val="both"/>
        <w:rPr>
          <w:rFonts w:ascii="Arial" w:hAnsi="Arial" w:cs="Arial"/>
          <w:highlight w:val="yellow"/>
        </w:rPr>
      </w:pPr>
    </w:p>
    <w:p w14:paraId="1B2C53B7" w14:textId="77777777" w:rsidR="00802EB8" w:rsidRDefault="00802EB8" w:rsidP="00802EB8">
      <w:pPr>
        <w:pStyle w:val="Prrafodelista"/>
        <w:spacing w:line="276" w:lineRule="auto"/>
        <w:ind w:left="360"/>
        <w:jc w:val="both"/>
        <w:rPr>
          <w:rFonts w:ascii="Arial" w:hAnsi="Arial" w:cs="Arial"/>
        </w:rPr>
      </w:pPr>
      <w:r w:rsidRPr="0013073F">
        <w:rPr>
          <w:rFonts w:ascii="Arial" w:hAnsi="Arial" w:cs="Arial"/>
          <w:highlight w:val="yellow"/>
        </w:rPr>
        <w:t xml:space="preserve">En pacientes </w:t>
      </w:r>
      <w:r w:rsidRPr="0013073F">
        <w:rPr>
          <w:rFonts w:ascii="Arial" w:hAnsi="Arial" w:cs="Arial"/>
          <w:i/>
          <w:iCs/>
          <w:highlight w:val="yellow"/>
        </w:rPr>
        <w:t>naïve</w:t>
      </w:r>
      <w:r w:rsidRPr="0013073F">
        <w:rPr>
          <w:rFonts w:ascii="Arial" w:hAnsi="Arial" w:cs="Arial"/>
          <w:highlight w:val="yellow"/>
        </w:rPr>
        <w:t xml:space="preserve"> a INI, con CVP &gt;1.000 copias/mL y resistencia a ≥2 familias de FAR (estudio SAILING)</w:t>
      </w:r>
      <w:r w:rsidRPr="0013073F">
        <w:rPr>
          <w:rFonts w:ascii="Arial" w:hAnsi="Arial" w:cs="Arial"/>
          <w:highlight w:val="yellow"/>
          <w:vertAlign w:val="superscript"/>
        </w:rPr>
        <w:t>39</w:t>
      </w:r>
      <w:r w:rsidRPr="0013073F">
        <w:rPr>
          <w:rFonts w:ascii="Arial" w:hAnsi="Arial" w:cs="Arial"/>
          <w:b/>
          <w:bCs/>
          <w:highlight w:val="yellow"/>
        </w:rPr>
        <w:t xml:space="preserve">, </w:t>
      </w:r>
      <w:r w:rsidRPr="0013073F">
        <w:rPr>
          <w:rFonts w:ascii="Arial" w:hAnsi="Arial" w:cs="Arial"/>
          <w:highlight w:val="yellow"/>
        </w:rPr>
        <w:t>DTG 50 mg QD resultó superior a RAL, ambos con terapia optimizada. La selección de resistencias fue significativamente menor con DTG tanto en el gen de la integrasa como frente a los ITIAN.</w:t>
      </w:r>
      <w:r w:rsidRPr="0043618A">
        <w:rPr>
          <w:rFonts w:ascii="Arial" w:hAnsi="Arial" w:cs="Arial"/>
        </w:rPr>
        <w:t xml:space="preserve">  </w:t>
      </w:r>
    </w:p>
    <w:p w14:paraId="0E944B75" w14:textId="77777777" w:rsidR="00802EB8" w:rsidRPr="00516B46" w:rsidRDefault="00802EB8" w:rsidP="00802EB8">
      <w:pPr>
        <w:spacing w:line="276" w:lineRule="auto"/>
        <w:jc w:val="both"/>
        <w:rPr>
          <w:rFonts w:ascii="Arial" w:hAnsi="Arial" w:cs="Arial"/>
        </w:rPr>
      </w:pPr>
    </w:p>
    <w:p w14:paraId="6A1F6EEA" w14:textId="77777777" w:rsidR="00802EB8" w:rsidRPr="003F4C21" w:rsidRDefault="00802EB8" w:rsidP="00802EB8">
      <w:pPr>
        <w:autoSpaceDE w:val="0"/>
        <w:autoSpaceDN w:val="0"/>
        <w:adjustRightInd w:val="0"/>
        <w:spacing w:before="120" w:after="120" w:line="276" w:lineRule="auto"/>
        <w:jc w:val="both"/>
        <w:rPr>
          <w:rFonts w:ascii="Arial" w:hAnsi="Arial" w:cs="Arial"/>
          <w:b/>
          <w:i/>
          <w:highlight w:val="yellow"/>
        </w:rPr>
      </w:pPr>
      <w:r w:rsidRPr="00C40A9D">
        <w:rPr>
          <w:rFonts w:ascii="Arial" w:hAnsi="Arial" w:cs="Arial"/>
          <w:b/>
          <w:i/>
          <w:highlight w:val="yellow"/>
        </w:rPr>
        <w:t xml:space="preserve">Recomendaciones </w:t>
      </w:r>
      <w:r>
        <w:rPr>
          <w:rFonts w:ascii="Arial" w:hAnsi="Arial" w:cs="Arial"/>
          <w:b/>
          <w:i/>
          <w:highlight w:val="yellow"/>
        </w:rPr>
        <w:t>en</w:t>
      </w:r>
      <w:r w:rsidRPr="00C40A9D">
        <w:rPr>
          <w:rFonts w:ascii="Arial" w:hAnsi="Arial" w:cs="Arial"/>
          <w:b/>
          <w:i/>
          <w:highlight w:val="yellow"/>
        </w:rPr>
        <w:t xml:space="preserve"> fracaso virológico</w:t>
      </w:r>
      <w:r>
        <w:rPr>
          <w:rFonts w:ascii="Arial" w:hAnsi="Arial" w:cs="Arial"/>
          <w:b/>
          <w:i/>
          <w:highlight w:val="yellow"/>
        </w:rPr>
        <w:t xml:space="preserve"> avanzado</w:t>
      </w:r>
      <w:r w:rsidRPr="00C40A9D">
        <w:rPr>
          <w:rFonts w:ascii="Arial" w:hAnsi="Arial" w:cs="Arial"/>
          <w:b/>
          <w:i/>
          <w:highlight w:val="yellow"/>
        </w:rPr>
        <w:t xml:space="preserve">: </w:t>
      </w:r>
    </w:p>
    <w:p w14:paraId="52EEF5AD" w14:textId="77777777" w:rsidR="00802EB8" w:rsidRPr="00CD618E" w:rsidRDefault="00802EB8" w:rsidP="00802EB8">
      <w:pPr>
        <w:pStyle w:val="Prrafodelista"/>
        <w:numPr>
          <w:ilvl w:val="0"/>
          <w:numId w:val="46"/>
        </w:numPr>
        <w:spacing w:before="120" w:after="120" w:line="276" w:lineRule="auto"/>
        <w:jc w:val="both"/>
        <w:rPr>
          <w:rFonts w:ascii="Arial" w:hAnsi="Arial" w:cs="Arial"/>
          <w:highlight w:val="yellow"/>
        </w:rPr>
      </w:pPr>
      <w:r w:rsidRPr="00726E1F">
        <w:rPr>
          <w:rFonts w:ascii="Arial" w:hAnsi="Arial" w:cs="Arial"/>
          <w:highlight w:val="yellow"/>
        </w:rPr>
        <w:t xml:space="preserve">El diseño de un tratamiento de rescate deberá guiarse siempre por los resultados de un test de resistencias obtenido en el momento del FV, teniendo en cuenta los genotipos acumulados </w:t>
      </w:r>
      <w:r w:rsidRPr="00CD618E">
        <w:rPr>
          <w:rFonts w:ascii="Arial" w:hAnsi="Arial" w:cs="Arial"/>
          <w:highlight w:val="yellow"/>
        </w:rPr>
        <w:t xml:space="preserve">previamente </w:t>
      </w:r>
      <w:r w:rsidRPr="00CD618E">
        <w:rPr>
          <w:rFonts w:ascii="Arial" w:hAnsi="Arial" w:cs="Arial"/>
          <w:b/>
          <w:i/>
          <w:highlight w:val="yellow"/>
        </w:rPr>
        <w:t>(A-I)</w:t>
      </w:r>
      <w:r>
        <w:rPr>
          <w:rFonts w:ascii="Arial" w:hAnsi="Arial" w:cs="Arial"/>
          <w:b/>
          <w:i/>
          <w:highlight w:val="yellow"/>
        </w:rPr>
        <w:t>.</w:t>
      </w:r>
    </w:p>
    <w:p w14:paraId="3453D28D" w14:textId="77777777" w:rsidR="00802EB8" w:rsidRPr="0061451A" w:rsidRDefault="00802EB8" w:rsidP="00802EB8">
      <w:pPr>
        <w:pStyle w:val="Prrafodelista"/>
        <w:numPr>
          <w:ilvl w:val="0"/>
          <w:numId w:val="46"/>
        </w:numPr>
        <w:spacing w:line="276" w:lineRule="auto"/>
        <w:jc w:val="both"/>
        <w:rPr>
          <w:rFonts w:ascii="Arial" w:hAnsi="Arial" w:cs="Arial"/>
        </w:rPr>
      </w:pPr>
      <w:r>
        <w:rPr>
          <w:rFonts w:ascii="Arial" w:hAnsi="Arial" w:cs="Arial"/>
          <w:highlight w:val="yellow"/>
        </w:rPr>
        <w:t>T</w:t>
      </w:r>
      <w:r w:rsidRPr="00726E1F">
        <w:rPr>
          <w:rFonts w:ascii="Arial" w:hAnsi="Arial" w:cs="Arial"/>
          <w:highlight w:val="yellow"/>
        </w:rPr>
        <w:t>odo TAR</w:t>
      </w:r>
      <w:r>
        <w:rPr>
          <w:rFonts w:ascii="Arial" w:hAnsi="Arial" w:cs="Arial"/>
          <w:highlight w:val="yellow"/>
        </w:rPr>
        <w:t xml:space="preserve"> de rescate avanzado</w:t>
      </w:r>
      <w:r w:rsidRPr="00726E1F">
        <w:rPr>
          <w:rFonts w:ascii="Arial" w:hAnsi="Arial" w:cs="Arial"/>
          <w:highlight w:val="yellow"/>
        </w:rPr>
        <w:t xml:space="preserve"> incluirá DRV/p</w:t>
      </w:r>
      <w:r w:rsidRPr="0061451A">
        <w:rPr>
          <w:rFonts w:ascii="Arial" w:hAnsi="Arial" w:cs="Arial"/>
          <w:highlight w:val="yellow"/>
        </w:rPr>
        <w:t xml:space="preserve"> </w:t>
      </w:r>
      <w:r w:rsidRPr="00CD618E">
        <w:rPr>
          <w:rFonts w:ascii="Arial" w:hAnsi="Arial" w:cs="Arial"/>
          <w:b/>
          <w:i/>
          <w:highlight w:val="yellow"/>
        </w:rPr>
        <w:t>(A-I)</w:t>
      </w:r>
      <w:r>
        <w:rPr>
          <w:rFonts w:ascii="Arial" w:hAnsi="Arial" w:cs="Arial"/>
          <w:b/>
          <w:i/>
          <w:highlight w:val="yellow"/>
        </w:rPr>
        <w:t>.</w:t>
      </w:r>
    </w:p>
    <w:p w14:paraId="0EC149DC" w14:textId="77777777" w:rsidR="00802EB8" w:rsidRPr="003F4C21" w:rsidRDefault="00802EB8" w:rsidP="00802EB8">
      <w:pPr>
        <w:pStyle w:val="Prrafodelista"/>
        <w:numPr>
          <w:ilvl w:val="0"/>
          <w:numId w:val="46"/>
        </w:numPr>
        <w:spacing w:line="276" w:lineRule="auto"/>
        <w:jc w:val="both"/>
        <w:rPr>
          <w:rFonts w:ascii="Arial" w:hAnsi="Arial" w:cs="Arial"/>
        </w:rPr>
      </w:pPr>
      <w:r w:rsidRPr="0013073F">
        <w:rPr>
          <w:rFonts w:ascii="Arial" w:hAnsi="Arial" w:cs="Arial"/>
          <w:highlight w:val="yellow"/>
        </w:rPr>
        <w:t>D</w:t>
      </w:r>
      <w:r>
        <w:rPr>
          <w:rFonts w:ascii="Arial" w:hAnsi="Arial" w:cs="Arial"/>
          <w:highlight w:val="yellow"/>
        </w:rPr>
        <w:t>RV/p</w:t>
      </w:r>
      <w:r w:rsidRPr="0013073F">
        <w:rPr>
          <w:rFonts w:ascii="Arial" w:hAnsi="Arial" w:cs="Arial"/>
          <w:highlight w:val="yellow"/>
        </w:rPr>
        <w:t xml:space="preserve"> deberá acompañarse de otros FAR (ITIAN, ITIANN e INI) hasta conseguir un régimen plenamente activo</w:t>
      </w:r>
      <w:r>
        <w:rPr>
          <w:rFonts w:ascii="Arial" w:hAnsi="Arial" w:cs="Arial"/>
          <w:highlight w:val="yellow"/>
        </w:rPr>
        <w:t xml:space="preserve"> </w:t>
      </w:r>
      <w:r w:rsidRPr="00CD618E">
        <w:rPr>
          <w:rFonts w:ascii="Arial" w:hAnsi="Arial" w:cs="Arial"/>
          <w:b/>
          <w:i/>
          <w:highlight w:val="yellow"/>
        </w:rPr>
        <w:t>(A-I)</w:t>
      </w:r>
      <w:r>
        <w:rPr>
          <w:rFonts w:ascii="Arial" w:hAnsi="Arial" w:cs="Arial"/>
          <w:b/>
          <w:i/>
          <w:highlight w:val="yellow"/>
        </w:rPr>
        <w:t>.</w:t>
      </w:r>
    </w:p>
    <w:p w14:paraId="283B4036" w14:textId="77777777" w:rsidR="00802EB8" w:rsidRPr="002E3D27" w:rsidRDefault="00802EB8" w:rsidP="00802EB8">
      <w:pPr>
        <w:pStyle w:val="Prrafodelista"/>
        <w:numPr>
          <w:ilvl w:val="0"/>
          <w:numId w:val="46"/>
        </w:numPr>
        <w:spacing w:line="276" w:lineRule="auto"/>
        <w:jc w:val="both"/>
        <w:rPr>
          <w:rFonts w:ascii="Arial" w:hAnsi="Arial" w:cs="Arial"/>
        </w:rPr>
      </w:pPr>
      <w:r>
        <w:rPr>
          <w:rFonts w:ascii="Arial" w:hAnsi="Arial" w:cs="Arial"/>
          <w:highlight w:val="yellow"/>
        </w:rPr>
        <w:t>Algunos</w:t>
      </w:r>
      <w:r w:rsidRPr="002E3D27">
        <w:rPr>
          <w:rFonts w:ascii="Arial" w:hAnsi="Arial" w:cs="Arial"/>
          <w:highlight w:val="yellow"/>
        </w:rPr>
        <w:t xml:space="preserve"> autores recomiendan mantener XTC incluso en presencia de M184V</w:t>
      </w:r>
      <w:r>
        <w:rPr>
          <w:rFonts w:ascii="Arial" w:hAnsi="Arial" w:cs="Arial"/>
          <w:highlight w:val="yellow"/>
        </w:rPr>
        <w:t xml:space="preserve"> </w:t>
      </w:r>
      <w:r w:rsidRPr="00CD618E">
        <w:rPr>
          <w:rFonts w:ascii="Arial" w:hAnsi="Arial" w:cs="Arial"/>
          <w:b/>
          <w:i/>
          <w:highlight w:val="yellow"/>
        </w:rPr>
        <w:t>(B-III).</w:t>
      </w:r>
    </w:p>
    <w:p w14:paraId="041B0F71" w14:textId="77777777" w:rsidR="00802EB8" w:rsidRPr="003F4C21" w:rsidRDefault="00802EB8" w:rsidP="00802EB8">
      <w:pPr>
        <w:pStyle w:val="Prrafodelista"/>
        <w:numPr>
          <w:ilvl w:val="0"/>
          <w:numId w:val="46"/>
        </w:numPr>
        <w:spacing w:line="276" w:lineRule="auto"/>
        <w:jc w:val="both"/>
        <w:rPr>
          <w:rFonts w:ascii="Arial" w:hAnsi="Arial" w:cs="Arial"/>
        </w:rPr>
      </w:pPr>
      <w:r w:rsidRPr="0013073F">
        <w:rPr>
          <w:rFonts w:ascii="Arial" w:hAnsi="Arial" w:cs="Arial"/>
          <w:highlight w:val="yellow"/>
        </w:rPr>
        <w:t xml:space="preserve">El INI de elección para TAR de rescate es DTG, que se administrará QD o BID según el patrón de mutaciones en la </w:t>
      </w:r>
      <w:r>
        <w:rPr>
          <w:rFonts w:ascii="Arial" w:hAnsi="Arial" w:cs="Arial"/>
          <w:highlight w:val="yellow"/>
        </w:rPr>
        <w:t>integrasa</w:t>
      </w:r>
      <w:r w:rsidRPr="0013073F">
        <w:rPr>
          <w:rFonts w:ascii="Arial" w:hAnsi="Arial" w:cs="Arial"/>
          <w:highlight w:val="yellow"/>
        </w:rPr>
        <w:t xml:space="preserve"> y la exposición previa o no a INIs</w:t>
      </w:r>
      <w:r>
        <w:rPr>
          <w:rFonts w:ascii="Arial" w:hAnsi="Arial" w:cs="Arial"/>
          <w:highlight w:val="yellow"/>
          <w:vertAlign w:val="superscript"/>
        </w:rPr>
        <w:t xml:space="preserve"> </w:t>
      </w:r>
      <w:r w:rsidRPr="00CD618E">
        <w:rPr>
          <w:rFonts w:ascii="Arial" w:hAnsi="Arial" w:cs="Arial"/>
          <w:b/>
          <w:i/>
          <w:highlight w:val="yellow"/>
        </w:rPr>
        <w:t>(A-I)</w:t>
      </w:r>
      <w:r>
        <w:rPr>
          <w:rFonts w:ascii="Arial" w:hAnsi="Arial" w:cs="Arial"/>
          <w:highlight w:val="yellow"/>
        </w:rPr>
        <w:t xml:space="preserve">. </w:t>
      </w:r>
    </w:p>
    <w:p w14:paraId="1D2C21E4" w14:textId="77777777" w:rsidR="00802EB8" w:rsidRDefault="00802EB8" w:rsidP="00802EB8">
      <w:pPr>
        <w:pStyle w:val="Prrafodelista"/>
        <w:spacing w:line="276" w:lineRule="auto"/>
        <w:ind w:left="360"/>
        <w:jc w:val="both"/>
        <w:rPr>
          <w:rFonts w:ascii="Arial" w:hAnsi="Arial" w:cs="Arial"/>
        </w:rPr>
      </w:pPr>
    </w:p>
    <w:p w14:paraId="411CF860" w14:textId="77777777" w:rsidR="00802EB8" w:rsidRPr="0043618A" w:rsidRDefault="00802EB8" w:rsidP="00802EB8">
      <w:pPr>
        <w:pStyle w:val="Prrafodelista"/>
        <w:spacing w:line="276" w:lineRule="auto"/>
        <w:ind w:left="360"/>
        <w:jc w:val="both"/>
        <w:rPr>
          <w:rFonts w:ascii="Arial" w:hAnsi="Arial" w:cs="Arial"/>
        </w:rPr>
      </w:pPr>
    </w:p>
    <w:p w14:paraId="0F715ED5" w14:textId="77777777" w:rsidR="00802EB8" w:rsidRPr="0043618A" w:rsidRDefault="00802EB8" w:rsidP="00802EB8">
      <w:pPr>
        <w:spacing w:before="120" w:after="120" w:line="276" w:lineRule="auto"/>
        <w:jc w:val="both"/>
        <w:rPr>
          <w:rFonts w:ascii="Arial" w:hAnsi="Arial" w:cs="Arial"/>
          <w:bCs/>
          <w:i/>
          <w:iCs/>
          <w:color w:val="AE1C1F"/>
        </w:rPr>
      </w:pPr>
      <w:r w:rsidRPr="0043618A">
        <w:rPr>
          <w:rFonts w:ascii="Arial" w:hAnsi="Arial" w:cs="Arial"/>
          <w:bCs/>
          <w:i/>
          <w:iCs/>
          <w:color w:val="AE1C1F"/>
        </w:rPr>
        <w:t xml:space="preserve">5.5.4. Fracaso virológico en pacientes sin opciones terapéuticas </w:t>
      </w:r>
    </w:p>
    <w:p w14:paraId="0B4FD0B2" w14:textId="77777777" w:rsidR="00802EB8" w:rsidRPr="001A6217" w:rsidRDefault="00802EB8" w:rsidP="00802EB8">
      <w:pPr>
        <w:spacing w:before="120" w:after="160" w:line="276" w:lineRule="auto"/>
        <w:jc w:val="both"/>
        <w:rPr>
          <w:rFonts w:ascii="Arial" w:hAnsi="Arial" w:cs="Arial"/>
          <w:highlight w:val="yellow"/>
          <w:lang w:eastAsia="en-US"/>
        </w:rPr>
      </w:pPr>
      <w:r>
        <w:rPr>
          <w:rFonts w:ascii="Arial" w:hAnsi="Arial" w:cs="Arial"/>
          <w:highlight w:val="yellow"/>
          <w:lang w:eastAsia="en-US"/>
        </w:rPr>
        <w:t xml:space="preserve">Existen datos de nuevos fármacos en desarrollo clínico: </w:t>
      </w:r>
    </w:p>
    <w:p w14:paraId="100602CD" w14:textId="77777777" w:rsidR="00802EB8" w:rsidRPr="0013073F" w:rsidRDefault="00802EB8" w:rsidP="00802EB8">
      <w:pPr>
        <w:pStyle w:val="Prrafodelista"/>
        <w:numPr>
          <w:ilvl w:val="1"/>
          <w:numId w:val="6"/>
        </w:numPr>
        <w:spacing w:before="120" w:after="160" w:line="276" w:lineRule="auto"/>
        <w:ind w:left="360"/>
        <w:jc w:val="both"/>
        <w:rPr>
          <w:rFonts w:ascii="Arial" w:hAnsi="Arial" w:cs="Arial"/>
          <w:highlight w:val="yellow"/>
          <w:lang w:eastAsia="en-US"/>
        </w:rPr>
      </w:pPr>
      <w:r w:rsidRPr="0013073F">
        <w:rPr>
          <w:rFonts w:ascii="Arial" w:hAnsi="Arial" w:cs="Arial"/>
          <w:b/>
          <w:highlight w:val="yellow"/>
          <w:lang w:eastAsia="en-US"/>
        </w:rPr>
        <w:t>Fostemsavir (</w:t>
      </w:r>
      <w:r w:rsidRPr="0013073F">
        <w:rPr>
          <w:rFonts w:ascii="Arial" w:hAnsi="Arial" w:cs="Arial"/>
          <w:highlight w:val="yellow"/>
          <w:lang w:eastAsia="en-US"/>
        </w:rPr>
        <w:t>GSK3684934; anteriormente BMS-663068): inhibidor del acoplamiento (</w:t>
      </w:r>
      <w:r w:rsidRPr="0013073F">
        <w:rPr>
          <w:rFonts w:ascii="Arial" w:hAnsi="Arial" w:cs="Arial"/>
          <w:i/>
          <w:highlight w:val="yellow"/>
          <w:lang w:eastAsia="en-US"/>
        </w:rPr>
        <w:t>attachment</w:t>
      </w:r>
      <w:r w:rsidRPr="0013073F">
        <w:rPr>
          <w:rFonts w:ascii="Arial" w:hAnsi="Arial" w:cs="Arial"/>
          <w:highlight w:val="yellow"/>
          <w:lang w:eastAsia="en-US"/>
        </w:rPr>
        <w:t>) que está siendo evaluado en estudios en fase IIb y III</w:t>
      </w:r>
      <w:r w:rsidRPr="0013073F">
        <w:rPr>
          <w:rFonts w:ascii="Arial" w:hAnsi="Arial" w:cs="Arial"/>
          <w:highlight w:val="yellow"/>
          <w:vertAlign w:val="superscript"/>
          <w:lang w:eastAsia="en-US"/>
        </w:rPr>
        <w:t>44,45</w:t>
      </w:r>
      <w:r w:rsidRPr="0013073F">
        <w:rPr>
          <w:rFonts w:ascii="Arial" w:hAnsi="Arial" w:cs="Arial"/>
          <w:highlight w:val="yellow"/>
          <w:lang w:eastAsia="en-US"/>
        </w:rPr>
        <w:t>. A las</w:t>
      </w:r>
      <w:r w:rsidRPr="0013073F">
        <w:rPr>
          <w:rFonts w:ascii="Arial" w:hAnsi="Arial" w:cs="Arial"/>
          <w:highlight w:val="yellow"/>
        </w:rPr>
        <w:t xml:space="preserve"> 96 semanas, el 60% consiguió CVP&lt;40 copias/mL y el 5% discontinuó el TAR por efectos adversos</w:t>
      </w:r>
      <w:r w:rsidRPr="0013073F">
        <w:rPr>
          <w:rFonts w:ascii="Arial" w:hAnsi="Arial" w:cs="Arial"/>
          <w:highlight w:val="yellow"/>
          <w:vertAlign w:val="superscript"/>
          <w:lang w:eastAsia="en-US"/>
        </w:rPr>
        <w:t>4</w:t>
      </w:r>
      <w:r>
        <w:rPr>
          <w:rFonts w:ascii="Arial" w:hAnsi="Arial" w:cs="Arial"/>
          <w:highlight w:val="yellow"/>
          <w:vertAlign w:val="superscript"/>
          <w:lang w:eastAsia="en-US"/>
        </w:rPr>
        <w:t>5b</w:t>
      </w:r>
      <w:r w:rsidRPr="0013073F">
        <w:rPr>
          <w:rFonts w:ascii="Arial" w:hAnsi="Arial" w:cs="Arial"/>
          <w:highlight w:val="yellow"/>
        </w:rPr>
        <w:t>.</w:t>
      </w:r>
    </w:p>
    <w:p w14:paraId="51A6268C" w14:textId="77777777" w:rsidR="00802EB8" w:rsidRPr="0013073F" w:rsidRDefault="00802EB8" w:rsidP="00802EB8">
      <w:pPr>
        <w:pStyle w:val="Prrafodelista"/>
        <w:spacing w:before="120" w:after="160" w:line="276" w:lineRule="auto"/>
        <w:ind w:left="360"/>
        <w:jc w:val="both"/>
        <w:rPr>
          <w:rFonts w:ascii="Arial" w:hAnsi="Arial" w:cs="Arial"/>
          <w:highlight w:val="yellow"/>
          <w:lang w:eastAsia="en-US"/>
        </w:rPr>
      </w:pPr>
    </w:p>
    <w:p w14:paraId="6E21ABE9" w14:textId="77777777" w:rsidR="00802EB8" w:rsidRPr="0013073F" w:rsidRDefault="00802EB8" w:rsidP="00802EB8">
      <w:pPr>
        <w:pStyle w:val="Prrafodelista"/>
        <w:numPr>
          <w:ilvl w:val="1"/>
          <w:numId w:val="6"/>
        </w:numPr>
        <w:spacing w:before="120" w:after="160" w:line="276" w:lineRule="auto"/>
        <w:ind w:left="360"/>
        <w:jc w:val="both"/>
        <w:rPr>
          <w:rFonts w:ascii="Arial" w:hAnsi="Arial" w:cs="Arial"/>
          <w:highlight w:val="yellow"/>
          <w:lang w:eastAsia="en-US"/>
        </w:rPr>
      </w:pPr>
      <w:r w:rsidRPr="0013073F">
        <w:rPr>
          <w:rFonts w:ascii="Arial" w:hAnsi="Arial" w:cs="Arial"/>
          <w:b/>
          <w:highlight w:val="yellow"/>
          <w:lang w:eastAsia="en-US"/>
        </w:rPr>
        <w:t>Ibalizumab</w:t>
      </w:r>
      <w:r w:rsidRPr="0013073F">
        <w:rPr>
          <w:rFonts w:ascii="Arial" w:hAnsi="Arial" w:cs="Arial"/>
          <w:highlight w:val="yellow"/>
          <w:vertAlign w:val="superscript"/>
          <w:lang w:eastAsia="en-US"/>
        </w:rPr>
        <w:t>4</w:t>
      </w:r>
      <w:r>
        <w:rPr>
          <w:rFonts w:ascii="Arial" w:hAnsi="Arial" w:cs="Arial"/>
          <w:highlight w:val="yellow"/>
          <w:vertAlign w:val="superscript"/>
          <w:lang w:eastAsia="en-US"/>
        </w:rPr>
        <w:t>6</w:t>
      </w:r>
      <w:r w:rsidRPr="0013073F">
        <w:rPr>
          <w:rFonts w:ascii="Arial" w:hAnsi="Arial" w:cs="Arial"/>
          <w:highlight w:val="yellow"/>
          <w:lang w:eastAsia="en-US"/>
        </w:rPr>
        <w:t>: anticuerpo monoclonal humanizado que se une al segundo dominio extracelular del receptor CD4, bloqueándolo. No tiene resistencia cruzada con otros FAR ni interacciones farmacocinéticas significativas. Ha sido ya aprobado por la FDA y la EMA. El precio y la administración intravenosa son importantes limitaciones al uso del fármaco, que queda reservado para situaciones en las que no exista ninguna otra alternativa.</w:t>
      </w:r>
    </w:p>
    <w:p w14:paraId="1CCD0ECB" w14:textId="77777777" w:rsidR="00802EB8" w:rsidRPr="0013073F" w:rsidRDefault="00802EB8" w:rsidP="00802EB8">
      <w:pPr>
        <w:pStyle w:val="Prrafodelista"/>
        <w:ind w:left="0"/>
        <w:jc w:val="both"/>
        <w:rPr>
          <w:rFonts w:ascii="Arial" w:hAnsi="Arial" w:cs="Arial"/>
          <w:lang w:eastAsia="en-US"/>
        </w:rPr>
      </w:pPr>
    </w:p>
    <w:p w14:paraId="01BD530C" w14:textId="77777777" w:rsidR="00802EB8" w:rsidRPr="0013073F" w:rsidRDefault="00802EB8" w:rsidP="00802EB8">
      <w:pPr>
        <w:pStyle w:val="Prrafodelista"/>
        <w:numPr>
          <w:ilvl w:val="1"/>
          <w:numId w:val="6"/>
        </w:numPr>
        <w:spacing w:before="120" w:after="160" w:line="276" w:lineRule="auto"/>
        <w:ind w:left="360"/>
        <w:jc w:val="both"/>
        <w:rPr>
          <w:rFonts w:ascii="Arial" w:hAnsi="Arial" w:cs="Arial"/>
        </w:rPr>
      </w:pPr>
      <w:r w:rsidRPr="0013073F">
        <w:rPr>
          <w:rFonts w:ascii="Arial" w:hAnsi="Arial" w:cs="Arial"/>
          <w:highlight w:val="yellow"/>
          <w:lang w:eastAsia="en-US"/>
        </w:rPr>
        <w:lastRenderedPageBreak/>
        <w:t>El inhibidor de la cápside (</w:t>
      </w:r>
      <w:r w:rsidRPr="0013073F">
        <w:rPr>
          <w:rFonts w:ascii="Arial" w:hAnsi="Arial" w:cs="Arial"/>
          <w:b/>
          <w:highlight w:val="yellow"/>
          <w:lang w:eastAsia="en-US"/>
        </w:rPr>
        <w:t>GS-6207</w:t>
      </w:r>
      <w:r>
        <w:rPr>
          <w:rFonts w:ascii="Arial" w:hAnsi="Arial" w:cs="Arial"/>
          <w:highlight w:val="yellow"/>
          <w:vertAlign w:val="superscript"/>
          <w:lang w:eastAsia="en-US"/>
        </w:rPr>
        <w:t>47</w:t>
      </w:r>
      <w:r w:rsidRPr="0013073F">
        <w:rPr>
          <w:rFonts w:ascii="Arial" w:hAnsi="Arial" w:cs="Arial"/>
          <w:highlight w:val="yellow"/>
          <w:lang w:eastAsia="en-US"/>
        </w:rPr>
        <w:t xml:space="preserve">, Gilead Sciences) y el inhibidor de la traslocación de la RT </w:t>
      </w:r>
      <w:r w:rsidRPr="0013073F">
        <w:rPr>
          <w:rFonts w:ascii="Arial" w:hAnsi="Arial" w:cs="Arial"/>
          <w:b/>
          <w:highlight w:val="yellow"/>
          <w:lang w:eastAsia="en-US"/>
        </w:rPr>
        <w:t>Islatravir</w:t>
      </w:r>
      <w:r>
        <w:rPr>
          <w:rFonts w:ascii="Arial" w:hAnsi="Arial" w:cs="Arial"/>
          <w:highlight w:val="yellow"/>
          <w:vertAlign w:val="superscript"/>
          <w:lang w:eastAsia="en-US"/>
        </w:rPr>
        <w:t>48</w:t>
      </w:r>
      <w:r w:rsidRPr="0013073F">
        <w:rPr>
          <w:rFonts w:ascii="Arial" w:hAnsi="Arial" w:cs="Arial"/>
          <w:highlight w:val="yellow"/>
          <w:lang w:eastAsia="en-US"/>
        </w:rPr>
        <w:t xml:space="preserve"> (EfDA, MSD) son nuevas opciones terapéuticas altamente prometedoras que pronto estarán disponibles para pacientes en fracaso terapéutico avanzado mediante ensayos clínicos en fase II. </w:t>
      </w:r>
    </w:p>
    <w:p w14:paraId="5727A9E8" w14:textId="77777777" w:rsidR="00802EB8" w:rsidRDefault="00802EB8" w:rsidP="00802EB8">
      <w:pPr>
        <w:spacing w:before="120" w:after="120" w:line="276" w:lineRule="auto"/>
        <w:jc w:val="both"/>
        <w:rPr>
          <w:rFonts w:ascii="Arial" w:hAnsi="Arial" w:cs="Arial"/>
        </w:rPr>
      </w:pPr>
    </w:p>
    <w:p w14:paraId="27AE0C1E" w14:textId="77777777" w:rsidR="00802EB8" w:rsidRPr="00BD7490" w:rsidRDefault="00802EB8" w:rsidP="00802EB8">
      <w:pPr>
        <w:autoSpaceDE w:val="0"/>
        <w:autoSpaceDN w:val="0"/>
        <w:adjustRightInd w:val="0"/>
        <w:spacing w:before="120" w:after="120" w:line="276" w:lineRule="auto"/>
        <w:jc w:val="both"/>
        <w:rPr>
          <w:rFonts w:ascii="Arial" w:hAnsi="Arial" w:cs="Arial"/>
          <w:b/>
          <w:i/>
          <w:highlight w:val="yellow"/>
        </w:rPr>
      </w:pPr>
      <w:r w:rsidRPr="00C40A9D">
        <w:rPr>
          <w:rFonts w:ascii="Arial" w:hAnsi="Arial" w:cs="Arial"/>
          <w:b/>
          <w:i/>
          <w:highlight w:val="yellow"/>
        </w:rPr>
        <w:t xml:space="preserve">Recomendaciones </w:t>
      </w:r>
      <w:r>
        <w:rPr>
          <w:rFonts w:ascii="Arial" w:hAnsi="Arial" w:cs="Arial"/>
          <w:b/>
          <w:i/>
          <w:highlight w:val="yellow"/>
        </w:rPr>
        <w:t>en</w:t>
      </w:r>
      <w:r w:rsidRPr="00C40A9D">
        <w:rPr>
          <w:rFonts w:ascii="Arial" w:hAnsi="Arial" w:cs="Arial"/>
          <w:b/>
          <w:i/>
          <w:highlight w:val="yellow"/>
        </w:rPr>
        <w:t xml:space="preserve"> </w:t>
      </w:r>
      <w:r>
        <w:rPr>
          <w:rFonts w:ascii="Arial" w:hAnsi="Arial" w:cs="Arial"/>
          <w:b/>
          <w:i/>
          <w:highlight w:val="yellow"/>
        </w:rPr>
        <w:t>pacientes sin opciones terapéuticas</w:t>
      </w:r>
      <w:r w:rsidRPr="00C40A9D">
        <w:rPr>
          <w:rFonts w:ascii="Arial" w:hAnsi="Arial" w:cs="Arial"/>
          <w:b/>
          <w:i/>
          <w:highlight w:val="yellow"/>
        </w:rPr>
        <w:t xml:space="preserve">: </w:t>
      </w:r>
    </w:p>
    <w:p w14:paraId="5B13956B" w14:textId="77777777" w:rsidR="00802EB8" w:rsidRPr="00BD7490" w:rsidRDefault="00802EB8" w:rsidP="00802EB8">
      <w:pPr>
        <w:pStyle w:val="Prrafodelista"/>
        <w:numPr>
          <w:ilvl w:val="0"/>
          <w:numId w:val="49"/>
        </w:numPr>
        <w:spacing w:before="120" w:after="120" w:line="276" w:lineRule="auto"/>
        <w:jc w:val="both"/>
        <w:rPr>
          <w:rFonts w:ascii="Arial" w:hAnsi="Arial" w:cs="Arial"/>
          <w:lang w:eastAsia="en-US"/>
        </w:rPr>
      </w:pPr>
      <w:r>
        <w:rPr>
          <w:rFonts w:ascii="Arial" w:hAnsi="Arial" w:cs="Arial"/>
        </w:rPr>
        <w:t>S</w:t>
      </w:r>
      <w:r w:rsidRPr="00BD7490">
        <w:rPr>
          <w:rFonts w:ascii="Arial" w:hAnsi="Arial" w:cs="Arial"/>
        </w:rPr>
        <w:t xml:space="preserve">e recomienda derivar al paciente a un centro con experiencia y acceso a nuevos FAR mediante ensayos o programas de acceso expandido, que puedan estar disponibles </w:t>
      </w:r>
      <w:r w:rsidRPr="001267E2">
        <w:rPr>
          <w:rFonts w:ascii="Arial" w:hAnsi="Arial" w:cs="Arial"/>
          <w:b/>
          <w:i/>
        </w:rPr>
        <w:t>(A-III)</w:t>
      </w:r>
      <w:r>
        <w:rPr>
          <w:rFonts w:ascii="Arial" w:hAnsi="Arial" w:cs="Arial"/>
          <w:b/>
          <w:i/>
        </w:rPr>
        <w:t>.</w:t>
      </w:r>
    </w:p>
    <w:p w14:paraId="1957FE65" w14:textId="77777777" w:rsidR="00802EB8" w:rsidRDefault="00802EB8" w:rsidP="00802EB8">
      <w:pPr>
        <w:pStyle w:val="Prrafodelista"/>
        <w:numPr>
          <w:ilvl w:val="0"/>
          <w:numId w:val="49"/>
        </w:numPr>
        <w:spacing w:before="120" w:after="120" w:line="276" w:lineRule="auto"/>
        <w:jc w:val="both"/>
        <w:rPr>
          <w:rFonts w:ascii="Arial" w:hAnsi="Arial" w:cs="Arial"/>
        </w:rPr>
      </w:pPr>
      <w:r w:rsidRPr="00BD7490">
        <w:rPr>
          <w:rFonts w:ascii="Arial" w:hAnsi="Arial" w:cs="Arial"/>
        </w:rPr>
        <w:t xml:space="preserve">Si no es posible construir un TAR de rescate efectivo con al menos dos FAR activos, debe intentarse no exponer al paciente a monoterapia funcional con un solo FAR por el elevado riesgo de FV y selección de MR a ese único FAR </w:t>
      </w:r>
      <w:r w:rsidRPr="001267E2">
        <w:rPr>
          <w:rFonts w:ascii="Arial" w:hAnsi="Arial" w:cs="Arial"/>
          <w:b/>
          <w:i/>
        </w:rPr>
        <w:t>(A-III)</w:t>
      </w:r>
      <w:r>
        <w:rPr>
          <w:rFonts w:ascii="Arial" w:hAnsi="Arial" w:cs="Arial"/>
          <w:b/>
          <w:i/>
        </w:rPr>
        <w:t>.</w:t>
      </w:r>
    </w:p>
    <w:p w14:paraId="5FC717F8" w14:textId="77777777" w:rsidR="00802EB8" w:rsidRDefault="00802EB8" w:rsidP="00802EB8">
      <w:pPr>
        <w:pStyle w:val="Prrafodelista"/>
        <w:numPr>
          <w:ilvl w:val="0"/>
          <w:numId w:val="49"/>
        </w:numPr>
        <w:spacing w:before="120" w:after="120" w:line="276" w:lineRule="auto"/>
        <w:jc w:val="both"/>
        <w:rPr>
          <w:rFonts w:ascii="Arial" w:hAnsi="Arial" w:cs="Arial"/>
        </w:rPr>
      </w:pPr>
      <w:r w:rsidRPr="00BD7490">
        <w:rPr>
          <w:rFonts w:ascii="Arial" w:hAnsi="Arial" w:cs="Arial"/>
        </w:rPr>
        <w:t xml:space="preserve">Se recomienda esperar la aparición de nuevo FAR adicional que permita construir un esquema supresor. </w:t>
      </w:r>
      <w:r w:rsidRPr="00BD7490">
        <w:rPr>
          <w:rFonts w:ascii="Arial" w:hAnsi="Arial" w:cs="Arial"/>
          <w:highlight w:val="yellow"/>
        </w:rPr>
        <w:t>Mientras, se construirá un tratamiento “puente” que combine efectividad residual de los fármacos y permita una supresión parcial de la replicación viral, minimizando la acumulación de MR que limiten la efectividad de futuros fármacos</w:t>
      </w:r>
      <w:r w:rsidRPr="00BD7490">
        <w:rPr>
          <w:rFonts w:ascii="Arial" w:hAnsi="Arial" w:cs="Arial"/>
        </w:rPr>
        <w:t xml:space="preserve">. El objetivo de este TAR “puente” es retrasar la progresión clínica, el deterioro inmunológico y limitar la acumulación de MR </w:t>
      </w:r>
      <w:r w:rsidRPr="001267E2">
        <w:rPr>
          <w:rFonts w:ascii="Arial" w:hAnsi="Arial" w:cs="Arial"/>
          <w:b/>
          <w:i/>
        </w:rPr>
        <w:t>(A-III)</w:t>
      </w:r>
      <w:r>
        <w:rPr>
          <w:rFonts w:ascii="Arial" w:hAnsi="Arial" w:cs="Arial"/>
          <w:b/>
          <w:i/>
        </w:rPr>
        <w:t>.</w:t>
      </w:r>
    </w:p>
    <w:p w14:paraId="73EF7688" w14:textId="77777777" w:rsidR="00802EB8" w:rsidRPr="00BD7490" w:rsidRDefault="00802EB8" w:rsidP="00802EB8">
      <w:pPr>
        <w:pStyle w:val="Prrafodelista"/>
        <w:numPr>
          <w:ilvl w:val="0"/>
          <w:numId w:val="49"/>
        </w:numPr>
        <w:spacing w:before="120" w:after="120" w:line="276" w:lineRule="auto"/>
        <w:jc w:val="both"/>
        <w:rPr>
          <w:rFonts w:ascii="Arial" w:hAnsi="Arial" w:cs="Arial"/>
        </w:rPr>
      </w:pPr>
      <w:r w:rsidRPr="00BD7490">
        <w:rPr>
          <w:rFonts w:ascii="Arial" w:hAnsi="Arial" w:cs="Arial"/>
          <w:highlight w:val="yellow"/>
        </w:rPr>
        <w:t>En cuanto sea posible, este tratamiento debe cambiarse a un TAR supresor con 2-3 FAR activos</w:t>
      </w:r>
      <w:r>
        <w:rPr>
          <w:rFonts w:ascii="Arial" w:hAnsi="Arial" w:cs="Arial"/>
          <w:highlight w:val="yellow"/>
        </w:rPr>
        <w:t xml:space="preserve"> </w:t>
      </w:r>
      <w:r w:rsidRPr="001267E2">
        <w:rPr>
          <w:rFonts w:ascii="Arial" w:hAnsi="Arial" w:cs="Arial"/>
          <w:b/>
          <w:i/>
          <w:highlight w:val="yellow"/>
        </w:rPr>
        <w:t>(A-III)</w:t>
      </w:r>
      <w:r>
        <w:rPr>
          <w:rFonts w:ascii="Arial" w:hAnsi="Arial" w:cs="Arial"/>
          <w:b/>
          <w:i/>
          <w:highlight w:val="yellow"/>
        </w:rPr>
        <w:t>.</w:t>
      </w:r>
    </w:p>
    <w:p w14:paraId="44A33FC2" w14:textId="77777777" w:rsidR="00802EB8" w:rsidRPr="00BD7490" w:rsidRDefault="00802EB8" w:rsidP="00802EB8">
      <w:pPr>
        <w:pStyle w:val="Prrafodelista"/>
        <w:numPr>
          <w:ilvl w:val="0"/>
          <w:numId w:val="49"/>
        </w:numPr>
        <w:spacing w:before="120" w:after="120" w:line="276" w:lineRule="auto"/>
        <w:jc w:val="both"/>
        <w:rPr>
          <w:rFonts w:ascii="Arial" w:hAnsi="Arial" w:cs="Arial"/>
        </w:rPr>
      </w:pPr>
      <w:r w:rsidRPr="00BD7490">
        <w:rPr>
          <w:rFonts w:ascii="Arial" w:hAnsi="Arial" w:cs="Arial"/>
          <w:highlight w:val="yellow"/>
        </w:rPr>
        <w:t>Jamás</w:t>
      </w:r>
      <w:r w:rsidRPr="00BD7490">
        <w:rPr>
          <w:rFonts w:ascii="Arial" w:hAnsi="Arial" w:cs="Arial"/>
        </w:rPr>
        <w:t xml:space="preserve"> debe interrumpirse el TAR, ya que el descenso de la cifra de linfocitos CD4+ es mayor que si se continúa administrando un TAR no supresor</w:t>
      </w:r>
      <w:r>
        <w:rPr>
          <w:rFonts w:ascii="Arial" w:hAnsi="Arial" w:cs="Arial"/>
          <w:vertAlign w:val="superscript"/>
        </w:rPr>
        <w:t>49</w:t>
      </w:r>
      <w:r w:rsidRPr="001267E2">
        <w:rPr>
          <w:rFonts w:ascii="Arial" w:hAnsi="Arial" w:cs="Arial"/>
          <w:b/>
          <w:i/>
        </w:rPr>
        <w:t>(A-I).</w:t>
      </w:r>
    </w:p>
    <w:p w14:paraId="45D1D529" w14:textId="77777777" w:rsidR="00802EB8" w:rsidRPr="0043618A" w:rsidRDefault="00802EB8" w:rsidP="00802EB8">
      <w:pPr>
        <w:spacing w:before="120" w:after="120" w:line="276" w:lineRule="auto"/>
        <w:jc w:val="both"/>
        <w:rPr>
          <w:rFonts w:ascii="Arial" w:hAnsi="Arial" w:cs="Arial"/>
          <w:b/>
          <w:bCs/>
          <w:color w:val="AE1C1F"/>
        </w:rPr>
      </w:pPr>
    </w:p>
    <w:p w14:paraId="1DEB5E03" w14:textId="77777777" w:rsidR="00802EB8" w:rsidRPr="00226E27" w:rsidRDefault="00802EB8" w:rsidP="00802EB8">
      <w:pPr>
        <w:spacing w:before="120" w:after="120" w:line="276" w:lineRule="auto"/>
        <w:jc w:val="both"/>
        <w:rPr>
          <w:rFonts w:ascii="Arial" w:hAnsi="Arial" w:cs="Arial"/>
          <w:b/>
          <w:bCs/>
          <w:color w:val="BC1E22"/>
          <w:lang w:eastAsia="en-US"/>
        </w:rPr>
      </w:pPr>
      <w:r w:rsidRPr="00226E27">
        <w:rPr>
          <w:rFonts w:ascii="Arial" w:hAnsi="Arial" w:cs="Arial"/>
          <w:b/>
          <w:bCs/>
          <w:color w:val="BC1E22"/>
          <w:lang w:eastAsia="en-US"/>
        </w:rPr>
        <w:t>Referencias bibliográficas:</w:t>
      </w:r>
    </w:p>
    <w:p w14:paraId="698263F1" w14:textId="77777777" w:rsidR="00802EB8" w:rsidRPr="00226E27" w:rsidRDefault="00802EB8" w:rsidP="00802EB8">
      <w:pPr>
        <w:spacing w:line="276" w:lineRule="auto"/>
        <w:jc w:val="both"/>
        <w:rPr>
          <w:rFonts w:ascii="Arial" w:hAnsi="Arial" w:cs="Arial"/>
          <w:b/>
          <w:color w:val="AE1C1F"/>
        </w:rPr>
      </w:pPr>
    </w:p>
    <w:p w14:paraId="4A40FFFF" w14:textId="77777777" w:rsidR="00802EB8" w:rsidRPr="00226E27" w:rsidRDefault="00802EB8" w:rsidP="00802EB8">
      <w:pPr>
        <w:spacing w:line="276" w:lineRule="auto"/>
        <w:jc w:val="both"/>
        <w:rPr>
          <w:rFonts w:ascii="Arial" w:hAnsi="Arial" w:cs="Arial"/>
          <w:b/>
          <w:color w:val="AE1C1F"/>
        </w:rPr>
        <w:sectPr w:rsidR="00802EB8" w:rsidRPr="00226E27" w:rsidSect="004D2FE6">
          <w:pgSz w:w="11906" w:h="16838"/>
          <w:pgMar w:top="1417" w:right="1701" w:bottom="1417" w:left="1701" w:header="708" w:footer="708" w:gutter="0"/>
          <w:cols w:sep="1" w:space="709"/>
          <w:docGrid w:linePitch="360"/>
        </w:sectPr>
      </w:pPr>
    </w:p>
    <w:p w14:paraId="3AA9C59C" w14:textId="77777777" w:rsidR="00802EB8" w:rsidRPr="002A7499" w:rsidRDefault="00802EB8" w:rsidP="00802EB8">
      <w:pPr>
        <w:spacing w:line="276" w:lineRule="auto"/>
        <w:jc w:val="both"/>
        <w:rPr>
          <w:rFonts w:ascii="Arial" w:hAnsi="Arial" w:cs="Arial"/>
          <w:sz w:val="18"/>
          <w:szCs w:val="18"/>
          <w:lang w:val="en-US" w:eastAsia="en-US"/>
        </w:rPr>
      </w:pPr>
      <w:r w:rsidRPr="00226E27">
        <w:rPr>
          <w:rFonts w:ascii="Arial" w:hAnsi="Arial" w:cs="Arial"/>
          <w:sz w:val="18"/>
          <w:szCs w:val="18"/>
          <w:lang w:eastAsia="en-US"/>
        </w:rPr>
        <w:t xml:space="preserve">1. Lee PK, Kieffer TL, Siliciano RF, et al. </w:t>
      </w:r>
      <w:r w:rsidRPr="002A7499">
        <w:rPr>
          <w:rFonts w:ascii="Arial" w:hAnsi="Arial" w:cs="Arial"/>
          <w:sz w:val="18"/>
          <w:szCs w:val="18"/>
          <w:lang w:val="en-US" w:eastAsia="en-US"/>
        </w:rPr>
        <w:t>HIV-1 viral load blips are of limited clinical significance. J Antimicrob</w:t>
      </w:r>
      <w:r>
        <w:rPr>
          <w:rFonts w:ascii="Arial" w:hAnsi="Arial" w:cs="Arial"/>
          <w:sz w:val="18"/>
          <w:szCs w:val="18"/>
          <w:lang w:val="en-US" w:eastAsia="en-US"/>
        </w:rPr>
        <w:t xml:space="preserve"> </w:t>
      </w:r>
      <w:r w:rsidRPr="002A7499">
        <w:rPr>
          <w:rFonts w:ascii="Arial" w:hAnsi="Arial" w:cs="Arial"/>
          <w:sz w:val="18"/>
          <w:szCs w:val="18"/>
          <w:lang w:val="en-US" w:eastAsia="en-US"/>
        </w:rPr>
        <w:t>Chemother 2006;57:803-5.</w:t>
      </w:r>
    </w:p>
    <w:p w14:paraId="1E0EC1B3" w14:textId="77777777" w:rsidR="00802EB8" w:rsidRPr="002A7499"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val="en-US" w:eastAsia="en-US"/>
        </w:rPr>
        <w:t xml:space="preserve">2. Grennan JT, Loutfy MR, Su D, et al. Magnitude of virologic blips is associated with a higher risk for virologic rebound in HIV-infected individuals: a recurrent events analysis. </w:t>
      </w:r>
      <w:r w:rsidRPr="002A7499">
        <w:rPr>
          <w:rFonts w:ascii="Arial" w:hAnsi="Arial" w:cs="Arial"/>
          <w:sz w:val="18"/>
          <w:szCs w:val="18"/>
          <w:lang w:eastAsia="en-US"/>
        </w:rPr>
        <w:t>J Infect</w:t>
      </w:r>
      <w:r>
        <w:rPr>
          <w:rFonts w:ascii="Arial" w:hAnsi="Arial" w:cs="Arial"/>
          <w:sz w:val="18"/>
          <w:szCs w:val="18"/>
          <w:lang w:eastAsia="en-US"/>
        </w:rPr>
        <w:t xml:space="preserve"> </w:t>
      </w:r>
      <w:r w:rsidRPr="002A7499">
        <w:rPr>
          <w:rFonts w:ascii="Arial" w:hAnsi="Arial" w:cs="Arial"/>
          <w:sz w:val="18"/>
          <w:szCs w:val="18"/>
          <w:lang w:eastAsia="en-US"/>
        </w:rPr>
        <w:t>Dis 2012;205:1230-8.</w:t>
      </w:r>
    </w:p>
    <w:p w14:paraId="3729A334"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eastAsia="en-US"/>
        </w:rPr>
        <w:t xml:space="preserve">3. Palella FJ, Jr., Armon C, Buchacz K, et al. </w:t>
      </w:r>
      <w:r w:rsidRPr="002A7499">
        <w:rPr>
          <w:rFonts w:ascii="Arial" w:hAnsi="Arial" w:cs="Arial"/>
          <w:sz w:val="18"/>
          <w:szCs w:val="18"/>
          <w:lang w:val="en-US" w:eastAsia="en-US"/>
        </w:rPr>
        <w:t>The association of HIV susceptibility testing with survival among HIV-infected patients receiving antiretroviral therapy: a cohort study. Ann Intern Med 2009;151:73-84.</w:t>
      </w:r>
    </w:p>
    <w:p w14:paraId="5366DE0D" w14:textId="77777777" w:rsidR="00802EB8" w:rsidRPr="002A7499"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val="en-US" w:eastAsia="en-US"/>
        </w:rPr>
        <w:t xml:space="preserve">4. Rhee SY, Fessel WJ, Liu TF, et al. Predictive value of HIV-1 genotypic resistance test </w:t>
      </w:r>
      <w:r w:rsidRPr="002A7499">
        <w:rPr>
          <w:rFonts w:ascii="Arial" w:hAnsi="Arial" w:cs="Arial"/>
          <w:sz w:val="18"/>
          <w:szCs w:val="18"/>
          <w:lang w:val="en-US" w:eastAsia="en-US"/>
        </w:rPr>
        <w:t xml:space="preserve">interpretation algorithms. </w:t>
      </w:r>
      <w:r w:rsidRPr="002A7499">
        <w:rPr>
          <w:rFonts w:ascii="Arial" w:hAnsi="Arial" w:cs="Arial"/>
          <w:sz w:val="18"/>
          <w:szCs w:val="18"/>
          <w:lang w:eastAsia="en-US"/>
        </w:rPr>
        <w:t>J Infect</w:t>
      </w:r>
      <w:r>
        <w:rPr>
          <w:rFonts w:ascii="Arial" w:hAnsi="Arial" w:cs="Arial"/>
          <w:sz w:val="18"/>
          <w:szCs w:val="18"/>
          <w:lang w:eastAsia="en-US"/>
        </w:rPr>
        <w:t xml:space="preserve"> </w:t>
      </w:r>
      <w:r w:rsidRPr="002A7499">
        <w:rPr>
          <w:rFonts w:ascii="Arial" w:hAnsi="Arial" w:cs="Arial"/>
          <w:sz w:val="18"/>
          <w:szCs w:val="18"/>
          <w:lang w:eastAsia="en-US"/>
        </w:rPr>
        <w:t>Dis 2009; 200:453-63.</w:t>
      </w:r>
    </w:p>
    <w:p w14:paraId="2C618299"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eastAsia="en-US"/>
        </w:rPr>
        <w:t xml:space="preserve">5. Pou C, Noguera-Julian M, Perez-Alvarez S, et al. </w:t>
      </w:r>
      <w:r w:rsidRPr="002A7499">
        <w:rPr>
          <w:rFonts w:ascii="Arial" w:hAnsi="Arial" w:cs="Arial"/>
          <w:sz w:val="18"/>
          <w:szCs w:val="18"/>
          <w:lang w:val="en-US" w:eastAsia="en-US"/>
        </w:rPr>
        <w:t>Improved prediction of salvage antiretroviral therapy outcomes using ultrasensitive HIV-1 drug resistance testing.</w:t>
      </w:r>
      <w:r>
        <w:rPr>
          <w:rFonts w:ascii="Arial" w:hAnsi="Arial" w:cs="Arial"/>
          <w:sz w:val="18"/>
          <w:szCs w:val="18"/>
          <w:lang w:val="en-US" w:eastAsia="en-US"/>
        </w:rPr>
        <w:t xml:space="preserve"> </w:t>
      </w:r>
      <w:r w:rsidRPr="002A7499">
        <w:rPr>
          <w:rFonts w:ascii="Arial" w:hAnsi="Arial" w:cs="Arial"/>
          <w:sz w:val="18"/>
          <w:szCs w:val="18"/>
          <w:lang w:val="en-US" w:eastAsia="en-US"/>
        </w:rPr>
        <w:t>Clin Infect Dis 2014; 59:578-88.</w:t>
      </w:r>
    </w:p>
    <w:p w14:paraId="33DBF44F"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6. Grinsztejn B, Hosseinipour MC, Ribaudo HJ, et al. Effects of early versus delayed initiation of antiretroviral treatment on clinical outcomes of HIV-1 infection: results from the phase 3 HPTN 052 randomised controlled trial. Lancet Infect Dis 2014;14:281-90.</w:t>
      </w:r>
    </w:p>
    <w:p w14:paraId="1838548A" w14:textId="77777777" w:rsidR="00802EB8"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7. Ryscavage P, Kelly S, Li JZ, et al. Significance and clinical management of persistent low-level viremia and very-low-level viremia in HIV-1-</w:t>
      </w:r>
      <w:r w:rsidRPr="002A7499">
        <w:rPr>
          <w:rFonts w:ascii="Arial" w:hAnsi="Arial" w:cs="Arial"/>
          <w:sz w:val="18"/>
          <w:szCs w:val="18"/>
          <w:lang w:val="en-US" w:eastAsia="en-US"/>
        </w:rPr>
        <w:lastRenderedPageBreak/>
        <w:t>infected patients. Antimicrob Agents Chemother 2014; 58:3585-98.</w:t>
      </w:r>
    </w:p>
    <w:p w14:paraId="441003CE" w14:textId="77777777" w:rsidR="00802EB8" w:rsidRPr="0013073F" w:rsidRDefault="00802EB8" w:rsidP="00802EB8">
      <w:pPr>
        <w:spacing w:before="120" w:after="120"/>
        <w:jc w:val="both"/>
        <w:rPr>
          <w:rFonts w:ascii="Arial" w:hAnsi="Arial" w:cs="Arial"/>
          <w:sz w:val="18"/>
          <w:szCs w:val="18"/>
          <w:highlight w:val="yellow"/>
          <w:lang w:val="en-US" w:eastAsia="en-US"/>
        </w:rPr>
      </w:pPr>
      <w:r w:rsidRPr="0013073F">
        <w:rPr>
          <w:rFonts w:ascii="Arial" w:hAnsi="Arial" w:cs="Arial"/>
          <w:sz w:val="18"/>
          <w:szCs w:val="18"/>
          <w:highlight w:val="yellow"/>
          <w:lang w:val="en-US" w:eastAsia="en-US"/>
        </w:rPr>
        <w:t>7b. Jacobs</w:t>
      </w:r>
      <w:r>
        <w:rPr>
          <w:rFonts w:ascii="Arial" w:hAnsi="Arial" w:cs="Arial"/>
          <w:sz w:val="18"/>
          <w:szCs w:val="18"/>
          <w:highlight w:val="yellow"/>
          <w:lang w:val="en-US" w:eastAsia="en-US"/>
        </w:rPr>
        <w:t xml:space="preserve"> JL</w:t>
      </w:r>
      <w:r w:rsidRPr="0013073F">
        <w:rPr>
          <w:rFonts w:ascii="Arial" w:hAnsi="Arial" w:cs="Arial"/>
          <w:sz w:val="18"/>
          <w:szCs w:val="18"/>
          <w:highlight w:val="yellow"/>
          <w:lang w:val="en-US" w:eastAsia="en-US"/>
        </w:rPr>
        <w:t>, Halvas</w:t>
      </w:r>
      <w:r>
        <w:rPr>
          <w:rFonts w:ascii="Arial" w:hAnsi="Arial" w:cs="Arial"/>
          <w:sz w:val="18"/>
          <w:szCs w:val="18"/>
          <w:highlight w:val="yellow"/>
          <w:lang w:val="en-US" w:eastAsia="en-US"/>
        </w:rPr>
        <w:t xml:space="preserve"> EK</w:t>
      </w:r>
      <w:r w:rsidRPr="0013073F">
        <w:rPr>
          <w:rFonts w:ascii="Arial" w:hAnsi="Arial" w:cs="Arial"/>
          <w:sz w:val="18"/>
          <w:szCs w:val="18"/>
          <w:highlight w:val="yellow"/>
          <w:lang w:val="en-US" w:eastAsia="en-US"/>
        </w:rPr>
        <w:t>, Tosiano</w:t>
      </w:r>
      <w:r>
        <w:rPr>
          <w:rFonts w:ascii="Arial" w:hAnsi="Arial" w:cs="Arial"/>
          <w:sz w:val="18"/>
          <w:szCs w:val="18"/>
          <w:highlight w:val="yellow"/>
          <w:lang w:val="en-US" w:eastAsia="en-US"/>
        </w:rPr>
        <w:t xml:space="preserve"> MA</w:t>
      </w:r>
      <w:r w:rsidRPr="0013073F">
        <w:rPr>
          <w:rFonts w:ascii="Arial" w:hAnsi="Arial" w:cs="Arial"/>
          <w:sz w:val="18"/>
          <w:szCs w:val="18"/>
          <w:highlight w:val="yellow"/>
          <w:lang w:val="en-US" w:eastAsia="en-US"/>
        </w:rPr>
        <w:t xml:space="preserve"> Mellors</w:t>
      </w:r>
      <w:r>
        <w:rPr>
          <w:rFonts w:ascii="Arial" w:hAnsi="Arial" w:cs="Arial"/>
          <w:sz w:val="18"/>
          <w:szCs w:val="18"/>
          <w:highlight w:val="yellow"/>
          <w:lang w:val="en-US" w:eastAsia="en-US"/>
        </w:rPr>
        <w:t xml:space="preserve"> JW</w:t>
      </w:r>
      <w:r w:rsidRPr="0013073F">
        <w:rPr>
          <w:rFonts w:ascii="Arial" w:hAnsi="Arial" w:cs="Arial"/>
          <w:sz w:val="18"/>
          <w:szCs w:val="18"/>
          <w:highlight w:val="yellow"/>
          <w:lang w:val="en-US" w:eastAsia="en-US"/>
        </w:rPr>
        <w:t>. Persistent HIV-1 viremia on antiretroviral therapy: measurement and mechanisms. Front Microbiol 2019;10: 2383.</w:t>
      </w:r>
      <w:r w:rsidRPr="00DE1FDE">
        <w:rPr>
          <w:rFonts w:ascii="Arial" w:hAnsi="Arial" w:cs="Arial"/>
          <w:sz w:val="18"/>
          <w:szCs w:val="18"/>
          <w:lang w:val="en-US" w:eastAsia="en-US"/>
        </w:rPr>
        <w:t xml:space="preserve">  </w:t>
      </w:r>
    </w:p>
    <w:p w14:paraId="356ECF3A"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8. Laprise C, de Pokomandy A, Baril JG, et al. Virologic failure following persistent low-level viremia in a cohort of HIV-positive patients: results from 12 years of observation. Clin Infect Dis 2013;57:1489-96.</w:t>
      </w:r>
    </w:p>
    <w:p w14:paraId="7710B24B"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9. Vandenhende MA, Ingle S, May M, et al. Impact of low-level viremia on clinical and virological outcomes in treated HIV-1-infected patients. AIDS 2015; 29:373-83.</w:t>
      </w:r>
    </w:p>
    <w:p w14:paraId="5694D95C" w14:textId="77777777" w:rsidR="00802EB8" w:rsidRPr="002A7499"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10. Taiwo B, Gallien S, Aga E, et al. </w:t>
      </w:r>
      <w:r w:rsidRPr="002A7499">
        <w:rPr>
          <w:rFonts w:ascii="Arial" w:hAnsi="Arial" w:cs="Arial"/>
          <w:sz w:val="18"/>
          <w:szCs w:val="18"/>
          <w:lang w:val="en-US" w:eastAsia="en-US"/>
        </w:rPr>
        <w:t>Antiretroviral drug resistance in HIV-1-infected patients experiencing persistent low-level viremia during first-line therapy. J Infect Dis 2011;204:515-20.</w:t>
      </w:r>
    </w:p>
    <w:p w14:paraId="276390D7" w14:textId="77777777" w:rsidR="00802EB8" w:rsidRPr="002A7499" w:rsidRDefault="00802EB8" w:rsidP="00802EB8">
      <w:pPr>
        <w:spacing w:before="120" w:after="120"/>
        <w:jc w:val="both"/>
        <w:rPr>
          <w:rFonts w:ascii="Arial" w:hAnsi="Arial" w:cs="Arial"/>
          <w:sz w:val="18"/>
          <w:szCs w:val="18"/>
          <w:lang w:eastAsia="en-US"/>
        </w:rPr>
      </w:pPr>
      <w:r w:rsidRPr="00E527D1">
        <w:rPr>
          <w:rFonts w:ascii="Arial" w:hAnsi="Arial" w:cs="Arial"/>
          <w:sz w:val="18"/>
          <w:szCs w:val="18"/>
          <w:lang w:val="en-US" w:eastAsia="en-US"/>
        </w:rPr>
        <w:t xml:space="preserve">11. Vandenhende MA, Perrier A, Bonnet F, et al. </w:t>
      </w:r>
      <w:r w:rsidRPr="002A7499">
        <w:rPr>
          <w:rFonts w:ascii="Arial" w:hAnsi="Arial" w:cs="Arial"/>
          <w:sz w:val="18"/>
          <w:szCs w:val="18"/>
          <w:lang w:val="en-US" w:eastAsia="en-US"/>
        </w:rPr>
        <w:t xml:space="preserve">Risk of virological failure in HIV-1-infected patients experiencing low-level viraemia under active antiretroviral therapy (ANRS C03 cohort study). </w:t>
      </w:r>
      <w:r w:rsidRPr="002A7499">
        <w:rPr>
          <w:rFonts w:ascii="Arial" w:hAnsi="Arial" w:cs="Arial"/>
          <w:sz w:val="18"/>
          <w:szCs w:val="18"/>
          <w:lang w:eastAsia="en-US"/>
        </w:rPr>
        <w:t>Antivir Ther 2015;20:655-60.</w:t>
      </w:r>
    </w:p>
    <w:p w14:paraId="31B84998" w14:textId="77777777" w:rsidR="00802EB8" w:rsidRPr="002A7499"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eastAsia="en-US"/>
        </w:rPr>
        <w:t>12. Parra-Ruiz J, Alvarez M, Chueca N, et al. Resistencias genotipicas en pacientes con VIH-1 y grados de viremia persistentemente bajos. Enferm Infecc Microbiol Clin 2009;27:75-80.</w:t>
      </w:r>
    </w:p>
    <w:p w14:paraId="05EC1C9F"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color w:val="000000"/>
          <w:sz w:val="18"/>
          <w:szCs w:val="18"/>
          <w:lang w:eastAsia="en-US"/>
        </w:rPr>
        <w:t xml:space="preserve">13. Sotillo A, Sierra O, Martínez-Prats L, et al. </w:t>
      </w:r>
      <w:r w:rsidRPr="002A7499">
        <w:rPr>
          <w:rFonts w:ascii="Arial" w:hAnsi="Arial" w:cs="Arial"/>
          <w:color w:val="000000"/>
          <w:sz w:val="18"/>
          <w:szCs w:val="18"/>
          <w:lang w:val="en-US" w:eastAsia="en-US"/>
        </w:rPr>
        <w:t xml:space="preserve">Analysis of drug resistance mutations in whole blood DNA from HIV-1 infected patients by single genome and ultradeep sequencing analysis. J Virol Methods 2018;260:1-5. </w:t>
      </w:r>
    </w:p>
    <w:p w14:paraId="4E12AF6A" w14:textId="77777777" w:rsidR="00802EB8" w:rsidRDefault="00802EB8" w:rsidP="00802EB8">
      <w:pPr>
        <w:autoSpaceDE w:val="0"/>
        <w:autoSpaceDN w:val="0"/>
        <w:adjustRightInd w:val="0"/>
        <w:spacing w:before="120" w:after="120"/>
        <w:jc w:val="both"/>
        <w:rPr>
          <w:rFonts w:ascii="Arial" w:hAnsi="Arial" w:cs="Arial"/>
          <w:sz w:val="18"/>
          <w:szCs w:val="18"/>
          <w:lang w:val="en-US"/>
        </w:rPr>
      </w:pPr>
      <w:r w:rsidRPr="002A7499">
        <w:rPr>
          <w:rFonts w:ascii="Arial" w:hAnsi="Arial" w:cs="Arial"/>
          <w:sz w:val="18"/>
          <w:szCs w:val="18"/>
          <w:lang w:val="en-US"/>
        </w:rPr>
        <w:t xml:space="preserve">14. Bernal E, Gómez JM, Jarrín I, et al, Low-level viremia is associated with clinical progression in HIV-infected patients receiving antiretroviral treatment. J Acquir Immune Defic Syndr 2018;78:329-337. </w:t>
      </w:r>
    </w:p>
    <w:p w14:paraId="3DE0636E" w14:textId="77777777" w:rsidR="00802EB8" w:rsidRDefault="00802EB8" w:rsidP="00802EB8">
      <w:pPr>
        <w:jc w:val="both"/>
        <w:rPr>
          <w:rFonts w:ascii="Arial" w:hAnsi="Arial" w:cs="Arial"/>
          <w:sz w:val="18"/>
          <w:szCs w:val="18"/>
          <w:lang w:val="en-US"/>
        </w:rPr>
      </w:pPr>
      <w:r w:rsidRPr="0013073F">
        <w:rPr>
          <w:rFonts w:ascii="Arial" w:hAnsi="Arial" w:cs="Arial"/>
          <w:sz w:val="18"/>
          <w:szCs w:val="18"/>
          <w:highlight w:val="yellow"/>
          <w:lang w:val="en-US"/>
        </w:rPr>
        <w:t>14b. Lübke N, Jensen B, Hüttig F,et al. Failure of Dolutegravir First-Line ART with Selection of Virus Carrying R263K and G118R. N Engl J Med 2019; 381:887-9.</w:t>
      </w:r>
      <w:r w:rsidRPr="00DE1FDE">
        <w:rPr>
          <w:rFonts w:ascii="Arial" w:hAnsi="Arial" w:cs="Arial"/>
          <w:sz w:val="18"/>
          <w:szCs w:val="18"/>
          <w:lang w:val="en-US"/>
        </w:rPr>
        <w:t xml:space="preserve"> </w:t>
      </w:r>
    </w:p>
    <w:p w14:paraId="64533858" w14:textId="77777777" w:rsidR="00802EB8" w:rsidRPr="002A7499" w:rsidRDefault="00802EB8" w:rsidP="00802EB8">
      <w:pPr>
        <w:rPr>
          <w:rFonts w:ascii="Arial" w:hAnsi="Arial" w:cs="Arial"/>
          <w:sz w:val="18"/>
          <w:szCs w:val="18"/>
          <w:lang w:val="en-US"/>
        </w:rPr>
      </w:pPr>
    </w:p>
    <w:p w14:paraId="67A56973"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15. Zheng Y, Hughes MD, Lockman S, et al. Antiretroviral therapy and efficacy after virologic failure on first-line boosted protease inhibitor regimens. Clin Infect Dis 2014;59:888-96.</w:t>
      </w:r>
    </w:p>
    <w:p w14:paraId="4FCB46AE" w14:textId="77777777" w:rsidR="00802EB8"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16. Lepik KJ, Harrigan PR, Yip B, et al. Emergent drug resistance with integrase strand transfer inhibitor-based regimens. AIDS 2017; 31:1425-34.</w:t>
      </w:r>
    </w:p>
    <w:p w14:paraId="44635C40" w14:textId="77777777" w:rsidR="00802EB8" w:rsidRPr="002A7499"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17. Aboud M, Kaplan R, Lombaard J, et al. </w:t>
      </w:r>
      <w:r w:rsidRPr="0013073F">
        <w:rPr>
          <w:rFonts w:ascii="Arial" w:hAnsi="Arial" w:cs="Arial"/>
          <w:sz w:val="18"/>
          <w:szCs w:val="18"/>
          <w:highlight w:val="yellow"/>
          <w:lang w:val="en-US" w:eastAsia="en-US"/>
        </w:rPr>
        <w:t>Dolutegravir versus ritonavir-boosted lopinavir both with dual nucleoside reverse transcriptase inhibitor therapy in adults with HIV-1 infection in whom first-line therapy has failed (Dawning): an open-label, non-inferiority, phase 3b trial. Lancet Infect Dis 2019;19:253-64.</w:t>
      </w:r>
    </w:p>
    <w:p w14:paraId="32D6D154" w14:textId="77777777" w:rsidR="00802EB8" w:rsidRPr="002A7499"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18. Boyd MA, Kumarasamy N, Moore CL, et al. </w:t>
      </w:r>
      <w:r w:rsidRPr="002A7499">
        <w:rPr>
          <w:rFonts w:ascii="Arial" w:hAnsi="Arial" w:cs="Arial"/>
          <w:sz w:val="18"/>
          <w:szCs w:val="18"/>
          <w:lang w:val="en-US" w:eastAsia="en-US"/>
        </w:rPr>
        <w:t xml:space="preserve">Ritonavir-boosted lopinavir plus nucleoside or </w:t>
      </w:r>
      <w:r w:rsidRPr="002A7499">
        <w:rPr>
          <w:rFonts w:ascii="Arial" w:hAnsi="Arial" w:cs="Arial"/>
          <w:sz w:val="18"/>
          <w:szCs w:val="18"/>
          <w:lang w:val="en-US" w:eastAsia="en-US"/>
        </w:rPr>
        <w:t>nucleotide reverse transcriptase inhibitors versus ritonavir-boosted lopinavir plus raltegravir for treatment of HIV-1 infection in adults with virological failure of a standard first-line bART regimen (SECOND-LINE): a randomised, open-label, non-inferiority study. Lancet 2013; 381:2091-9.</w:t>
      </w:r>
    </w:p>
    <w:p w14:paraId="76294154"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19. Paton NI, Kityo C, Hoppe A, et al. Assessment of second-line antiretroviral regimens for HIV therapy in Africa. N Engl J Med 2014; 371: 234-47.</w:t>
      </w:r>
    </w:p>
    <w:p w14:paraId="27BC2E1A" w14:textId="77777777" w:rsidR="00802EB8" w:rsidRPr="002A7499" w:rsidRDefault="00802EB8" w:rsidP="00802EB8">
      <w:pPr>
        <w:pStyle w:val="HTMLconformatoprevio"/>
        <w:jc w:val="both"/>
        <w:rPr>
          <w:rFonts w:ascii="Arial" w:hAnsi="Arial" w:cs="Arial"/>
          <w:color w:val="000000"/>
          <w:sz w:val="18"/>
          <w:szCs w:val="18"/>
          <w:lang w:val="en-US"/>
        </w:rPr>
      </w:pPr>
      <w:r w:rsidRPr="002A7499">
        <w:rPr>
          <w:rFonts w:ascii="Arial" w:hAnsi="Arial" w:cs="Arial"/>
          <w:noProof/>
          <w:sz w:val="18"/>
          <w:szCs w:val="18"/>
          <w:lang w:val="en-US" w:eastAsia="en-US"/>
        </w:rPr>
        <w:t xml:space="preserve">20. </w:t>
      </w:r>
      <w:r w:rsidRPr="002A7499">
        <w:rPr>
          <w:rFonts w:ascii="Arial" w:hAnsi="Arial" w:cs="Arial"/>
          <w:color w:val="000000"/>
          <w:sz w:val="18"/>
          <w:szCs w:val="18"/>
          <w:lang w:val="en-US"/>
        </w:rPr>
        <w:t>La Rosa AM, Harrison LJ, Taiwo B, et al. Raltegravir in second-line antiretroviral therapy in resource-limited settings (SELECT): a randomised, phase 3, non-inferiority study. Lancet HIV 2016;3:e247-58.</w:t>
      </w:r>
    </w:p>
    <w:p w14:paraId="79415536"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21. Ruxrungtham K, Pedro RJ, Latiff GH, et al. Impact of reverse transcriptase resistance on the efficacy of TMC125 (etravirine) with two nucleoside reverse transcriptase inhibitors in protease inhibitor-naive, nonnucleoside reverse transcriptase inhibitor-experienced patients: study TMC125-C227. HIV Med 2008;9:883-96.</w:t>
      </w:r>
    </w:p>
    <w:p w14:paraId="5A6EFA8B"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22. Steigbigel RT, Cooper DA, Teppler H, et al. Long-term efficacy and safety of Raltegravir combined with optimized background therapy in treatment-experienced patients with drug-resistant HIV infection: week 96 results of the BENCHMRK 1 and 2 Phase III trials. Clin Infect Dis 2010;50:605-12.</w:t>
      </w:r>
    </w:p>
    <w:p w14:paraId="6E8E7F22"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23. Lazzarin A, Campbell T, Clotet B, et al. Efficacy and safety of TMC125 (etravirine) in treatment-experienced HIV-1-infected patients in DUET-2: 24-week results from a randomised, double-blind, placebo-controlled trial. Lancet 2007;370:39-48.</w:t>
      </w:r>
    </w:p>
    <w:p w14:paraId="6BB036FB"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24. Madruga JV, Cahn P, Grinsztejn B, et al. Efficacy and safety of TMC125 (etravirine) in treatment-experienced HIV-1-infected patients in DUET-1: 24-week results from a randomised, double-blind, placebo-controlled trial. Lancet 2007;370:29-38.</w:t>
      </w:r>
    </w:p>
    <w:p w14:paraId="623A304B"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25. Clotet B, Bellos N, Molina JM, et al. Efficacy and safety of darunavir-ritonavir at week 48 in treatment-experienced patients with HIV-1 infection in POWER 1 and 2: a pooled subgroup analysis of data from two randomised trials. Lancet 2007;369:1169-78.</w:t>
      </w:r>
    </w:p>
    <w:p w14:paraId="6D5BA9D9"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26. Madruga JV, Berger D, McMurchie M, et al. Efficacy and safety of darunavir-ritonavir compared with that of lopinavir-ritonavir at 48 weeks in treatment-experienced, HIV-infected patients in TITAN: a randomised controlled phase III trial. Lancet 2007;370:49-58.</w:t>
      </w:r>
    </w:p>
    <w:p w14:paraId="708FECA7"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27. Sension M, Cahn P, Domingo P, et al. Subgroup analysis of virological response rates with once- and twice-daily darunavir/ritonavir in treatment-experienced patients without darunavir resistance-associated mutations in the ODIN trial. HIV Med 2013;14:437-44.</w:t>
      </w:r>
    </w:p>
    <w:p w14:paraId="5C76C890"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lastRenderedPageBreak/>
        <w:t>28. Cahn P, Fourie J, Grinsztejn B, et al. Week 48 analysis of once-daily vs. twice-daily darunavir/ritonavir in treatment-experienced HIV-1-infected patients. AIDS 2011;25:929-39.</w:t>
      </w:r>
    </w:p>
    <w:p w14:paraId="53F92CEE" w14:textId="77777777" w:rsidR="00802EB8" w:rsidRPr="002A7499"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29. Katlama C, Haubrich R, Lalezari J, et al. </w:t>
      </w:r>
      <w:r w:rsidRPr="002A7499">
        <w:rPr>
          <w:rFonts w:ascii="Arial" w:hAnsi="Arial" w:cs="Arial"/>
          <w:sz w:val="18"/>
          <w:szCs w:val="18"/>
          <w:lang w:val="en-US" w:eastAsia="en-US"/>
        </w:rPr>
        <w:t>Efficacy and safety of etravirine in treatment-experienced, HIV-1 patients: pooled 48 week analysis of two randomized, controlled trials. AIDS 2009;23:2289-300.</w:t>
      </w:r>
    </w:p>
    <w:p w14:paraId="193D8087"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30. Gulick RM, Lalezari J, Goodrich J, et al. Maraviroc for previously treated patients with R5 HIV-1 infection. N Engl J Med 2008;359:1429-41.</w:t>
      </w:r>
    </w:p>
    <w:p w14:paraId="67787B41" w14:textId="77777777" w:rsidR="00802EB8" w:rsidRPr="002A7499"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val="en-US" w:eastAsia="en-US"/>
        </w:rPr>
        <w:t xml:space="preserve">31. Steigbigel RT, Cooper DA, Kumar PN, et al. Raltegravir with optimized background therapy for resistant HIV-1 infection. </w:t>
      </w:r>
      <w:r w:rsidRPr="002A7499">
        <w:rPr>
          <w:rFonts w:ascii="Arial" w:hAnsi="Arial" w:cs="Arial"/>
          <w:sz w:val="18"/>
          <w:szCs w:val="18"/>
          <w:lang w:eastAsia="en-US"/>
        </w:rPr>
        <w:t>N Engl J Med 2008; 359:339-54.</w:t>
      </w:r>
    </w:p>
    <w:p w14:paraId="141D6001" w14:textId="77777777" w:rsidR="00802EB8" w:rsidRPr="002A7499"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eastAsia="en-US"/>
        </w:rPr>
        <w:t xml:space="preserve">32. Yazdanpanah Y, Fagard C, Descamps D, et al. </w:t>
      </w:r>
      <w:r w:rsidRPr="002A7499">
        <w:rPr>
          <w:rFonts w:ascii="Arial" w:hAnsi="Arial" w:cs="Arial"/>
          <w:sz w:val="18"/>
          <w:szCs w:val="18"/>
          <w:lang w:val="en-US" w:eastAsia="en-US"/>
        </w:rPr>
        <w:t xml:space="preserve">High rate of virologic suppression with raltegravir plus etravirine and darunavir/ritonavir among treatment-experienced patients infected with multidrug-resistant HIV: results of the ANRS 139 TRIO trial. </w:t>
      </w:r>
      <w:r w:rsidRPr="002A7499">
        <w:rPr>
          <w:rFonts w:ascii="Arial" w:hAnsi="Arial" w:cs="Arial"/>
          <w:sz w:val="18"/>
          <w:szCs w:val="18"/>
          <w:lang w:eastAsia="en-US"/>
        </w:rPr>
        <w:t>Clin Infect Dis 2009;49:1441-9.</w:t>
      </w:r>
    </w:p>
    <w:p w14:paraId="45F8D5B6"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eastAsia="en-US"/>
        </w:rPr>
        <w:t xml:space="preserve">33. Imaz A, del Saz SV, Ribas MA, et al. </w:t>
      </w:r>
      <w:r w:rsidRPr="002A7499">
        <w:rPr>
          <w:rFonts w:ascii="Arial" w:hAnsi="Arial" w:cs="Arial"/>
          <w:sz w:val="18"/>
          <w:szCs w:val="18"/>
          <w:lang w:val="en-US" w:eastAsia="en-US"/>
        </w:rPr>
        <w:t>Raltegravir, etravirine, and ritonavir-boosted darunavir: a safe and successful rescue regimen for multidrug-resistant HIV-1 infection. J Acquir Immune Defic Syndr 2009;52:382-6.</w:t>
      </w:r>
    </w:p>
    <w:p w14:paraId="762B8EAA"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34. Nozza S, Galli L, Visco F, et al. Raltegravir, maraviroc, etravirine: an effective protease inhibitor and nucleoside reverse transcriptase inhibitor-sparing regimen for salvage therapy in HIV-infected patients with triple-class experience. AIDS 2010;24:924-8.</w:t>
      </w:r>
    </w:p>
    <w:p w14:paraId="000D1103"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35. Imaz A, Llibre JM, Mora M, et al. Efficacy and safety of nucleoside reverse transcriptase inhibitor-sparing salvage therapy for multidrug-resistant HIV-1 infection based on new-class and new-generation antiretrovirals. J Antimicrob Chemother 2011;66:358-62.</w:t>
      </w:r>
    </w:p>
    <w:p w14:paraId="1052604E" w14:textId="77777777" w:rsidR="00802EB8" w:rsidRDefault="00802EB8" w:rsidP="00802EB8">
      <w:pPr>
        <w:spacing w:before="120" w:after="120"/>
        <w:jc w:val="both"/>
        <w:rPr>
          <w:rFonts w:ascii="Arial" w:hAnsi="Arial" w:cs="Arial"/>
          <w:sz w:val="18"/>
          <w:szCs w:val="18"/>
          <w:lang w:eastAsia="en-US"/>
        </w:rPr>
      </w:pPr>
      <w:r w:rsidRPr="002A7499">
        <w:rPr>
          <w:rFonts w:ascii="Arial" w:hAnsi="Arial" w:cs="Arial"/>
          <w:sz w:val="18"/>
          <w:szCs w:val="18"/>
          <w:lang w:val="en-US" w:eastAsia="en-US"/>
        </w:rPr>
        <w:t xml:space="preserve">36. Tashima KT, Smeaton LM, Fichtenbaum CJ, et al. HIV Salvage Therapy Does Not Require Nucleoside Reverse Transcriptase Inhibitors: A Randomized, Controlled Trial. </w:t>
      </w:r>
      <w:r w:rsidRPr="002A7499">
        <w:rPr>
          <w:rFonts w:ascii="Arial" w:hAnsi="Arial" w:cs="Arial"/>
          <w:sz w:val="18"/>
          <w:szCs w:val="18"/>
          <w:lang w:eastAsia="en-US"/>
        </w:rPr>
        <w:t>Ann Intern Med 2015;163:908-17.</w:t>
      </w:r>
    </w:p>
    <w:p w14:paraId="43455D5D" w14:textId="77777777" w:rsidR="00802EB8" w:rsidRPr="0013073F"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eastAsia="en-US"/>
        </w:rPr>
        <w:t xml:space="preserve">37. Llibre JM, Alvarez H, Antela A, et al. </w:t>
      </w:r>
      <w:r w:rsidRPr="002A7499">
        <w:rPr>
          <w:rFonts w:ascii="Arial" w:hAnsi="Arial" w:cs="Arial"/>
          <w:sz w:val="18"/>
          <w:szCs w:val="18"/>
          <w:lang w:val="en-US" w:eastAsia="en-US"/>
        </w:rPr>
        <w:t xml:space="preserve">Withdrawing inactive NRTIs in HIV-1 subjects with suppressed viraemia: a randomized trial. </w:t>
      </w:r>
      <w:r w:rsidRPr="0013073F">
        <w:rPr>
          <w:rFonts w:ascii="Arial" w:hAnsi="Arial" w:cs="Arial"/>
          <w:sz w:val="18"/>
          <w:szCs w:val="18"/>
          <w:lang w:val="en-US" w:eastAsia="en-US"/>
        </w:rPr>
        <w:t>J Antimicrob</w:t>
      </w:r>
      <w:r>
        <w:rPr>
          <w:rFonts w:ascii="Arial" w:hAnsi="Arial" w:cs="Arial"/>
          <w:sz w:val="18"/>
          <w:szCs w:val="18"/>
          <w:lang w:val="en-US" w:eastAsia="en-US"/>
        </w:rPr>
        <w:t xml:space="preserve"> </w:t>
      </w:r>
      <w:r w:rsidRPr="0013073F">
        <w:rPr>
          <w:rFonts w:ascii="Arial" w:hAnsi="Arial" w:cs="Arial"/>
          <w:sz w:val="18"/>
          <w:szCs w:val="18"/>
          <w:lang w:val="en-US" w:eastAsia="en-US"/>
        </w:rPr>
        <w:t>Chemother 2016;71:1346-51.</w:t>
      </w:r>
    </w:p>
    <w:p w14:paraId="571B95CA" w14:textId="77777777" w:rsidR="00802EB8" w:rsidRPr="00FD01EA" w:rsidRDefault="00802EB8" w:rsidP="00802EB8">
      <w:pPr>
        <w:spacing w:before="120" w:after="120"/>
        <w:jc w:val="both"/>
        <w:rPr>
          <w:rFonts w:ascii="Arial" w:hAnsi="Arial" w:cs="Arial"/>
          <w:sz w:val="18"/>
          <w:szCs w:val="18"/>
          <w:lang w:eastAsia="en-US"/>
        </w:rPr>
      </w:pPr>
      <w:r w:rsidRPr="00FD01EA">
        <w:rPr>
          <w:rFonts w:ascii="Arial" w:hAnsi="Arial" w:cs="Arial"/>
          <w:sz w:val="18"/>
          <w:szCs w:val="18"/>
          <w:highlight w:val="yellow"/>
          <w:lang w:val="en-US" w:eastAsia="en-US"/>
        </w:rPr>
        <w:t xml:space="preserve">37b. Gandhi RT, Tashima KT, Smeaton LM, et al. </w:t>
      </w:r>
      <w:r w:rsidRPr="00FD01EA">
        <w:rPr>
          <w:rFonts w:ascii="Arial" w:hAnsi="Arial" w:cs="Arial"/>
          <w:sz w:val="18"/>
          <w:szCs w:val="18"/>
          <w:lang w:val="en-US" w:eastAsia="en-US"/>
        </w:rPr>
        <w:t>Long-term Outcomes in a Large Randomized Trial of HIV-1 Salvage Therapy: 96-week Results of AIDS Clinical Trials Group A5241 (OPTIONS)</w:t>
      </w:r>
      <w:r>
        <w:rPr>
          <w:rFonts w:ascii="Arial" w:hAnsi="Arial" w:cs="Arial"/>
          <w:sz w:val="18"/>
          <w:szCs w:val="18"/>
          <w:lang w:val="en-US" w:eastAsia="en-US"/>
        </w:rPr>
        <w:t xml:space="preserve"> </w:t>
      </w:r>
      <w:r w:rsidRPr="0013073F">
        <w:rPr>
          <w:rFonts w:ascii="Arial" w:hAnsi="Arial" w:cs="Arial"/>
          <w:sz w:val="18"/>
          <w:szCs w:val="18"/>
          <w:highlight w:val="yellow"/>
          <w:lang w:val="en-US" w:eastAsia="en-US"/>
        </w:rPr>
        <w:t xml:space="preserve">J Infect Dis 2019; May 28. </w:t>
      </w:r>
      <w:r w:rsidRPr="00FD01EA">
        <w:rPr>
          <w:rFonts w:ascii="Arial" w:hAnsi="Arial" w:cs="Arial"/>
          <w:sz w:val="18"/>
          <w:szCs w:val="18"/>
          <w:highlight w:val="yellow"/>
          <w:lang w:eastAsia="en-US"/>
        </w:rPr>
        <w:t>Pii: jiz281</w:t>
      </w:r>
    </w:p>
    <w:p w14:paraId="584E4850"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eastAsia="en-US"/>
        </w:rPr>
        <w:t xml:space="preserve">38. Molina JM, Lamarca A, Andrade-Villanueva J, et al. </w:t>
      </w:r>
      <w:r w:rsidRPr="002A7499">
        <w:rPr>
          <w:rFonts w:ascii="Arial" w:hAnsi="Arial" w:cs="Arial"/>
          <w:sz w:val="18"/>
          <w:szCs w:val="18"/>
          <w:lang w:val="en-US" w:eastAsia="en-US"/>
        </w:rPr>
        <w:t>Efficacy and safety of once daily elvitegravir versus twice daily raltegravir in treatment-experienced patients with HIV-1 receiving a ritonavir-boosted protease inhibitor: randomised, double-blind, phase 3, non-inferiority study. Lancet Infect Dis 2012;12:27-35.</w:t>
      </w:r>
    </w:p>
    <w:p w14:paraId="4E390E69"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39. Cahn P, Pozniak AL, Mingrone H, et al. Dolutegravir versus raltegravir in antiretroviral-experienced, integrase-inhibitor-naive adults with HIV: week 48 results from the randomised, double-blind, non-inferiority SAILING study. Lancet 2013;382:700-8.</w:t>
      </w:r>
    </w:p>
    <w:p w14:paraId="7DEABAD1"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40. Eron JJ, Clotet B, Durant J, et al. Safety and efficacy of dolutegravir in treatment-experienced subjects with raltegravir-resistant HIV type 1 infection: 24-week results of the VIKING Study. J Infect Dis 2013;207:740-8.</w:t>
      </w:r>
    </w:p>
    <w:p w14:paraId="310DDA9D" w14:textId="77777777" w:rsidR="00802EB8" w:rsidRPr="002A7499"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41. Castagna A, Maggiolo F, Penco G, et al. </w:t>
      </w:r>
      <w:r w:rsidRPr="002A7499">
        <w:rPr>
          <w:rFonts w:ascii="Arial" w:hAnsi="Arial" w:cs="Arial"/>
          <w:sz w:val="18"/>
          <w:szCs w:val="18"/>
          <w:lang w:val="en-US" w:eastAsia="en-US"/>
        </w:rPr>
        <w:t>Dolutegravir in Antiretroviral-Experienced Patients With Raltegravir- and/or Elvitegravir-Resistant HIV-1: 24-Week Results of the Phase III VIKING-3 Study. J Infect Dis 2014;210:354-62.</w:t>
      </w:r>
    </w:p>
    <w:p w14:paraId="7B888815"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42. Hardy I, Brenner B, Quashie P, et al. Evolution of a novel pathway leading to dolutegravir resistance in a patient harbouring N155H and multiclass drug resistance. J Antimicrob Chemother 2015;70:405-11.</w:t>
      </w:r>
    </w:p>
    <w:p w14:paraId="3FD97FAC"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43. Akil B, Blick G, Hagins DP, et al. Dolutegravir versus placebo in subjects harbouring HIV-1 with integrase inhibitor resistance associated substitutions: 48-week results from VIKING-4, a randomized study. Antivir Ther 2015;20:343-8.</w:t>
      </w:r>
    </w:p>
    <w:p w14:paraId="1603AEA5"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44. Thompson M, Lalezari JP, Kaplan R, et al. Safety and efficacy of the HIV-1 attachment inhibitor prodrug fostemsavir in antiretroviral-experienced subjects: week 48 analysis of AI438011, a Phase IIb, randomized controlled trial. Antivir</w:t>
      </w:r>
      <w:r>
        <w:rPr>
          <w:rFonts w:ascii="Arial" w:hAnsi="Arial" w:cs="Arial"/>
          <w:sz w:val="18"/>
          <w:szCs w:val="18"/>
          <w:lang w:val="en-US" w:eastAsia="en-US"/>
        </w:rPr>
        <w:t xml:space="preserve"> </w:t>
      </w:r>
      <w:r w:rsidRPr="002A7499">
        <w:rPr>
          <w:rFonts w:ascii="Arial" w:hAnsi="Arial" w:cs="Arial"/>
          <w:sz w:val="18"/>
          <w:szCs w:val="18"/>
          <w:lang w:val="en-US" w:eastAsia="en-US"/>
        </w:rPr>
        <w:t>Ther 2017;22:215-23.</w:t>
      </w:r>
    </w:p>
    <w:p w14:paraId="264FBC85" w14:textId="77777777" w:rsidR="00802EB8" w:rsidRDefault="00802EB8" w:rsidP="00802EB8">
      <w:pPr>
        <w:spacing w:before="120" w:after="120"/>
        <w:jc w:val="both"/>
        <w:rPr>
          <w:rFonts w:ascii="Arial" w:hAnsi="Arial" w:cs="Arial"/>
          <w:sz w:val="18"/>
          <w:szCs w:val="18"/>
          <w:lang w:val="en-US" w:eastAsia="en-US"/>
        </w:rPr>
      </w:pPr>
      <w:r w:rsidRPr="00E527D1">
        <w:rPr>
          <w:rFonts w:ascii="Arial" w:hAnsi="Arial" w:cs="Arial"/>
          <w:sz w:val="18"/>
          <w:szCs w:val="18"/>
          <w:lang w:val="en-US" w:eastAsia="en-US"/>
        </w:rPr>
        <w:t xml:space="preserve">45. Kozal M, Aberg J, Pialoux G, et al. </w:t>
      </w:r>
      <w:r w:rsidRPr="002A7499">
        <w:rPr>
          <w:rFonts w:ascii="Arial" w:hAnsi="Arial" w:cs="Arial"/>
          <w:sz w:val="18"/>
          <w:szCs w:val="18"/>
          <w:lang w:val="en-US" w:eastAsia="en-US"/>
        </w:rPr>
        <w:t>Phase 3 study of fostemsavir in heavily treatment-experienced HIV-1–infected participants: Day 8 and week 24 primary efficacy and safety results (BRIGHTE Study, formerly 205888/AI438-047). 16</w:t>
      </w:r>
      <w:r w:rsidRPr="002A7499">
        <w:rPr>
          <w:rFonts w:ascii="Arial" w:hAnsi="Arial" w:cs="Arial"/>
          <w:sz w:val="18"/>
          <w:szCs w:val="18"/>
          <w:vertAlign w:val="superscript"/>
          <w:lang w:val="en-US" w:eastAsia="en-US"/>
        </w:rPr>
        <w:t>th</w:t>
      </w:r>
      <w:r w:rsidRPr="002A7499">
        <w:rPr>
          <w:rFonts w:ascii="Arial" w:hAnsi="Arial" w:cs="Arial"/>
          <w:sz w:val="18"/>
          <w:szCs w:val="18"/>
          <w:lang w:val="en-US" w:eastAsia="en-US"/>
        </w:rPr>
        <w:t xml:space="preserve"> European AIDS Conference Milan, Italy, October 25-27, 2017; Abstract PS8/5.</w:t>
      </w:r>
    </w:p>
    <w:p w14:paraId="5C000638" w14:textId="77777777" w:rsidR="00802EB8" w:rsidRPr="00FD01EA" w:rsidRDefault="00802EB8" w:rsidP="00802EB8">
      <w:pPr>
        <w:spacing w:before="120" w:after="120"/>
        <w:jc w:val="both"/>
        <w:rPr>
          <w:rFonts w:ascii="Arial" w:hAnsi="Arial" w:cs="Arial"/>
          <w:sz w:val="18"/>
          <w:szCs w:val="18"/>
          <w:lang w:val="en-US" w:eastAsia="en-US"/>
        </w:rPr>
      </w:pPr>
      <w:r w:rsidRPr="00FD01EA">
        <w:rPr>
          <w:rFonts w:ascii="Arial" w:hAnsi="Arial" w:cs="Arial"/>
          <w:sz w:val="18"/>
          <w:szCs w:val="18"/>
          <w:lang w:val="en-US" w:eastAsia="en-US"/>
        </w:rPr>
        <w:t xml:space="preserve">45b. M. Lataillade, J. Lalezari, J. Aberg, et al: </w:t>
      </w:r>
      <w:r w:rsidRPr="00111C30">
        <w:rPr>
          <w:rFonts w:ascii="Arial" w:hAnsi="Arial" w:cs="Arial"/>
          <w:sz w:val="18"/>
          <w:szCs w:val="18"/>
          <w:lang w:val="en-US" w:eastAsia="en-US"/>
        </w:rPr>
        <w:t>Week 96 safety and efficacy of the novel HIV-1 attachment inhibitor prodrug fostemsavir in heavily treatment-experienced participants infected with multi-drug–resistant HIV-1 (BRIGHTE Study)</w:t>
      </w:r>
      <w:r>
        <w:rPr>
          <w:rFonts w:ascii="Arial" w:hAnsi="Arial" w:cs="Arial"/>
          <w:sz w:val="18"/>
          <w:szCs w:val="18"/>
          <w:lang w:val="en-US" w:eastAsia="en-US"/>
        </w:rPr>
        <w:t xml:space="preserve">. International AIDS Society </w:t>
      </w:r>
      <w:r w:rsidRPr="00E527D1">
        <w:rPr>
          <w:rFonts w:ascii="Arial" w:hAnsi="Arial" w:cs="Arial"/>
          <w:sz w:val="18"/>
          <w:szCs w:val="18"/>
          <w:lang w:val="en-US" w:eastAsia="en-US"/>
        </w:rPr>
        <w:t xml:space="preserve">2019. Abstr MOAB0102 </w:t>
      </w:r>
    </w:p>
    <w:p w14:paraId="07FB6C43" w14:textId="77777777" w:rsidR="00802EB8" w:rsidRPr="002A7499" w:rsidRDefault="00802EB8" w:rsidP="00802EB8">
      <w:pPr>
        <w:spacing w:before="120" w:after="120"/>
        <w:jc w:val="both"/>
        <w:rPr>
          <w:rFonts w:ascii="Arial" w:hAnsi="Arial" w:cs="Arial"/>
          <w:sz w:val="18"/>
          <w:szCs w:val="18"/>
          <w:lang w:val="en-US" w:eastAsia="en-US"/>
        </w:rPr>
      </w:pPr>
      <w:r w:rsidRPr="002A7499">
        <w:rPr>
          <w:rFonts w:ascii="Arial" w:hAnsi="Arial" w:cs="Arial"/>
          <w:sz w:val="18"/>
          <w:szCs w:val="18"/>
          <w:lang w:val="en-US" w:eastAsia="en-US"/>
        </w:rPr>
        <w:t>46. Emu B, Fessel J, Schrader S, et al. Phase 3 Study of Ibalizumab for Multidrug-Resistant HIV-1. N Engl J Med</w:t>
      </w:r>
      <w:r>
        <w:rPr>
          <w:rFonts w:ascii="Arial" w:hAnsi="Arial" w:cs="Arial"/>
          <w:sz w:val="18"/>
          <w:szCs w:val="18"/>
          <w:lang w:val="en-US" w:eastAsia="en-US"/>
        </w:rPr>
        <w:t xml:space="preserve"> </w:t>
      </w:r>
      <w:r w:rsidRPr="002A7499">
        <w:rPr>
          <w:rFonts w:ascii="Arial" w:hAnsi="Arial" w:cs="Arial"/>
          <w:sz w:val="18"/>
          <w:szCs w:val="18"/>
          <w:lang w:val="en-US" w:eastAsia="en-US"/>
        </w:rPr>
        <w:t>2018;379:645-54.</w:t>
      </w:r>
    </w:p>
    <w:p w14:paraId="5374F89E" w14:textId="77777777" w:rsidR="00802EB8" w:rsidRDefault="00802EB8" w:rsidP="00802EB8">
      <w:pPr>
        <w:jc w:val="both"/>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lang w:val="en-US"/>
        </w:rPr>
        <w:t xml:space="preserve">47. </w:t>
      </w:r>
      <w:r w:rsidRPr="00E061E3">
        <w:rPr>
          <w:rFonts w:ascii="Arial" w:hAnsi="Arial" w:cs="Arial"/>
          <w:color w:val="000000"/>
          <w:sz w:val="18"/>
          <w:szCs w:val="18"/>
          <w:shd w:val="clear" w:color="auto" w:fill="FFFFFF"/>
          <w:lang w:val="en-US"/>
        </w:rPr>
        <w:t>Stephen R Yant  1 , Andrew Mulato  2 , Derek Hansen</w:t>
      </w:r>
      <w:r>
        <w:rPr>
          <w:rFonts w:ascii="Arial" w:hAnsi="Arial" w:cs="Arial"/>
          <w:color w:val="000000"/>
          <w:sz w:val="18"/>
          <w:szCs w:val="18"/>
          <w:shd w:val="clear" w:color="auto" w:fill="FFFFFF"/>
          <w:lang w:val="en-US"/>
        </w:rPr>
        <w:t xml:space="preserve">, et al. </w:t>
      </w:r>
      <w:r w:rsidRPr="00E061E3">
        <w:rPr>
          <w:rFonts w:ascii="Arial" w:hAnsi="Arial" w:cs="Arial"/>
          <w:color w:val="000000"/>
          <w:sz w:val="18"/>
          <w:szCs w:val="18"/>
          <w:shd w:val="clear" w:color="auto" w:fill="FFFFFF"/>
          <w:lang w:val="en-US"/>
        </w:rPr>
        <w:t>A Highly Potent Long-Acting Small-Molecule HIV-1 Capsid Inhibitor With Efficacy in a Humanized Mouse Model</w:t>
      </w:r>
      <w:r>
        <w:rPr>
          <w:rFonts w:ascii="Arial" w:hAnsi="Arial" w:cs="Arial"/>
          <w:color w:val="000000"/>
          <w:sz w:val="18"/>
          <w:szCs w:val="18"/>
          <w:shd w:val="clear" w:color="auto" w:fill="FFFFFF"/>
          <w:lang w:val="en-US"/>
        </w:rPr>
        <w:t xml:space="preserve">. Nat </w:t>
      </w:r>
      <w:r w:rsidRPr="00E061E3">
        <w:rPr>
          <w:rFonts w:ascii="Arial" w:hAnsi="Arial" w:cs="Arial"/>
          <w:color w:val="000000"/>
          <w:sz w:val="18"/>
          <w:szCs w:val="18"/>
          <w:shd w:val="clear" w:color="auto" w:fill="FFFFFF"/>
          <w:lang w:val="en-US"/>
        </w:rPr>
        <w:t>Med, 25 (9), 1377-1384</w:t>
      </w:r>
    </w:p>
    <w:p w14:paraId="49729AAB" w14:textId="77777777" w:rsidR="00802EB8" w:rsidRDefault="00802EB8" w:rsidP="00802EB8">
      <w:pPr>
        <w:jc w:val="both"/>
        <w:rPr>
          <w:rFonts w:ascii="Arial" w:hAnsi="Arial" w:cs="Arial"/>
          <w:color w:val="000000"/>
          <w:sz w:val="18"/>
          <w:szCs w:val="18"/>
          <w:shd w:val="clear" w:color="auto" w:fill="FFFFFF"/>
          <w:lang w:val="en-US"/>
        </w:rPr>
      </w:pPr>
    </w:p>
    <w:p w14:paraId="4CA460B8" w14:textId="77777777" w:rsidR="00802EB8" w:rsidRPr="00E061E3" w:rsidRDefault="00802EB8" w:rsidP="00802EB8">
      <w:pPr>
        <w:jc w:val="both"/>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lang w:val="en-US"/>
        </w:rPr>
        <w:t xml:space="preserve">48. </w:t>
      </w:r>
      <w:r w:rsidRPr="00E061E3">
        <w:rPr>
          <w:rFonts w:ascii="Arial" w:hAnsi="Arial" w:cs="Arial"/>
          <w:color w:val="000000"/>
          <w:sz w:val="18"/>
          <w:szCs w:val="18"/>
          <w:shd w:val="clear" w:color="auto" w:fill="FFFFFF"/>
          <w:lang w:val="en-US"/>
        </w:rPr>
        <w:t>Dirk Schürmann , Deanne Jackson Rudd, Saijuan Zhang</w:t>
      </w:r>
      <w:r>
        <w:rPr>
          <w:rFonts w:ascii="Arial" w:hAnsi="Arial" w:cs="Arial"/>
          <w:color w:val="000000"/>
          <w:sz w:val="18"/>
          <w:szCs w:val="18"/>
          <w:shd w:val="clear" w:color="auto" w:fill="FFFFFF"/>
          <w:lang w:val="en-US"/>
        </w:rPr>
        <w:t xml:space="preserve">, et al.  </w:t>
      </w:r>
      <w:r w:rsidRPr="00E061E3">
        <w:rPr>
          <w:rFonts w:ascii="Arial" w:hAnsi="Arial" w:cs="Arial"/>
          <w:color w:val="000000"/>
          <w:sz w:val="18"/>
          <w:szCs w:val="18"/>
          <w:shd w:val="clear" w:color="auto" w:fill="FFFFFF"/>
          <w:lang w:val="en-US"/>
        </w:rPr>
        <w:t xml:space="preserve">Safety, Pharmacokinetics, and Antiretroviral Activity of Islatravir (ISL, MK-8591), a Novel Nucleoside Reverse Transcriptase Translocation Inhibitor, Following Single-Dose Administration to Treatment-Naive </w:t>
      </w:r>
      <w:r w:rsidRPr="00E061E3">
        <w:rPr>
          <w:rFonts w:ascii="Arial" w:hAnsi="Arial" w:cs="Arial"/>
          <w:color w:val="000000"/>
          <w:sz w:val="18"/>
          <w:szCs w:val="18"/>
          <w:shd w:val="clear" w:color="auto" w:fill="FFFFFF"/>
          <w:lang w:val="en-US"/>
        </w:rPr>
        <w:lastRenderedPageBreak/>
        <w:t>Adults Infected With HIV-1: An Open-Label, Phase 1b, Consecutive-Panel Trial</w:t>
      </w:r>
      <w:r>
        <w:rPr>
          <w:rFonts w:ascii="Arial" w:hAnsi="Arial" w:cs="Arial"/>
          <w:color w:val="000000"/>
          <w:sz w:val="18"/>
          <w:szCs w:val="18"/>
          <w:shd w:val="clear" w:color="auto" w:fill="FFFFFF"/>
          <w:lang w:val="en-US"/>
        </w:rPr>
        <w:t xml:space="preserve">. </w:t>
      </w:r>
      <w:r w:rsidRPr="00E061E3">
        <w:rPr>
          <w:rFonts w:ascii="Arial" w:hAnsi="Arial" w:cs="Arial"/>
          <w:color w:val="000000"/>
          <w:sz w:val="18"/>
          <w:szCs w:val="18"/>
          <w:shd w:val="clear" w:color="auto" w:fill="FFFFFF"/>
          <w:lang w:val="en-US"/>
        </w:rPr>
        <w:t>Lancet HIV</w:t>
      </w:r>
    </w:p>
    <w:p w14:paraId="591F6170" w14:textId="77777777" w:rsidR="00802EB8" w:rsidRDefault="00802EB8" w:rsidP="00802EB8">
      <w:pPr>
        <w:jc w:val="both"/>
        <w:rPr>
          <w:rFonts w:ascii="Arial" w:hAnsi="Arial" w:cs="Arial"/>
          <w:color w:val="000000"/>
          <w:sz w:val="18"/>
          <w:szCs w:val="18"/>
          <w:shd w:val="clear" w:color="auto" w:fill="FFFFFF"/>
          <w:lang w:val="en-US"/>
        </w:rPr>
      </w:pPr>
      <w:r w:rsidRPr="00E061E3">
        <w:rPr>
          <w:rFonts w:ascii="Arial" w:hAnsi="Arial" w:cs="Arial"/>
          <w:color w:val="000000"/>
          <w:sz w:val="18"/>
          <w:szCs w:val="18"/>
          <w:shd w:val="clear" w:color="auto" w:fill="FFFFFF"/>
          <w:lang w:val="en-US"/>
        </w:rPr>
        <w:t xml:space="preserve"> 2020 Jan 3[Online ahead of print]</w:t>
      </w:r>
    </w:p>
    <w:p w14:paraId="23E9E36D" w14:textId="77777777" w:rsidR="00802EB8" w:rsidRDefault="00802EB8" w:rsidP="00802EB8">
      <w:pPr>
        <w:jc w:val="both"/>
        <w:rPr>
          <w:rFonts w:ascii="Arial" w:hAnsi="Arial" w:cs="Arial"/>
          <w:color w:val="000000"/>
          <w:sz w:val="18"/>
          <w:szCs w:val="18"/>
          <w:shd w:val="clear" w:color="auto" w:fill="FFFFFF"/>
          <w:lang w:val="en-US"/>
        </w:rPr>
      </w:pPr>
    </w:p>
    <w:p w14:paraId="5EC688FD" w14:textId="77777777" w:rsidR="00802EB8" w:rsidRDefault="00802EB8" w:rsidP="00802EB8">
      <w:pPr>
        <w:jc w:val="both"/>
        <w:rPr>
          <w:rFonts w:ascii="Arial" w:hAnsi="Arial" w:cs="Arial"/>
          <w:color w:val="000000"/>
          <w:sz w:val="18"/>
          <w:szCs w:val="18"/>
          <w:shd w:val="clear" w:color="auto" w:fill="FFFFFF"/>
          <w:lang w:val="en-US"/>
        </w:rPr>
      </w:pPr>
    </w:p>
    <w:p w14:paraId="01823B30" w14:textId="77777777" w:rsidR="00802EB8" w:rsidRPr="00A41C48" w:rsidRDefault="00802EB8" w:rsidP="00802EB8">
      <w:pPr>
        <w:jc w:val="both"/>
        <w:rPr>
          <w:rFonts w:ascii="Arial" w:hAnsi="Arial" w:cs="Arial"/>
          <w:b/>
          <w:color w:val="000000"/>
          <w:sz w:val="18"/>
          <w:szCs w:val="18"/>
          <w:shd w:val="clear" w:color="auto" w:fill="FFFFFF"/>
        </w:rPr>
        <w:sectPr w:rsidR="00802EB8" w:rsidRPr="00A41C48" w:rsidSect="00FD01EA">
          <w:type w:val="continuous"/>
          <w:pgSz w:w="11906" w:h="16838"/>
          <w:pgMar w:top="1418" w:right="1701" w:bottom="1418" w:left="1701" w:header="709" w:footer="709" w:gutter="0"/>
          <w:cols w:num="2" w:sep="1" w:space="709"/>
          <w:docGrid w:linePitch="360"/>
        </w:sectPr>
      </w:pPr>
      <w:r>
        <w:rPr>
          <w:rFonts w:ascii="Arial" w:hAnsi="Arial" w:cs="Arial"/>
          <w:color w:val="000000"/>
          <w:sz w:val="18"/>
          <w:szCs w:val="18"/>
          <w:shd w:val="clear" w:color="auto" w:fill="FFFFFF"/>
          <w:lang w:val="en-US"/>
        </w:rPr>
        <w:t xml:space="preserve">49. </w:t>
      </w:r>
      <w:r w:rsidRPr="001007B4">
        <w:rPr>
          <w:rFonts w:ascii="Arial" w:hAnsi="Arial" w:cs="Arial"/>
          <w:color w:val="000000"/>
          <w:sz w:val="18"/>
          <w:szCs w:val="18"/>
          <w:shd w:val="clear" w:color="auto" w:fill="FFFFFF"/>
          <w:lang w:val="en-US"/>
        </w:rPr>
        <w:t>Lawrence</w:t>
      </w:r>
      <w:r>
        <w:rPr>
          <w:rFonts w:ascii="Arial" w:hAnsi="Arial" w:cs="Arial"/>
          <w:color w:val="000000"/>
          <w:sz w:val="18"/>
          <w:szCs w:val="18"/>
          <w:shd w:val="clear" w:color="auto" w:fill="FFFFFF"/>
          <w:lang w:val="en-US"/>
        </w:rPr>
        <w:t xml:space="preserve"> J</w:t>
      </w:r>
      <w:r w:rsidRPr="001007B4">
        <w:rPr>
          <w:rFonts w:ascii="Arial" w:hAnsi="Arial" w:cs="Arial"/>
          <w:color w:val="000000"/>
          <w:sz w:val="18"/>
          <w:szCs w:val="18"/>
          <w:shd w:val="clear" w:color="auto" w:fill="FFFFFF"/>
          <w:lang w:val="en-US"/>
        </w:rPr>
        <w:t>, Mayers</w:t>
      </w:r>
      <w:r>
        <w:rPr>
          <w:rFonts w:ascii="Arial" w:hAnsi="Arial" w:cs="Arial"/>
          <w:color w:val="000000"/>
          <w:sz w:val="18"/>
          <w:szCs w:val="18"/>
          <w:shd w:val="clear" w:color="auto" w:fill="FFFFFF"/>
          <w:lang w:val="en-US"/>
        </w:rPr>
        <w:t xml:space="preserve"> D</w:t>
      </w:r>
      <w:r w:rsidRPr="001007B4">
        <w:rPr>
          <w:rFonts w:ascii="Arial" w:hAnsi="Arial" w:cs="Arial"/>
          <w:color w:val="000000"/>
          <w:sz w:val="18"/>
          <w:szCs w:val="18"/>
          <w:shd w:val="clear" w:color="auto" w:fill="FFFFFF"/>
          <w:lang w:val="en-US"/>
        </w:rPr>
        <w:t>, Huppler Hullsiek</w:t>
      </w:r>
      <w:r>
        <w:rPr>
          <w:rFonts w:ascii="Arial" w:hAnsi="Arial" w:cs="Arial"/>
          <w:color w:val="000000"/>
          <w:sz w:val="18"/>
          <w:szCs w:val="18"/>
          <w:shd w:val="clear" w:color="auto" w:fill="FFFFFF"/>
          <w:lang w:val="en-US"/>
        </w:rPr>
        <w:t xml:space="preserve"> K, et al.  St</w:t>
      </w:r>
      <w:r w:rsidRPr="001007B4">
        <w:rPr>
          <w:rFonts w:ascii="Arial" w:hAnsi="Arial" w:cs="Arial"/>
          <w:color w:val="000000"/>
          <w:sz w:val="18"/>
          <w:szCs w:val="18"/>
          <w:shd w:val="clear" w:color="auto" w:fill="FFFFFF"/>
          <w:lang w:val="en-US"/>
        </w:rPr>
        <w:t>ructured Treatment Interruption in Patients with Multidrug-Resistant Human Immunodeficiency Virus</w:t>
      </w:r>
      <w:r>
        <w:rPr>
          <w:rFonts w:ascii="Arial" w:hAnsi="Arial" w:cs="Arial"/>
          <w:color w:val="000000"/>
          <w:sz w:val="18"/>
          <w:szCs w:val="18"/>
          <w:shd w:val="clear" w:color="auto" w:fill="FFFFFF"/>
          <w:lang w:val="en-US"/>
        </w:rPr>
        <w:t xml:space="preserve">. </w:t>
      </w:r>
      <w:r w:rsidRPr="00A41C48">
        <w:rPr>
          <w:rFonts w:ascii="Arial" w:hAnsi="Arial" w:cs="Arial"/>
          <w:color w:val="000000"/>
          <w:sz w:val="18"/>
          <w:szCs w:val="18"/>
          <w:shd w:val="clear" w:color="auto" w:fill="FFFFFF"/>
        </w:rPr>
        <w:t>N Engl J Med 2003; 349:837-846</w:t>
      </w:r>
    </w:p>
    <w:p w14:paraId="379C94C9" w14:textId="77777777" w:rsidR="00176A61" w:rsidRPr="00095ECF" w:rsidRDefault="00176A61" w:rsidP="00176A61">
      <w:pPr>
        <w:jc w:val="both"/>
        <w:rPr>
          <w:rFonts w:ascii="Arial" w:hAnsi="Arial" w:cs="Arial"/>
          <w:color w:val="000000"/>
          <w:sz w:val="18"/>
          <w:szCs w:val="18"/>
          <w:shd w:val="clear" w:color="auto" w:fill="FFFFFF"/>
        </w:rPr>
        <w:sectPr w:rsidR="00176A61" w:rsidRPr="00095ECF">
          <w:type w:val="continuous"/>
          <w:pgSz w:w="11906" w:h="16838"/>
          <w:pgMar w:top="1417" w:right="1701" w:bottom="1417" w:left="1701" w:header="708" w:footer="708" w:gutter="0"/>
          <w:cols w:num="2" w:sep="1" w:space="709"/>
          <w:docGrid w:linePitch="360"/>
        </w:sectPr>
      </w:pPr>
    </w:p>
    <w:p w14:paraId="52AA590B" w14:textId="77777777" w:rsidR="00D61AB2" w:rsidRPr="003F3B0A" w:rsidRDefault="00D61AB2" w:rsidP="00D61AB2">
      <w:pPr>
        <w:rPr>
          <w:color w:val="000000"/>
          <w:szCs w:val="18"/>
          <w:shd w:val="clear" w:color="auto" w:fill="FFFFFF"/>
        </w:rPr>
      </w:pPr>
      <w:r w:rsidRPr="003F3B0A">
        <w:rPr>
          <w:rFonts w:ascii="Arial" w:hAnsi="Arial" w:cs="Arial"/>
          <w:b/>
          <w:snapToGrid w:val="0"/>
          <w:color w:val="AE1C1F"/>
          <w:lang w:val="es-ES_tradnl"/>
        </w:rPr>
        <w:lastRenderedPageBreak/>
        <w:t>6. FACTORES QUE CONDICIONAN EL ÉXITO DEL TRATAMIENTO ANTIRRETROVIRAL</w:t>
      </w:r>
    </w:p>
    <w:p w14:paraId="6C26ECE2" w14:textId="77777777" w:rsidR="00D61AB2" w:rsidRPr="003F3B0A" w:rsidRDefault="00D61AB2" w:rsidP="00D61AB2">
      <w:pPr>
        <w:spacing w:before="120" w:after="120" w:line="276" w:lineRule="auto"/>
        <w:jc w:val="both"/>
        <w:rPr>
          <w:rFonts w:ascii="Arial" w:hAnsi="Arial" w:cs="Arial"/>
          <w:b/>
          <w:color w:val="AE1C1F"/>
        </w:rPr>
      </w:pPr>
    </w:p>
    <w:p w14:paraId="2C5A9DE7" w14:textId="77777777" w:rsidR="00D61AB2" w:rsidRPr="003F3B0A" w:rsidRDefault="00D61AB2" w:rsidP="00D61AB2">
      <w:pPr>
        <w:spacing w:before="120" w:after="120" w:line="276" w:lineRule="auto"/>
        <w:jc w:val="both"/>
        <w:rPr>
          <w:rFonts w:ascii="Arial" w:hAnsi="Arial" w:cs="Arial"/>
          <w:b/>
          <w:color w:val="AE1C1F"/>
        </w:rPr>
      </w:pPr>
      <w:r w:rsidRPr="003F3B0A">
        <w:rPr>
          <w:rFonts w:ascii="Arial" w:hAnsi="Arial" w:cs="Arial"/>
          <w:b/>
          <w:color w:val="AE1C1F"/>
        </w:rPr>
        <w:t xml:space="preserve">6.1. Adherencia </w:t>
      </w:r>
    </w:p>
    <w:p w14:paraId="2B686DE0"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 xml:space="preserve">La adherencia es la capacidad del paciente para implicarse en la elección, inicio y seguimiento del TAR, a fin de conseguir una supresión mantenida de la replicación viral. La adherencia inadecuada es la primera causa de fracaso terapéutico. Entre los factores asociados con una adherencia imperfecta destacan: </w:t>
      </w:r>
      <w:r w:rsidRPr="005D58D3">
        <w:rPr>
          <w:rFonts w:ascii="Arial" w:hAnsi="Arial" w:cs="Arial"/>
          <w:strike/>
        </w:rPr>
        <w:t xml:space="preserve">mala </w:t>
      </w:r>
      <w:r w:rsidRPr="003F3B0A">
        <w:rPr>
          <w:rFonts w:ascii="Arial" w:hAnsi="Arial" w:cs="Arial"/>
        </w:rPr>
        <w:t>relación médico</w:t>
      </w:r>
      <w:r w:rsidRPr="003F3B0A">
        <w:rPr>
          <w:rFonts w:ascii="Cambria Math" w:hAnsi="Cambria Math" w:cs="Cambria Math"/>
        </w:rPr>
        <w:t>‐</w:t>
      </w:r>
      <w:r w:rsidRPr="003F3B0A">
        <w:rPr>
          <w:rFonts w:ascii="Arial" w:hAnsi="Arial" w:cs="Arial"/>
        </w:rPr>
        <w:t>paciente</w:t>
      </w:r>
      <w:r>
        <w:rPr>
          <w:rFonts w:ascii="Arial" w:hAnsi="Arial" w:cs="Arial"/>
        </w:rPr>
        <w:t xml:space="preserve"> </w:t>
      </w:r>
      <w:r w:rsidRPr="005D58D3">
        <w:rPr>
          <w:rFonts w:ascii="Arial" w:hAnsi="Arial" w:cs="Arial"/>
          <w:highlight w:val="yellow"/>
        </w:rPr>
        <w:t>poco empática</w:t>
      </w:r>
      <w:r w:rsidRPr="003F3B0A">
        <w:rPr>
          <w:rFonts w:ascii="Arial" w:hAnsi="Arial" w:cs="Arial"/>
        </w:rPr>
        <w:t xml:space="preserve">, consumo </w:t>
      </w:r>
      <w:r w:rsidRPr="005D58D3">
        <w:rPr>
          <w:rFonts w:ascii="Arial" w:hAnsi="Arial" w:cs="Arial"/>
          <w:highlight w:val="yellow"/>
        </w:rPr>
        <w:t>activo</w:t>
      </w:r>
      <w:r>
        <w:rPr>
          <w:rFonts w:ascii="Arial" w:hAnsi="Arial" w:cs="Arial"/>
        </w:rPr>
        <w:t xml:space="preserve"> </w:t>
      </w:r>
      <w:r w:rsidRPr="003F3B0A">
        <w:rPr>
          <w:rFonts w:ascii="Arial" w:hAnsi="Arial" w:cs="Arial"/>
        </w:rPr>
        <w:t xml:space="preserve">de drogas, enfermedad mental, deterioro neurocognitivo, bajo nivel educativo, barrera idiomática, falta de apoyo social, </w:t>
      </w:r>
      <w:r w:rsidRPr="005D58D3">
        <w:rPr>
          <w:rFonts w:ascii="Arial" w:hAnsi="Arial" w:cs="Arial"/>
          <w:highlight w:val="yellow"/>
        </w:rPr>
        <w:t>polifarmacia,</w:t>
      </w:r>
      <w:r>
        <w:rPr>
          <w:rFonts w:ascii="Arial" w:hAnsi="Arial" w:cs="Arial"/>
        </w:rPr>
        <w:t xml:space="preserve"> </w:t>
      </w:r>
      <w:r w:rsidRPr="003F3B0A">
        <w:rPr>
          <w:rFonts w:ascii="Arial" w:hAnsi="Arial" w:cs="Arial"/>
        </w:rPr>
        <w:t>complejidad terapéutica y efectos secundarios del tratamiento</w:t>
      </w:r>
      <w:r w:rsidRPr="003F3B0A">
        <w:rPr>
          <w:rFonts w:ascii="Arial" w:hAnsi="Arial" w:cs="Arial"/>
          <w:noProof/>
          <w:vertAlign w:val="superscript"/>
        </w:rPr>
        <w:t>1</w:t>
      </w:r>
      <w:r w:rsidRPr="003F3B0A">
        <w:rPr>
          <w:rFonts w:ascii="Arial" w:hAnsi="Arial" w:cs="Arial"/>
        </w:rPr>
        <w:t>. Por el contrario, el apoyo emocional, la capacidad para incluir la medicación en las actividades de la vida diaria y la comprensión de la importancia del cumplimiento terapéutico son factores que predicen una adherencia correcta. El cumplimiento describe la calidad en la ejecución del tratamiento prescrito; aspectos vinculados al TAR, como el acceso y la persistencia en el mismo son esenciales para su éxito</w:t>
      </w:r>
      <w:r w:rsidRPr="003F3B0A">
        <w:rPr>
          <w:rFonts w:ascii="Arial" w:hAnsi="Arial" w:cs="Arial"/>
          <w:noProof/>
          <w:vertAlign w:val="superscript"/>
        </w:rPr>
        <w:t>2</w:t>
      </w:r>
      <w:r w:rsidRPr="003F3B0A">
        <w:rPr>
          <w:rFonts w:ascii="Arial" w:hAnsi="Arial" w:cs="Arial"/>
        </w:rPr>
        <w:t>.</w:t>
      </w:r>
    </w:p>
    <w:p w14:paraId="604C04BD"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Antes de iniciar el TAR conviene preparar al paciente, identificar las situaciones que puedan dificultar la adherencia e intentar corregirlas. Durante el seguimiento del TAR es fundamental evaluar periódicamente la adherencia. Se recomienda utilizar más de un método, como la entrevista, los cuestionarios estructurados, el recuento de medicación sobrante y el registro de dispensación por farmacia. Los niveles sub-terapéuticos de FAR conllevan el desarrollo de resistencias. Los patrones de cumplimentación sub-óptima son relevantes: las interrupciones de tratamiento tienen mayor repercusión en la respuesta virológica que la omisión ocasional de dosis.</w:t>
      </w:r>
    </w:p>
    <w:p w14:paraId="5F5EA2BF"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 xml:space="preserve">La relación entre adherencia, control virológico y </w:t>
      </w:r>
      <w:r w:rsidRPr="005D58D3">
        <w:rPr>
          <w:rFonts w:ascii="Arial" w:hAnsi="Arial" w:cs="Arial"/>
          <w:highlight w:val="yellow"/>
        </w:rPr>
        <w:t>selección</w:t>
      </w:r>
      <w:r w:rsidRPr="003F3B0A">
        <w:rPr>
          <w:rFonts w:ascii="Arial" w:hAnsi="Arial" w:cs="Arial"/>
        </w:rPr>
        <w:t xml:space="preserve"> de resistencias varía entre las diferentes clases de FAR y la situación clínica del paciente (CVP, tiempo de viremia indetectable). Las pautas empleadas actualmente son más permisivas con un cumplimiento subóptimo</w:t>
      </w:r>
      <w:r w:rsidRPr="003F3B0A">
        <w:rPr>
          <w:rFonts w:ascii="Arial" w:hAnsi="Arial" w:cs="Arial"/>
          <w:noProof/>
          <w:vertAlign w:val="superscript"/>
        </w:rPr>
        <w:t>3</w:t>
      </w:r>
      <w:r w:rsidRPr="003F3B0A">
        <w:rPr>
          <w:rFonts w:ascii="Arial" w:hAnsi="Arial" w:cs="Arial"/>
        </w:rPr>
        <w:t>. Así, con los IP/p</w:t>
      </w:r>
      <w:r>
        <w:rPr>
          <w:rFonts w:ascii="Arial" w:hAnsi="Arial" w:cs="Arial"/>
        </w:rPr>
        <w:t xml:space="preserve"> </w:t>
      </w:r>
      <w:r w:rsidRPr="005D58D3">
        <w:rPr>
          <w:rFonts w:ascii="Arial" w:hAnsi="Arial" w:cs="Arial"/>
          <w:highlight w:val="yellow"/>
        </w:rPr>
        <w:t>y con DTG</w:t>
      </w:r>
      <w:r w:rsidRPr="003F3B0A">
        <w:rPr>
          <w:rFonts w:ascii="Arial" w:hAnsi="Arial" w:cs="Arial"/>
        </w:rPr>
        <w:t xml:space="preserve"> la </w:t>
      </w:r>
      <w:r w:rsidRPr="005D58D3">
        <w:rPr>
          <w:rFonts w:ascii="Arial" w:hAnsi="Arial" w:cs="Arial"/>
          <w:highlight w:val="yellow"/>
        </w:rPr>
        <w:t>selección</w:t>
      </w:r>
      <w:r>
        <w:rPr>
          <w:rFonts w:ascii="Arial" w:hAnsi="Arial" w:cs="Arial"/>
        </w:rPr>
        <w:t xml:space="preserve"> </w:t>
      </w:r>
      <w:r w:rsidRPr="003F3B0A">
        <w:rPr>
          <w:rFonts w:ascii="Arial" w:hAnsi="Arial" w:cs="Arial"/>
        </w:rPr>
        <w:t xml:space="preserve">de resistencias es mucho más difícil con </w:t>
      </w:r>
      <w:r w:rsidRPr="005D58D3">
        <w:rPr>
          <w:rFonts w:ascii="Arial" w:hAnsi="Arial" w:cs="Arial"/>
          <w:highlight w:val="yellow"/>
        </w:rPr>
        <w:t>una</w:t>
      </w:r>
      <w:r>
        <w:rPr>
          <w:rFonts w:ascii="Arial" w:hAnsi="Arial" w:cs="Arial"/>
        </w:rPr>
        <w:t xml:space="preserve"> </w:t>
      </w:r>
      <w:r w:rsidRPr="003F3B0A">
        <w:rPr>
          <w:rFonts w:ascii="Arial" w:hAnsi="Arial" w:cs="Arial"/>
        </w:rPr>
        <w:t xml:space="preserve">adherencia </w:t>
      </w:r>
      <w:r w:rsidRPr="005D58D3">
        <w:rPr>
          <w:rFonts w:ascii="Arial" w:hAnsi="Arial" w:cs="Arial"/>
          <w:highlight w:val="yellow"/>
        </w:rPr>
        <w:t>subóptima</w:t>
      </w:r>
      <w:r>
        <w:rPr>
          <w:rFonts w:ascii="Arial" w:hAnsi="Arial" w:cs="Arial"/>
        </w:rPr>
        <w:t xml:space="preserve"> </w:t>
      </w:r>
      <w:r w:rsidRPr="003F3B0A">
        <w:rPr>
          <w:rFonts w:ascii="Arial" w:hAnsi="Arial" w:cs="Arial"/>
        </w:rPr>
        <w:t>debido a su elevada barrera genética. Ante un paciente en el que se sospeche una adherencia incorrecta sería preferible iniciar TAR con pautas basadas en IP/p que podrían evitar el riesgo de seleccionar MR en caso de incumplimiento. Debe insistirse en la adherencia óptima</w:t>
      </w:r>
      <w:r>
        <w:rPr>
          <w:rFonts w:ascii="Arial" w:hAnsi="Arial" w:cs="Arial"/>
        </w:rPr>
        <w:t xml:space="preserve"> </w:t>
      </w:r>
      <w:r w:rsidRPr="005D58D3">
        <w:rPr>
          <w:rFonts w:ascii="Arial" w:hAnsi="Arial" w:cs="Arial"/>
          <w:highlight w:val="yellow"/>
        </w:rPr>
        <w:t>en todos los pacientes</w:t>
      </w:r>
      <w:r w:rsidRPr="003F3B0A">
        <w:rPr>
          <w:rFonts w:ascii="Arial" w:hAnsi="Arial" w:cs="Arial"/>
        </w:rPr>
        <w:t xml:space="preserve">, incluso en </w:t>
      </w:r>
      <w:r>
        <w:rPr>
          <w:rFonts w:ascii="Arial" w:hAnsi="Arial" w:cs="Arial"/>
        </w:rPr>
        <w:t>aquellos</w:t>
      </w:r>
      <w:r w:rsidRPr="003F3B0A">
        <w:rPr>
          <w:rFonts w:ascii="Arial" w:hAnsi="Arial" w:cs="Arial"/>
        </w:rPr>
        <w:t xml:space="preserve"> con viremia indetectable</w:t>
      </w:r>
      <w:r w:rsidRPr="005D58D3">
        <w:rPr>
          <w:rFonts w:ascii="Arial" w:hAnsi="Arial" w:cs="Arial"/>
          <w:highlight w:val="yellow"/>
        </w:rPr>
        <w:t>. En pacientes con supresión virológica</w:t>
      </w:r>
      <w:r w:rsidRPr="003F3B0A">
        <w:rPr>
          <w:rFonts w:ascii="Arial" w:hAnsi="Arial" w:cs="Arial"/>
        </w:rPr>
        <w:t xml:space="preserve">, </w:t>
      </w:r>
      <w:r w:rsidRPr="005D58D3">
        <w:rPr>
          <w:rFonts w:ascii="Arial" w:hAnsi="Arial" w:cs="Arial"/>
          <w:color w:val="000000"/>
          <w:highlight w:val="yellow"/>
        </w:rPr>
        <w:t>se han observado</w:t>
      </w:r>
      <w:r w:rsidRPr="003F3B0A">
        <w:rPr>
          <w:rFonts w:ascii="Arial" w:hAnsi="Arial" w:cs="Arial"/>
          <w:color w:val="000000"/>
        </w:rPr>
        <w:t xml:space="preserve"> cifras más elevadas de biomarcadores inflamatorios </w:t>
      </w:r>
      <w:r w:rsidRPr="005D58D3">
        <w:rPr>
          <w:rFonts w:ascii="Arial" w:hAnsi="Arial" w:cs="Arial"/>
          <w:color w:val="000000"/>
          <w:highlight w:val="yellow"/>
        </w:rPr>
        <w:t>en aquellos</w:t>
      </w:r>
      <w:r w:rsidRPr="003F3B0A">
        <w:rPr>
          <w:rFonts w:ascii="Arial" w:hAnsi="Arial" w:cs="Arial"/>
          <w:color w:val="000000"/>
        </w:rPr>
        <w:t xml:space="preserve"> con una adherencia inferior al 100%</w:t>
      </w:r>
      <w:r w:rsidRPr="003F3B0A">
        <w:rPr>
          <w:rFonts w:ascii="Arial" w:hAnsi="Arial" w:cs="Arial"/>
          <w:noProof/>
          <w:color w:val="000000"/>
          <w:vertAlign w:val="superscript"/>
        </w:rPr>
        <w:t>4</w:t>
      </w:r>
      <w:r w:rsidRPr="003F3B0A">
        <w:rPr>
          <w:rFonts w:ascii="Arial" w:hAnsi="Arial" w:cs="Arial"/>
          <w:color w:val="000000"/>
        </w:rPr>
        <w:t>.</w:t>
      </w:r>
    </w:p>
    <w:p w14:paraId="4C965C4B"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Si se detecta falta de adherencia debe intervenirse de forma activa para corregirla. La coformulación de FAR simplifica el TAR y previene la mala adherencia selectiva, mejorando la adherencia global</w:t>
      </w:r>
      <w:r w:rsidRPr="003F3B0A">
        <w:rPr>
          <w:rFonts w:ascii="Arial" w:hAnsi="Arial" w:cs="Arial"/>
          <w:noProof/>
          <w:vertAlign w:val="superscript"/>
        </w:rPr>
        <w:t>5</w:t>
      </w:r>
      <w:r w:rsidRPr="003F3B0A">
        <w:rPr>
          <w:rFonts w:ascii="Arial" w:hAnsi="Arial" w:cs="Arial"/>
        </w:rPr>
        <w:t xml:space="preserve">. El uso de regímenes completos en comprimido único se ha asociado también con menores tasas de </w:t>
      </w:r>
      <w:r w:rsidRPr="003F3B0A">
        <w:rPr>
          <w:rFonts w:ascii="Arial" w:hAnsi="Arial" w:cs="Arial"/>
        </w:rPr>
        <w:lastRenderedPageBreak/>
        <w:t>hospitalización y de costes en cuidados médicos.</w:t>
      </w:r>
      <w:r>
        <w:rPr>
          <w:rFonts w:ascii="Arial" w:hAnsi="Arial" w:cs="Arial"/>
        </w:rPr>
        <w:t xml:space="preserve"> </w:t>
      </w:r>
      <w:r w:rsidRPr="00432A98">
        <w:rPr>
          <w:rFonts w:ascii="Arial" w:hAnsi="Arial" w:cs="Arial"/>
          <w:highlight w:val="yellow"/>
        </w:rPr>
        <w:t>La polifarmacia puede abordarse mediante intervenciones de desprescripción farmacológica; se recomienda consultar el documento de GeSIDA “</w:t>
      </w:r>
      <w:bookmarkStart w:id="0" w:name="_Hlk20209085"/>
      <w:r w:rsidRPr="00432A98">
        <w:rPr>
          <w:rFonts w:ascii="Arial" w:hAnsi="Arial" w:cs="Arial"/>
          <w:highlight w:val="yellow"/>
        </w:rPr>
        <w:t>Desprescripción farmacológica de la terapia no antirretroviral en pacientes con infección por VIH</w:t>
      </w:r>
      <w:bookmarkEnd w:id="0"/>
      <w:r w:rsidRPr="00432A98">
        <w:rPr>
          <w:rFonts w:ascii="Arial" w:hAnsi="Arial" w:cs="Arial"/>
          <w:highlight w:val="yellow"/>
        </w:rPr>
        <w:t>”</w:t>
      </w:r>
      <w:r w:rsidRPr="00432A98">
        <w:rPr>
          <w:rFonts w:ascii="Arial" w:hAnsi="Arial" w:cs="Arial"/>
          <w:highlight w:val="yellow"/>
          <w:vertAlign w:val="superscript"/>
        </w:rPr>
        <w:t>6</w:t>
      </w:r>
      <w:r w:rsidRPr="00432A98">
        <w:rPr>
          <w:rFonts w:ascii="Arial" w:hAnsi="Arial" w:cs="Arial"/>
          <w:highlight w:val="yellow"/>
        </w:rPr>
        <w:t>.</w:t>
      </w:r>
    </w:p>
    <w:p w14:paraId="3F5F7A18" w14:textId="77777777" w:rsidR="00D61AB2" w:rsidRPr="003F3B0A" w:rsidRDefault="00D61AB2" w:rsidP="00D61AB2">
      <w:pPr>
        <w:spacing w:after="160" w:line="259" w:lineRule="auto"/>
        <w:jc w:val="both"/>
        <w:rPr>
          <w:rFonts w:ascii="Arial" w:hAnsi="Arial" w:cs="Arial"/>
        </w:rPr>
      </w:pPr>
      <w:r w:rsidRPr="003F3B0A">
        <w:rPr>
          <w:rFonts w:ascii="Arial" w:hAnsi="Arial" w:cs="Arial"/>
        </w:rPr>
        <w:t xml:space="preserve">Las estrategias para mejorar la adherencia son diversas incluyendo la identificación de factores de riesgo de adhesión sub-óptima, como el uso de marihuana o drogas recreacionales asociadas al sexo. Han evidenciado su utilidad: el envío de mensajes recordatorios, la terapia cognitiva, las intervenciones educativas y de soporte </w:t>
      </w:r>
      <w:r w:rsidRPr="00432A98">
        <w:rPr>
          <w:rFonts w:ascii="Arial" w:hAnsi="Arial" w:cs="Arial"/>
          <w:noProof/>
          <w:highlight w:val="yellow"/>
          <w:vertAlign w:val="superscript"/>
        </w:rPr>
        <w:t>7,8</w:t>
      </w:r>
      <w:r w:rsidRPr="003F3B0A">
        <w:rPr>
          <w:rFonts w:ascii="Arial" w:hAnsi="Arial" w:cs="Arial"/>
          <w:noProof/>
        </w:rPr>
        <w:t xml:space="preserve">. Un estudio </w:t>
      </w:r>
      <w:r w:rsidRPr="003F3B0A">
        <w:rPr>
          <w:rFonts w:ascii="Arial" w:hAnsi="Arial" w:cs="Arial"/>
        </w:rPr>
        <w:t>de intervención basado en la autogestión, realizado por personal de enfermería, ha conseguido mejoría en el porcentaje de viremia indetectable, y resultó coste-efectivo respecto al control de la adherencia por métodos habituales</w:t>
      </w:r>
      <w:r w:rsidRPr="00432A98">
        <w:rPr>
          <w:rFonts w:ascii="Arial" w:hAnsi="Arial" w:cs="Arial"/>
          <w:noProof/>
          <w:highlight w:val="yellow"/>
          <w:vertAlign w:val="superscript"/>
        </w:rPr>
        <w:t>9</w:t>
      </w:r>
      <w:r w:rsidRPr="003F3B0A">
        <w:rPr>
          <w:rFonts w:ascii="Arial" w:hAnsi="Arial" w:cs="Arial"/>
        </w:rPr>
        <w:t xml:space="preserve">. </w:t>
      </w:r>
      <w:r w:rsidRPr="005D58D3">
        <w:rPr>
          <w:rFonts w:ascii="Arial" w:hAnsi="Arial" w:cs="Arial"/>
          <w:strike/>
        </w:rPr>
        <w:t>Las intervenciones comunitarias han demostrado su utilidad para mejorar y mantener la adherencia en países de renta baja y media</w:t>
      </w:r>
      <w:r w:rsidRPr="005D58D3">
        <w:rPr>
          <w:rFonts w:ascii="Arial" w:hAnsi="Arial" w:cs="Arial"/>
          <w:strike/>
          <w:vertAlign w:val="superscript"/>
        </w:rPr>
        <w:t>9</w:t>
      </w:r>
      <w:r w:rsidRPr="005D58D3">
        <w:rPr>
          <w:rFonts w:ascii="Arial" w:hAnsi="Arial" w:cs="Arial"/>
          <w:strike/>
        </w:rPr>
        <w:t>.</w:t>
      </w:r>
      <w:r w:rsidRPr="003F3B0A">
        <w:rPr>
          <w:rFonts w:ascii="Arial" w:hAnsi="Arial" w:cs="Arial"/>
          <w:noProof/>
        </w:rPr>
        <w:t>Las intervenciones múltiples son más efectivas que las únicas aunque, en general, el efecto es modesto y disminuye con el tiempo.</w:t>
      </w:r>
    </w:p>
    <w:p w14:paraId="4CDBC42F"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 xml:space="preserve">El tratamiento directamente observado (TDO) ha demostrado un discreto aumento en la probabilidad de conseguir CVP indetectable, y una adherencia superior al 95%, mientras se mantiene la observación. </w:t>
      </w:r>
    </w:p>
    <w:p w14:paraId="26021445" w14:textId="77777777" w:rsidR="00D61AB2" w:rsidRPr="003F3B0A" w:rsidRDefault="00D61AB2" w:rsidP="00D61AB2">
      <w:pPr>
        <w:spacing w:before="120" w:after="120" w:line="276" w:lineRule="auto"/>
        <w:jc w:val="both"/>
        <w:rPr>
          <w:rFonts w:ascii="Arial" w:hAnsi="Arial" w:cs="Arial"/>
        </w:rPr>
      </w:pPr>
      <w:r w:rsidRPr="003F3B0A">
        <w:rPr>
          <w:rFonts w:ascii="Arial" w:hAnsi="Arial" w:cs="Arial"/>
        </w:rPr>
        <w:t>GeSIDA y el PNS, conjuntamente con la Sociedad Española de Farmacia Hospitalaria (SEFH), han revisado los factores que influyen en la adherencia, los métodos de evaluación y las posibles estrategias de intervención. Remitimos a los lectores a este documento</w:t>
      </w:r>
      <w:r w:rsidRPr="003F3B0A">
        <w:rPr>
          <w:rFonts w:ascii="Arial" w:hAnsi="Arial" w:cs="Arial"/>
          <w:noProof/>
          <w:vertAlign w:val="superscript"/>
        </w:rPr>
        <w:t>10</w:t>
      </w:r>
      <w:r w:rsidRPr="003F3B0A">
        <w:rPr>
          <w:rFonts w:ascii="Arial" w:hAnsi="Arial" w:cs="Arial"/>
        </w:rPr>
        <w:t xml:space="preserve"> para profundizar en el tema de la adherencia al TAR.</w:t>
      </w:r>
    </w:p>
    <w:p w14:paraId="4D2AF067" w14:textId="1F598C50" w:rsidR="00533408" w:rsidRPr="00533408" w:rsidRDefault="00D61AB2" w:rsidP="00533408">
      <w:pPr>
        <w:spacing w:before="120" w:after="120" w:line="276" w:lineRule="auto"/>
        <w:jc w:val="both"/>
        <w:rPr>
          <w:rFonts w:ascii="Arial" w:hAnsi="Arial" w:cs="Arial"/>
          <w:b/>
          <w:color w:val="AE1C1F"/>
        </w:rPr>
      </w:pPr>
      <w:r w:rsidRPr="003F3B0A">
        <w:rPr>
          <w:rFonts w:ascii="Arial" w:hAnsi="Arial" w:cs="Arial"/>
          <w:b/>
          <w:color w:val="AE1C1F"/>
        </w:rPr>
        <w:t xml:space="preserve">Recomendaciones </w:t>
      </w:r>
    </w:p>
    <w:p w14:paraId="2D673961" w14:textId="20393174" w:rsidR="00D61AB2" w:rsidRPr="003F3B0A" w:rsidRDefault="00D61AB2" w:rsidP="00D61AB2">
      <w:pPr>
        <w:pStyle w:val="Prrafodelista"/>
        <w:numPr>
          <w:ilvl w:val="0"/>
          <w:numId w:val="34"/>
        </w:numPr>
        <w:spacing w:before="120" w:after="120" w:line="300" w:lineRule="exact"/>
        <w:ind w:left="1077" w:hanging="357"/>
        <w:contextualSpacing w:val="0"/>
        <w:jc w:val="both"/>
        <w:rPr>
          <w:rFonts w:ascii="Arial" w:hAnsi="Arial" w:cs="Arial"/>
          <w:b/>
          <w:i/>
        </w:rPr>
      </w:pPr>
      <w:r w:rsidRPr="003F3B0A">
        <w:rPr>
          <w:rFonts w:ascii="Arial" w:hAnsi="Arial" w:cs="Arial"/>
        </w:rPr>
        <w:t xml:space="preserve">Antes de iniciar el TAR se debe preparar al paciente, identificar y corregir las causas potenciales de adherencia incorrecta </w:t>
      </w:r>
      <w:r w:rsidRPr="003F3B0A">
        <w:rPr>
          <w:rFonts w:ascii="Arial" w:hAnsi="Arial" w:cs="Arial"/>
          <w:b/>
          <w:i/>
        </w:rPr>
        <w:t>(</w:t>
      </w:r>
      <w:r w:rsidRPr="003F3B0A">
        <w:rPr>
          <w:rFonts w:ascii="Arial" w:hAnsi="Arial" w:cs="Arial"/>
          <w:b/>
          <w:i/>
          <w:iCs/>
        </w:rPr>
        <w:t>A-III</w:t>
      </w:r>
      <w:r w:rsidRPr="003F3B0A">
        <w:rPr>
          <w:rFonts w:ascii="Arial" w:hAnsi="Arial" w:cs="Arial"/>
          <w:b/>
          <w:i/>
        </w:rPr>
        <w:t>)</w:t>
      </w:r>
    </w:p>
    <w:p w14:paraId="6C111B99" w14:textId="6FD126A4" w:rsidR="00D61AB2" w:rsidRPr="003F3B0A" w:rsidRDefault="00D61AB2" w:rsidP="00D61AB2">
      <w:pPr>
        <w:pStyle w:val="Prrafodelista"/>
        <w:numPr>
          <w:ilvl w:val="0"/>
          <w:numId w:val="34"/>
        </w:numPr>
        <w:spacing w:before="120" w:after="120" w:line="300" w:lineRule="exact"/>
        <w:ind w:left="1077" w:hanging="357"/>
        <w:contextualSpacing w:val="0"/>
        <w:jc w:val="both"/>
        <w:rPr>
          <w:rFonts w:ascii="Arial" w:hAnsi="Arial" w:cs="Arial"/>
        </w:rPr>
      </w:pPr>
      <w:r w:rsidRPr="003F3B0A">
        <w:rPr>
          <w:rFonts w:ascii="Arial" w:hAnsi="Arial" w:cs="Arial"/>
        </w:rPr>
        <w:t xml:space="preserve">Una vez iniciado el TAR se recomienda efectuar un </w:t>
      </w:r>
      <w:r w:rsidRPr="005D58D3">
        <w:rPr>
          <w:rFonts w:ascii="Arial" w:hAnsi="Arial" w:cs="Arial"/>
          <w:highlight w:val="yellow"/>
        </w:rPr>
        <w:t>contacto con el paciente</w:t>
      </w:r>
      <w:r>
        <w:rPr>
          <w:rFonts w:ascii="Arial" w:hAnsi="Arial" w:cs="Arial"/>
        </w:rPr>
        <w:t xml:space="preserve"> </w:t>
      </w:r>
      <w:r w:rsidRPr="003F3B0A">
        <w:rPr>
          <w:rFonts w:ascii="Arial" w:hAnsi="Arial" w:cs="Arial"/>
        </w:rPr>
        <w:t>a las 2</w:t>
      </w:r>
      <w:r w:rsidRPr="003F3B0A">
        <w:rPr>
          <w:rFonts w:ascii="Cambria Math" w:hAnsi="Cambria Math" w:cs="Cambria Math"/>
        </w:rPr>
        <w:t>‐</w:t>
      </w:r>
      <w:r w:rsidRPr="003F3B0A">
        <w:rPr>
          <w:rFonts w:ascii="Arial" w:hAnsi="Arial" w:cs="Arial"/>
        </w:rPr>
        <w:t xml:space="preserve">4 semanas para comprobar la adherencia y corregirla si es preciso </w:t>
      </w:r>
      <w:r w:rsidRPr="003F3B0A">
        <w:rPr>
          <w:rFonts w:ascii="Arial" w:hAnsi="Arial" w:cs="Arial"/>
          <w:b/>
        </w:rPr>
        <w:t>(</w:t>
      </w:r>
      <w:r w:rsidRPr="003F3B0A">
        <w:rPr>
          <w:rFonts w:ascii="Arial" w:hAnsi="Arial" w:cs="Arial"/>
          <w:b/>
          <w:i/>
          <w:iCs/>
        </w:rPr>
        <w:t>A-III</w:t>
      </w:r>
      <w:r w:rsidRPr="003F3B0A">
        <w:rPr>
          <w:rFonts w:ascii="Arial" w:hAnsi="Arial" w:cs="Arial"/>
          <w:b/>
        </w:rPr>
        <w:t>)</w:t>
      </w:r>
    </w:p>
    <w:p w14:paraId="675CA2DB" w14:textId="77777777" w:rsidR="00D61AB2" w:rsidRPr="003F3B0A" w:rsidRDefault="00D61AB2" w:rsidP="00D61AB2">
      <w:pPr>
        <w:pStyle w:val="Prrafodelista"/>
        <w:numPr>
          <w:ilvl w:val="0"/>
          <w:numId w:val="34"/>
        </w:numPr>
        <w:spacing w:before="120" w:after="120" w:line="300" w:lineRule="exact"/>
        <w:ind w:left="1077" w:hanging="357"/>
        <w:contextualSpacing w:val="0"/>
        <w:jc w:val="both"/>
        <w:rPr>
          <w:rFonts w:ascii="Arial" w:hAnsi="Arial" w:cs="Arial"/>
        </w:rPr>
      </w:pPr>
      <w:r w:rsidRPr="003F3B0A">
        <w:rPr>
          <w:rFonts w:ascii="Arial" w:hAnsi="Arial" w:cs="Arial"/>
        </w:rPr>
        <w:t xml:space="preserve">La adherencia debe monitorizarse y reforzarse coincidiendo con las visitas clínicas </w:t>
      </w:r>
      <w:r w:rsidRPr="003F3B0A">
        <w:rPr>
          <w:rFonts w:ascii="Arial" w:hAnsi="Arial" w:cs="Arial"/>
          <w:b/>
        </w:rPr>
        <w:t>(</w:t>
      </w:r>
      <w:r w:rsidRPr="003F3B0A">
        <w:rPr>
          <w:rFonts w:ascii="Arial" w:hAnsi="Arial" w:cs="Arial"/>
          <w:b/>
          <w:i/>
          <w:iCs/>
        </w:rPr>
        <w:t>A-III</w:t>
      </w:r>
      <w:r w:rsidRPr="003F3B0A">
        <w:rPr>
          <w:rFonts w:ascii="Arial" w:hAnsi="Arial" w:cs="Arial"/>
          <w:b/>
        </w:rPr>
        <w:t>)</w:t>
      </w:r>
    </w:p>
    <w:p w14:paraId="67E0A983" w14:textId="77777777" w:rsidR="00D61AB2" w:rsidRPr="003F3B0A" w:rsidRDefault="00D61AB2" w:rsidP="00D61AB2">
      <w:pPr>
        <w:pStyle w:val="Prrafodelista"/>
        <w:numPr>
          <w:ilvl w:val="0"/>
          <w:numId w:val="34"/>
        </w:numPr>
        <w:spacing w:before="120" w:after="120"/>
        <w:ind w:left="1077" w:hanging="357"/>
        <w:contextualSpacing w:val="0"/>
        <w:jc w:val="both"/>
        <w:rPr>
          <w:rFonts w:ascii="Arial" w:hAnsi="Arial" w:cs="Arial"/>
        </w:rPr>
      </w:pPr>
      <w:r w:rsidRPr="003F3B0A">
        <w:rPr>
          <w:rFonts w:ascii="Arial" w:hAnsi="Arial" w:cs="Arial"/>
        </w:rPr>
        <w:t xml:space="preserve">El control de la adherencia debe realizarse </w:t>
      </w:r>
      <w:r w:rsidRPr="005D58D3">
        <w:rPr>
          <w:rFonts w:ascii="Arial" w:hAnsi="Arial" w:cs="Arial"/>
          <w:highlight w:val="yellow"/>
        </w:rPr>
        <w:t>idealmente</w:t>
      </w:r>
      <w:r>
        <w:rPr>
          <w:rFonts w:ascii="Arial" w:hAnsi="Arial" w:cs="Arial"/>
        </w:rPr>
        <w:t xml:space="preserve"> </w:t>
      </w:r>
      <w:r w:rsidRPr="003F3B0A">
        <w:rPr>
          <w:rFonts w:ascii="Arial" w:hAnsi="Arial" w:cs="Arial"/>
        </w:rPr>
        <w:t xml:space="preserve">por un equipo multidisciplinar, adaptado a la disponibilidad de cada centro, que incluya médicos, personal de enfermería, profesionales de apoyo psicológico, farmacia hospitalaria y organizaciones comunitarias </w:t>
      </w:r>
      <w:r w:rsidRPr="003F3B0A">
        <w:rPr>
          <w:rFonts w:ascii="Arial" w:hAnsi="Arial" w:cs="Arial"/>
          <w:b/>
        </w:rPr>
        <w:t>(</w:t>
      </w:r>
      <w:r w:rsidRPr="003F3B0A">
        <w:rPr>
          <w:rFonts w:ascii="Arial" w:hAnsi="Arial" w:cs="Arial"/>
          <w:b/>
          <w:i/>
          <w:iCs/>
        </w:rPr>
        <w:t>A-III</w:t>
      </w:r>
      <w:r w:rsidRPr="003F3B0A">
        <w:rPr>
          <w:rFonts w:ascii="Arial" w:hAnsi="Arial" w:cs="Arial"/>
          <w:b/>
        </w:rPr>
        <w:t>)</w:t>
      </w:r>
    </w:p>
    <w:p w14:paraId="30D3ED65" w14:textId="77777777" w:rsidR="00D61AB2" w:rsidRPr="003F3B0A" w:rsidRDefault="00D61AB2" w:rsidP="00D61AB2">
      <w:pPr>
        <w:pStyle w:val="Prrafodelista"/>
        <w:numPr>
          <w:ilvl w:val="0"/>
          <w:numId w:val="34"/>
        </w:numPr>
        <w:spacing w:before="120" w:after="120" w:line="276" w:lineRule="auto"/>
        <w:contextualSpacing w:val="0"/>
        <w:jc w:val="both"/>
        <w:rPr>
          <w:rFonts w:ascii="Arial" w:hAnsi="Arial" w:cs="Arial"/>
          <w:b/>
          <w:i/>
          <w:color w:val="0070C0"/>
        </w:rPr>
      </w:pPr>
      <w:r w:rsidRPr="003F3B0A">
        <w:rPr>
          <w:rFonts w:ascii="Arial" w:hAnsi="Arial" w:cs="Arial"/>
        </w:rPr>
        <w:t xml:space="preserve">En pacientes con cumplimiento irregular es preferible utilizar pautas basadas en IP/p, de preferencia DRV, o en DTG (si existe riesgo de interacciones) por su elevada barrera genética, para prevenir la selección de resistencias </w:t>
      </w:r>
      <w:r w:rsidRPr="003F3B0A">
        <w:rPr>
          <w:rFonts w:ascii="Arial" w:hAnsi="Arial" w:cs="Arial"/>
          <w:b/>
        </w:rPr>
        <w:t>(</w:t>
      </w:r>
      <w:r w:rsidRPr="003F3B0A">
        <w:rPr>
          <w:rFonts w:ascii="Arial" w:hAnsi="Arial" w:cs="Arial"/>
          <w:b/>
          <w:i/>
          <w:iCs/>
        </w:rPr>
        <w:t>A-II</w:t>
      </w:r>
      <w:r w:rsidRPr="003F3B0A">
        <w:rPr>
          <w:rFonts w:ascii="Arial" w:hAnsi="Arial" w:cs="Arial"/>
          <w:b/>
        </w:rPr>
        <w:t>)</w:t>
      </w:r>
    </w:p>
    <w:p w14:paraId="4A858012" w14:textId="77777777" w:rsidR="00533408" w:rsidRPr="00533408" w:rsidRDefault="00533408" w:rsidP="00D61AB2">
      <w:pPr>
        <w:pStyle w:val="Prrafodelista"/>
        <w:numPr>
          <w:ilvl w:val="0"/>
          <w:numId w:val="34"/>
        </w:numPr>
        <w:spacing w:before="120" w:after="120" w:line="276" w:lineRule="auto"/>
        <w:contextualSpacing w:val="0"/>
        <w:jc w:val="both"/>
        <w:rPr>
          <w:rFonts w:ascii="Arial" w:hAnsi="Arial" w:cs="Arial"/>
          <w:b/>
        </w:rPr>
      </w:pPr>
    </w:p>
    <w:p w14:paraId="4400CF41" w14:textId="77777777" w:rsidR="00533408" w:rsidRPr="00533408" w:rsidRDefault="00533408" w:rsidP="00533408">
      <w:pPr>
        <w:pStyle w:val="Prrafodelista"/>
        <w:numPr>
          <w:ilvl w:val="0"/>
          <w:numId w:val="34"/>
        </w:numPr>
        <w:spacing w:before="120" w:after="120"/>
        <w:ind w:left="1077" w:hanging="357"/>
        <w:contextualSpacing w:val="0"/>
        <w:jc w:val="both"/>
        <w:rPr>
          <w:rFonts w:ascii="Arial" w:hAnsi="Arial" w:cs="Arial"/>
          <w:highlight w:val="yellow"/>
        </w:rPr>
      </w:pPr>
      <w:r w:rsidRPr="00533408">
        <w:rPr>
          <w:rFonts w:ascii="Arial" w:hAnsi="Arial" w:cs="Arial"/>
          <w:highlight w:val="yellow"/>
        </w:rPr>
        <w:lastRenderedPageBreak/>
        <w:t xml:space="preserve">Para conseguir una adherencia optima en los pacientes, se recomienda que las pautas del TAR sean de uno o dos comprimidos al día, en una única dosis de administración, sin restricciones dietéticas, efectos secundarios y, en la medida de lo posible, sin interferencias con los hábitos de vida de los pacientes (B-I). </w:t>
      </w:r>
    </w:p>
    <w:p w14:paraId="7E8F20D4" w14:textId="24C921F8" w:rsidR="00533408" w:rsidRPr="00533408" w:rsidRDefault="00533408" w:rsidP="00533408">
      <w:pPr>
        <w:pStyle w:val="Prrafodelista"/>
        <w:numPr>
          <w:ilvl w:val="0"/>
          <w:numId w:val="34"/>
        </w:numPr>
        <w:spacing w:before="120" w:after="120"/>
        <w:ind w:left="1077" w:hanging="357"/>
        <w:contextualSpacing w:val="0"/>
        <w:jc w:val="both"/>
        <w:rPr>
          <w:rFonts w:ascii="Arial" w:hAnsi="Arial" w:cs="Arial"/>
        </w:rPr>
      </w:pPr>
      <w:r w:rsidRPr="00533408">
        <w:rPr>
          <w:rFonts w:ascii="Arial" w:hAnsi="Arial" w:cs="Arial"/>
        </w:rPr>
        <w:t>El uso de regímenes completos en comprimido único constituye la estrategia más eficiente para prevenir la mala adherencia selectiva de fármacos (A-II).</w:t>
      </w:r>
    </w:p>
    <w:p w14:paraId="36888854" w14:textId="77777777" w:rsidR="00D61AB2" w:rsidRPr="003F3B0A" w:rsidRDefault="00D61AB2" w:rsidP="00D61AB2">
      <w:pPr>
        <w:spacing w:before="120" w:after="120" w:line="276" w:lineRule="auto"/>
        <w:rPr>
          <w:rFonts w:ascii="Arial" w:hAnsi="Arial" w:cs="Arial"/>
        </w:rPr>
      </w:pPr>
    </w:p>
    <w:p w14:paraId="2EE2C0D4" w14:textId="77777777" w:rsidR="00D61AB2" w:rsidRPr="003F3B0A" w:rsidRDefault="00D61AB2" w:rsidP="00D61AB2">
      <w:pPr>
        <w:jc w:val="center"/>
        <w:rPr>
          <w:rFonts w:ascii="Arial" w:hAnsi="Arial" w:cs="Arial"/>
          <w:b/>
          <w:noProof/>
          <w:color w:val="AE1C1F"/>
        </w:rPr>
      </w:pPr>
      <w:r w:rsidRPr="003F3B0A">
        <w:rPr>
          <w:rFonts w:ascii="Arial" w:hAnsi="Arial" w:cs="Arial"/>
          <w:b/>
          <w:noProof/>
          <w:color w:val="AE1C1F"/>
        </w:rPr>
        <w:t>Referencias bibliográficas</w:t>
      </w:r>
    </w:p>
    <w:p w14:paraId="4C0C5557" w14:textId="77777777" w:rsidR="00D61AB2" w:rsidRPr="003F3B0A" w:rsidRDefault="00D61AB2" w:rsidP="00D61AB2">
      <w:pPr>
        <w:pStyle w:val="EndNoteBibliography"/>
        <w:spacing w:before="120" w:after="120" w:line="276" w:lineRule="auto"/>
        <w:jc w:val="both"/>
        <w:rPr>
          <w:sz w:val="18"/>
          <w:szCs w:val="18"/>
        </w:rPr>
      </w:pPr>
    </w:p>
    <w:p w14:paraId="1032B9A8" w14:textId="77777777" w:rsidR="00D61AB2" w:rsidRPr="003F3B0A" w:rsidRDefault="00D61AB2" w:rsidP="00D61AB2">
      <w:pPr>
        <w:pStyle w:val="EndNoteBibliography"/>
        <w:spacing w:before="120" w:after="120" w:line="276" w:lineRule="auto"/>
        <w:jc w:val="both"/>
        <w:rPr>
          <w:sz w:val="18"/>
          <w:szCs w:val="18"/>
        </w:rPr>
        <w:sectPr w:rsidR="00D61AB2" w:rsidRPr="003F3B0A" w:rsidSect="00D61AB2">
          <w:pgSz w:w="11906" w:h="16838"/>
          <w:pgMar w:top="1417" w:right="1701" w:bottom="1417" w:left="1701" w:header="708" w:footer="708" w:gutter="0"/>
          <w:cols w:space="708"/>
          <w:docGrid w:linePitch="360"/>
        </w:sectPr>
      </w:pPr>
    </w:p>
    <w:p w14:paraId="05092DB6" w14:textId="77777777" w:rsidR="00D61AB2" w:rsidRPr="003F3B0A" w:rsidRDefault="00D61AB2" w:rsidP="00D61AB2">
      <w:pPr>
        <w:pStyle w:val="EndNoteBibliography"/>
        <w:spacing w:before="120" w:after="120"/>
        <w:jc w:val="both"/>
        <w:rPr>
          <w:sz w:val="18"/>
          <w:szCs w:val="18"/>
        </w:rPr>
      </w:pPr>
      <w:r w:rsidRPr="003F3B0A">
        <w:rPr>
          <w:sz w:val="18"/>
          <w:szCs w:val="18"/>
        </w:rPr>
        <w:t xml:space="preserve">1. Shubber Z, Mills EJ, Nachega JB, et al. </w:t>
      </w:r>
      <w:r w:rsidRPr="003F3B0A">
        <w:rPr>
          <w:sz w:val="18"/>
          <w:szCs w:val="18"/>
          <w:lang w:val="en-US"/>
        </w:rPr>
        <w:t xml:space="preserve">Patient-Reported Barriers to Adherence to Antiretroviral Therapy: A Systematic Review and Meta-Analysis. </w:t>
      </w:r>
      <w:r w:rsidRPr="003F3B0A">
        <w:rPr>
          <w:sz w:val="18"/>
          <w:szCs w:val="18"/>
        </w:rPr>
        <w:t>PLoS medicine 2016;13:e1002183.</w:t>
      </w:r>
    </w:p>
    <w:p w14:paraId="4C2B6420" w14:textId="77777777" w:rsidR="00D61AB2" w:rsidRPr="003F3B0A" w:rsidRDefault="00D61AB2" w:rsidP="00D61AB2">
      <w:pPr>
        <w:pStyle w:val="EndNoteBibliography"/>
        <w:spacing w:before="120" w:after="120"/>
        <w:jc w:val="both"/>
        <w:rPr>
          <w:sz w:val="18"/>
          <w:szCs w:val="18"/>
          <w:lang w:val="en-US"/>
        </w:rPr>
      </w:pPr>
      <w:r w:rsidRPr="003F3B0A">
        <w:rPr>
          <w:sz w:val="18"/>
          <w:szCs w:val="18"/>
        </w:rPr>
        <w:t xml:space="preserve">2. Thompson MA, Mugavero MJ, Amico KR, et al. </w:t>
      </w:r>
      <w:r w:rsidRPr="003F3B0A">
        <w:rPr>
          <w:sz w:val="18"/>
          <w:szCs w:val="18"/>
          <w:lang w:val="en-US"/>
        </w:rPr>
        <w:t>Guidelines for improving entry into and retention in care and antiretroviral adherence for persons with HIV: evidence-based recommendations from an International Association of Physicians in AIDS Care panel. Ann Intern Med 2012;156:817-33.</w:t>
      </w:r>
    </w:p>
    <w:p w14:paraId="37AD04A1" w14:textId="77777777" w:rsidR="00D61AB2" w:rsidRPr="003F3B0A" w:rsidRDefault="00D61AB2" w:rsidP="00D61AB2">
      <w:pPr>
        <w:pStyle w:val="EndNoteBibliography"/>
        <w:spacing w:before="120" w:after="120"/>
        <w:jc w:val="both"/>
        <w:rPr>
          <w:sz w:val="18"/>
          <w:szCs w:val="18"/>
          <w:lang w:val="en-US"/>
        </w:rPr>
      </w:pPr>
      <w:r w:rsidRPr="003F3B0A">
        <w:rPr>
          <w:sz w:val="18"/>
          <w:szCs w:val="18"/>
          <w:lang w:val="en-US"/>
        </w:rPr>
        <w:t>3. Sutton SS, Magagnoli J, Hardin JW. Odds of Viral Suppression by Single-Tablet Regimens, Multiple-Tablet Regimens, and Adherence Level in HIV/AIDS Patients Receiving Antiretroviral Therapy. Pharmacotherapy 2017;37:204-13.</w:t>
      </w:r>
    </w:p>
    <w:p w14:paraId="039768A3" w14:textId="77777777" w:rsidR="00D61AB2" w:rsidRPr="003F3B0A" w:rsidRDefault="00D61AB2" w:rsidP="00D61AB2">
      <w:pPr>
        <w:pStyle w:val="EndNoteBibliography"/>
        <w:spacing w:before="120" w:after="120"/>
        <w:jc w:val="both"/>
        <w:rPr>
          <w:sz w:val="18"/>
          <w:szCs w:val="18"/>
          <w:lang w:val="en-US"/>
        </w:rPr>
      </w:pPr>
      <w:r w:rsidRPr="003F3B0A">
        <w:rPr>
          <w:sz w:val="18"/>
          <w:szCs w:val="18"/>
          <w:lang w:val="en-US"/>
        </w:rPr>
        <w:t>4. Castillo-Mancilla JR, Brown TT, Erlandson KM, et al. Suboptimal Adherence to Combination Antiretroviral Therapy Is Associated With Higher Levels of Inflammation Despite HIV Suppression. Clin Infect Dis 2016;63:1661-7.</w:t>
      </w:r>
    </w:p>
    <w:p w14:paraId="6295E804" w14:textId="77777777" w:rsidR="00D61AB2" w:rsidRDefault="00D61AB2" w:rsidP="00D61AB2">
      <w:pPr>
        <w:pStyle w:val="EndNoteBibliography"/>
        <w:spacing w:before="120" w:after="120"/>
        <w:jc w:val="both"/>
        <w:rPr>
          <w:sz w:val="18"/>
          <w:szCs w:val="18"/>
        </w:rPr>
      </w:pPr>
      <w:r w:rsidRPr="003F3B0A">
        <w:rPr>
          <w:sz w:val="18"/>
          <w:szCs w:val="18"/>
          <w:lang w:val="en-US"/>
        </w:rPr>
        <w:t xml:space="preserve">5. Llibre JM, Arribas JR, Domingo P, et al. Clinical implications of fixed-dose coformulations of antiretrovirals on the outcome of HIV-1 therapy. </w:t>
      </w:r>
      <w:r w:rsidRPr="003F3B0A">
        <w:rPr>
          <w:sz w:val="18"/>
          <w:szCs w:val="18"/>
        </w:rPr>
        <w:t>AIDS 2011;25:1683-90.</w:t>
      </w:r>
    </w:p>
    <w:p w14:paraId="2BF2C123" w14:textId="50BC5B2D" w:rsidR="00D61AB2" w:rsidRPr="00AD2C2A" w:rsidRDefault="00D61AB2" w:rsidP="00D61AB2">
      <w:pPr>
        <w:pStyle w:val="EndNoteBibliography"/>
        <w:spacing w:before="120" w:after="120"/>
        <w:jc w:val="both"/>
        <w:rPr>
          <w:sz w:val="18"/>
          <w:szCs w:val="18"/>
        </w:rPr>
      </w:pPr>
      <w:r w:rsidRPr="00432A98">
        <w:rPr>
          <w:sz w:val="18"/>
          <w:szCs w:val="18"/>
          <w:highlight w:val="yellow"/>
        </w:rPr>
        <w:t>6.</w:t>
      </w:r>
      <w:r w:rsidRPr="00432A98">
        <w:rPr>
          <w:highlight w:val="yellow"/>
        </w:rPr>
        <w:t xml:space="preserve"> </w:t>
      </w:r>
      <w:r w:rsidRPr="00432A98">
        <w:rPr>
          <w:sz w:val="18"/>
          <w:szCs w:val="18"/>
          <w:highlight w:val="yellow"/>
        </w:rPr>
        <w:t xml:space="preserve">Desprescripción farmacológica de la terapia no antirretroviral en pacientes con infección por VIH (Actualización Octubre de 2018). Panel de expertos de GeSIDA. </w:t>
      </w:r>
      <w:hyperlink r:id="rId28" w:history="1">
        <w:r w:rsidRPr="00432A98">
          <w:rPr>
            <w:rStyle w:val="Hipervnculo"/>
            <w:sz w:val="18"/>
            <w:szCs w:val="18"/>
            <w:highlight w:val="yellow"/>
          </w:rPr>
          <w:t>http://gesida-seimc.org/wp-content/uploads/2019/03/15_DESPRESCRIPCION_FARMACOLOGICA_TERAPIA_NO_ANTIRRETROVIRAL_EN_PACIENTES_CON_INFECCION_POR_VIH.pdf</w:t>
        </w:r>
      </w:hyperlink>
      <w:r w:rsidRPr="00432A98">
        <w:rPr>
          <w:sz w:val="18"/>
          <w:szCs w:val="18"/>
          <w:highlight w:val="yellow"/>
        </w:rPr>
        <w:t xml:space="preserve"> (Consultada </w:t>
      </w:r>
      <w:r>
        <w:rPr>
          <w:sz w:val="18"/>
          <w:szCs w:val="18"/>
          <w:highlight w:val="yellow"/>
        </w:rPr>
        <w:t>30.11.2019</w:t>
      </w:r>
      <w:r w:rsidRPr="00432A98">
        <w:rPr>
          <w:sz w:val="18"/>
          <w:szCs w:val="18"/>
          <w:highlight w:val="yellow"/>
        </w:rPr>
        <w:t>).</w:t>
      </w:r>
    </w:p>
    <w:p w14:paraId="1AE833D5" w14:textId="77777777" w:rsidR="00D61AB2" w:rsidRPr="003F3B0A" w:rsidRDefault="00D61AB2" w:rsidP="00D61AB2">
      <w:pPr>
        <w:pStyle w:val="Sinespaciado"/>
        <w:jc w:val="both"/>
        <w:rPr>
          <w:rFonts w:ascii="Arial" w:hAnsi="Arial" w:cs="Arial"/>
          <w:sz w:val="18"/>
          <w:szCs w:val="18"/>
          <w:lang w:val="en-US"/>
        </w:rPr>
      </w:pPr>
      <w:r w:rsidRPr="00432A98">
        <w:rPr>
          <w:rFonts w:ascii="Arial" w:hAnsi="Arial" w:cs="Arial"/>
          <w:bCs/>
          <w:sz w:val="18"/>
          <w:szCs w:val="18"/>
          <w:highlight w:val="yellow"/>
        </w:rPr>
        <w:t>7</w:t>
      </w:r>
      <w:r w:rsidRPr="00432A98">
        <w:rPr>
          <w:rFonts w:ascii="Arial" w:hAnsi="Arial" w:cs="Arial"/>
          <w:bCs/>
          <w:sz w:val="18"/>
          <w:szCs w:val="18"/>
        </w:rPr>
        <w:t xml:space="preserve">. </w:t>
      </w:r>
      <w:r w:rsidRPr="003F3B0A">
        <w:rPr>
          <w:rFonts w:ascii="Arial" w:hAnsi="Arial" w:cs="Arial"/>
          <w:bCs/>
          <w:sz w:val="18"/>
          <w:szCs w:val="18"/>
        </w:rPr>
        <w:t>Quintana Y</w:t>
      </w:r>
      <w:r w:rsidRPr="003F3B0A">
        <w:rPr>
          <w:rFonts w:ascii="Arial" w:hAnsi="Arial" w:cs="Arial"/>
          <w:sz w:val="18"/>
          <w:szCs w:val="18"/>
        </w:rPr>
        <w:t xml:space="preserve">, Gonzalez Martorell EA, Fahy D, et al. </w:t>
      </w:r>
      <w:r w:rsidRPr="003F3B0A">
        <w:rPr>
          <w:rFonts w:ascii="Arial" w:hAnsi="Arial" w:cs="Arial"/>
          <w:sz w:val="18"/>
          <w:szCs w:val="18"/>
          <w:lang w:val="en-US"/>
        </w:rPr>
        <w:t>A Systematic review on promoting adherence to antiretroviral therapy in HIV-infected patients using mobile phone technology. Appl Clin Inform 2018; 09 (02):450-466</w:t>
      </w:r>
    </w:p>
    <w:p w14:paraId="59193D3B" w14:textId="77777777" w:rsidR="00D61AB2" w:rsidRPr="003F3B0A" w:rsidRDefault="00D61AB2" w:rsidP="00D61AB2">
      <w:pPr>
        <w:pStyle w:val="EndNoteBibliography"/>
        <w:spacing w:before="120" w:after="120"/>
        <w:jc w:val="both"/>
        <w:rPr>
          <w:sz w:val="18"/>
          <w:szCs w:val="18"/>
        </w:rPr>
      </w:pPr>
      <w:r w:rsidRPr="00432A98">
        <w:rPr>
          <w:sz w:val="18"/>
          <w:szCs w:val="18"/>
          <w:highlight w:val="yellow"/>
          <w:lang w:val="en-US"/>
        </w:rPr>
        <w:t>8.</w:t>
      </w:r>
      <w:r w:rsidRPr="003F3B0A">
        <w:rPr>
          <w:sz w:val="18"/>
          <w:szCs w:val="18"/>
          <w:lang w:val="en-US"/>
        </w:rPr>
        <w:t xml:space="preserve"> Kanters S, Park JJ, Chan K, et al. Interventions to improve adherence to antiretroviral therapy: a systematic review and network meta-analysis. </w:t>
      </w:r>
      <w:r w:rsidRPr="003F3B0A">
        <w:rPr>
          <w:sz w:val="18"/>
          <w:szCs w:val="18"/>
        </w:rPr>
        <w:t>The lancet HIV 2017;4:e31-e40.</w:t>
      </w:r>
    </w:p>
    <w:p w14:paraId="384EEBE2" w14:textId="77777777" w:rsidR="00D61AB2" w:rsidRPr="003F3B0A" w:rsidRDefault="00D61AB2" w:rsidP="00D61AB2">
      <w:pPr>
        <w:pStyle w:val="EndNoteBibliography"/>
        <w:spacing w:before="120" w:after="120"/>
        <w:jc w:val="both"/>
        <w:rPr>
          <w:sz w:val="18"/>
          <w:szCs w:val="18"/>
          <w:lang w:val="en-US"/>
        </w:rPr>
      </w:pPr>
      <w:r w:rsidRPr="00432A98">
        <w:rPr>
          <w:sz w:val="18"/>
          <w:szCs w:val="18"/>
          <w:highlight w:val="yellow"/>
        </w:rPr>
        <w:t>9.</w:t>
      </w:r>
      <w:r w:rsidRPr="003F3B0A">
        <w:rPr>
          <w:sz w:val="18"/>
          <w:szCs w:val="18"/>
        </w:rPr>
        <w:t xml:space="preserve"> de Bruin M, Oberje EJM, Viechtbauer W, et al. </w:t>
      </w:r>
      <w:r w:rsidRPr="003F3B0A">
        <w:rPr>
          <w:sz w:val="18"/>
          <w:szCs w:val="18"/>
          <w:lang w:val="en-US"/>
        </w:rPr>
        <w:t>Effectiveness and cost-effectiveness of a nurse-delivered intervention to improve adherence to treatment for HIV: a pragmatic, multicentre, open-label, randomised clinical trial. Lancet Infect Dis 2017;17:595-604.</w:t>
      </w:r>
    </w:p>
    <w:p w14:paraId="35C0D024" w14:textId="69ACB68A" w:rsidR="00D61AB2" w:rsidRPr="003F3B0A" w:rsidRDefault="00D61AB2" w:rsidP="00D61AB2">
      <w:pPr>
        <w:pStyle w:val="EndNoteBibliography"/>
        <w:spacing w:before="120" w:after="120"/>
        <w:jc w:val="both"/>
        <w:rPr>
          <w:sz w:val="18"/>
          <w:szCs w:val="18"/>
        </w:rPr>
        <w:sectPr w:rsidR="00D61AB2" w:rsidRPr="003F3B0A">
          <w:type w:val="continuous"/>
          <w:pgSz w:w="11906" w:h="16838"/>
          <w:pgMar w:top="1417" w:right="1701" w:bottom="1417" w:left="1701" w:header="708" w:footer="708" w:gutter="0"/>
          <w:cols w:num="2" w:sep="1" w:space="340"/>
          <w:docGrid w:linePitch="360"/>
        </w:sectPr>
      </w:pPr>
      <w:r w:rsidRPr="00432A98">
        <w:rPr>
          <w:rFonts w:cs="Arial"/>
          <w:strike/>
          <w:sz w:val="18"/>
          <w:szCs w:val="18"/>
          <w:lang w:val="en-US"/>
        </w:rPr>
        <w:t xml:space="preserve">9. Nachega JB, Adetokunboh O, Uthman OA, et al. Community-Based Interventions to Improve and Sustain Antiretroviral Therapy Adherence, Retention in HIV Care and Clinical Outcomes in Low- and Middle-Income Countries for Achieving the UNAIDS 90-90-90 Targets. </w:t>
      </w:r>
      <w:r w:rsidRPr="00432A98">
        <w:rPr>
          <w:rFonts w:cs="Arial"/>
          <w:strike/>
          <w:sz w:val="18"/>
          <w:szCs w:val="18"/>
        </w:rPr>
        <w:t>Curr HIV/AIDS Rep 2016: 241-55</w:t>
      </w:r>
      <w:r w:rsidRPr="003F3B0A">
        <w:rPr>
          <w:sz w:val="18"/>
          <w:szCs w:val="18"/>
        </w:rPr>
        <w:t>10. Recomendaciones GESIDA/SEFH/PNS para mejorar la adherencia al tratamiento antirretroviral. (Actualización Junio de 20</w:t>
      </w:r>
      <w:r>
        <w:rPr>
          <w:sz w:val="18"/>
          <w:szCs w:val="18"/>
        </w:rPr>
        <w:t>0</w:t>
      </w:r>
      <w:r w:rsidRPr="003F3B0A">
        <w:rPr>
          <w:sz w:val="18"/>
          <w:szCs w:val="18"/>
        </w:rPr>
        <w:t xml:space="preserve">8). </w:t>
      </w:r>
      <w:r w:rsidRPr="00432A98">
        <w:rPr>
          <w:strike/>
          <w:sz w:val="18"/>
          <w:szCs w:val="18"/>
        </w:rPr>
        <w:t>http://www.msssi.gob.es/ciudadanos/enfLesiones/enfTransmisibles/sida/docs/recomendacionesAdherenciaTrtoAntirretroviral062008.pdf</w:t>
      </w:r>
      <w:r w:rsidRPr="003F3B0A">
        <w:rPr>
          <w:sz w:val="18"/>
          <w:szCs w:val="18"/>
        </w:rPr>
        <w:t xml:space="preserve">  </w:t>
      </w:r>
      <w:r w:rsidRPr="00432A98">
        <w:rPr>
          <w:sz w:val="18"/>
          <w:szCs w:val="18"/>
          <w:highlight w:val="yellow"/>
        </w:rPr>
        <w:t>http://gesida-seimc.org/wp-content/uploads/2017/02/Gesida_dcyrc2008_adherenciaTAR.pdf</w:t>
      </w:r>
      <w:r>
        <w:rPr>
          <w:sz w:val="18"/>
          <w:szCs w:val="18"/>
        </w:rPr>
        <w:t xml:space="preserve"> </w:t>
      </w:r>
      <w:r w:rsidRPr="003F3B0A">
        <w:rPr>
          <w:sz w:val="18"/>
          <w:szCs w:val="18"/>
        </w:rPr>
        <w:t xml:space="preserve">(Consultada </w:t>
      </w:r>
      <w:r>
        <w:rPr>
          <w:sz w:val="18"/>
          <w:szCs w:val="18"/>
          <w:highlight w:val="yellow"/>
        </w:rPr>
        <w:t>30.11.</w:t>
      </w:r>
      <w:r w:rsidRPr="00432A98">
        <w:rPr>
          <w:sz w:val="18"/>
          <w:szCs w:val="18"/>
          <w:highlight w:val="yellow"/>
        </w:rPr>
        <w:t>2019).</w:t>
      </w:r>
    </w:p>
    <w:p w14:paraId="40FDCE9E" w14:textId="77777777" w:rsidR="00D61AB2" w:rsidRPr="003F3B0A" w:rsidRDefault="00D61AB2" w:rsidP="00D61AB2">
      <w:pPr>
        <w:jc w:val="both"/>
        <w:rPr>
          <w:rFonts w:ascii="Arial" w:hAnsi="Arial" w:cs="Arial"/>
          <w:noProof/>
          <w:sz w:val="18"/>
        </w:rPr>
        <w:sectPr w:rsidR="00D61AB2" w:rsidRPr="003F3B0A">
          <w:headerReference w:type="default" r:id="rId29"/>
          <w:footerReference w:type="default" r:id="rId30"/>
          <w:type w:val="continuous"/>
          <w:pgSz w:w="11906" w:h="16838"/>
          <w:pgMar w:top="1417" w:right="1701" w:bottom="1417" w:left="1701" w:header="708" w:footer="708" w:gutter="0"/>
          <w:cols w:num="2" w:sep="1" w:space="340"/>
          <w:docGrid w:linePitch="360"/>
        </w:sectPr>
      </w:pPr>
    </w:p>
    <w:p w14:paraId="100D3580" w14:textId="77777777" w:rsidR="00E51087" w:rsidRPr="00856716" w:rsidRDefault="00E51087" w:rsidP="00E51087">
      <w:pPr>
        <w:spacing w:before="120" w:after="120" w:line="276" w:lineRule="auto"/>
        <w:jc w:val="both"/>
        <w:rPr>
          <w:rFonts w:ascii="Arial" w:hAnsi="Arial" w:cs="Arial"/>
          <w:b/>
          <w:snapToGrid w:val="0"/>
          <w:color w:val="AE1C1F"/>
          <w:lang w:val="es-ES_tradnl"/>
        </w:rPr>
      </w:pPr>
      <w:r w:rsidRPr="00856716">
        <w:rPr>
          <w:rFonts w:ascii="Arial" w:hAnsi="Arial" w:cs="Arial"/>
          <w:b/>
          <w:snapToGrid w:val="0"/>
          <w:color w:val="AE1C1F"/>
          <w:lang w:val="es-ES_tradnl"/>
        </w:rPr>
        <w:lastRenderedPageBreak/>
        <w:t>6.2. Tolerabilidad y efectos adversos</w:t>
      </w:r>
    </w:p>
    <w:p w14:paraId="65CA19AF" w14:textId="77777777" w:rsidR="00E51087" w:rsidRPr="00856716" w:rsidRDefault="00E51087" w:rsidP="00E51087">
      <w:pPr>
        <w:spacing w:before="120" w:after="120" w:line="276" w:lineRule="auto"/>
        <w:jc w:val="both"/>
        <w:rPr>
          <w:rFonts w:ascii="Arial" w:hAnsi="Arial" w:cs="Arial"/>
          <w:i/>
          <w:color w:val="AE1C1F"/>
        </w:rPr>
      </w:pPr>
      <w:r w:rsidRPr="00856716">
        <w:rPr>
          <w:rFonts w:ascii="Arial" w:hAnsi="Arial" w:cs="Arial"/>
          <w:i/>
          <w:snapToGrid w:val="0"/>
          <w:color w:val="AE1C1F"/>
          <w:lang w:val="es-ES_tradnl"/>
        </w:rPr>
        <w:t>6.2.1. Factores asociados a la tolerabilidad del tratamiento antirretroviral</w:t>
      </w:r>
    </w:p>
    <w:p w14:paraId="15483288" w14:textId="77777777" w:rsidR="00E51087" w:rsidRPr="00856716" w:rsidRDefault="00E51087" w:rsidP="00E51087">
      <w:pPr>
        <w:autoSpaceDE w:val="0"/>
        <w:autoSpaceDN w:val="0"/>
        <w:adjustRightInd w:val="0"/>
        <w:spacing w:before="120" w:after="120" w:line="276" w:lineRule="auto"/>
        <w:jc w:val="both"/>
        <w:rPr>
          <w:rFonts w:ascii="Arial" w:hAnsi="Arial" w:cs="Arial"/>
        </w:rPr>
      </w:pPr>
      <w:r w:rsidRPr="00856716">
        <w:rPr>
          <w:rFonts w:ascii="Arial" w:hAnsi="Arial" w:cs="Arial"/>
        </w:rPr>
        <w:t xml:space="preserve">La tolerabilidad depende de aspectos relacionados con la toma de FAR (número y tamaño de los comprimidos, requisitos de administración, incidencia e intensidad de efectos secundarios inmediatos), pero también de factores dependientes del paciente (edad, sexo, peso, situación clínica y expectativas respecto al tratamiento). En el último decenio tanto los FAR como su </w:t>
      </w:r>
      <w:r w:rsidRPr="001A7BB1">
        <w:rPr>
          <w:rFonts w:ascii="Arial" w:hAnsi="Arial" w:cs="Arial"/>
          <w:highlight w:val="yellow"/>
        </w:rPr>
        <w:t>posología</w:t>
      </w:r>
      <w:r>
        <w:rPr>
          <w:rFonts w:ascii="Arial" w:hAnsi="Arial" w:cs="Arial"/>
        </w:rPr>
        <w:t xml:space="preserve"> </w:t>
      </w:r>
      <w:r w:rsidRPr="00856716">
        <w:rPr>
          <w:rFonts w:ascii="Arial" w:hAnsi="Arial" w:cs="Arial"/>
        </w:rPr>
        <w:t>han mejorado notablemente, particularmente con coformulaciones y regímenes de pastilla única, lo cual ha favorecido su aceptación por los pacientes</w:t>
      </w:r>
      <w:r w:rsidRPr="00856716">
        <w:rPr>
          <w:rFonts w:ascii="Arial" w:hAnsi="Arial" w:cs="Arial"/>
          <w:vertAlign w:val="superscript"/>
        </w:rPr>
        <w:t>1</w:t>
      </w:r>
      <w:r w:rsidRPr="00856716">
        <w:rPr>
          <w:rFonts w:ascii="Arial" w:hAnsi="Arial" w:cs="Arial"/>
        </w:rPr>
        <w:t xml:space="preserve">. </w:t>
      </w:r>
      <w:r w:rsidRPr="001A7BB1">
        <w:rPr>
          <w:rFonts w:ascii="Arial" w:hAnsi="Arial" w:cs="Arial"/>
          <w:highlight w:val="yellow"/>
        </w:rPr>
        <w:t>A pesar de esta mejora, los efectos adversos de los FAR no son infrecuentes y pueden condicionar</w:t>
      </w:r>
      <w:r>
        <w:rPr>
          <w:rFonts w:ascii="Arial" w:hAnsi="Arial" w:cs="Arial"/>
          <w:highlight w:val="yellow"/>
        </w:rPr>
        <w:t xml:space="preserve"> la adherencia (y por lo tanto e</w:t>
      </w:r>
      <w:r w:rsidRPr="001A7BB1">
        <w:rPr>
          <w:rFonts w:ascii="Arial" w:hAnsi="Arial" w:cs="Arial"/>
          <w:highlight w:val="yellow"/>
        </w:rPr>
        <w:t>l éxito) al TAR</w:t>
      </w:r>
      <w:r w:rsidRPr="001A7BB1">
        <w:rPr>
          <w:rFonts w:ascii="Arial" w:hAnsi="Arial" w:cs="Arial"/>
          <w:highlight w:val="yellow"/>
          <w:vertAlign w:val="superscript"/>
        </w:rPr>
        <w:t>2</w:t>
      </w:r>
      <w:r w:rsidRPr="001A7BB1">
        <w:rPr>
          <w:rFonts w:ascii="Arial" w:hAnsi="Arial" w:cs="Arial"/>
          <w:highlight w:val="yellow"/>
        </w:rPr>
        <w:t xml:space="preserve">. Las siguientes páginas web: https://hivinsite.ucsf.edu y </w:t>
      </w:r>
      <w:r w:rsidRPr="001A7BB1">
        <w:rPr>
          <w:rFonts w:ascii="Arial" w:eastAsia="DejaVuSans" w:hAnsi="Arial" w:cs="Arial"/>
          <w:highlight w:val="yellow"/>
        </w:rPr>
        <w:t>https://www.hiv.uw.edu/go/antiretroviral-therapy/adverse-effects/core-concept/al</w:t>
      </w:r>
      <w:r w:rsidRPr="001A7BB1">
        <w:rPr>
          <w:rFonts w:ascii="Arial" w:eastAsia="DejaVuSans" w:hAnsi="Arial" w:cs="Arial"/>
          <w:highlight w:val="yellow"/>
          <w:lang w:eastAsia="en-US"/>
        </w:rPr>
        <w:t>l</w:t>
      </w:r>
      <w:r w:rsidRPr="001A7BB1">
        <w:rPr>
          <w:rFonts w:ascii="Arial" w:eastAsia="DejaVuSans" w:hAnsi="Arial" w:cs="Arial"/>
          <w:color w:val="0000FF"/>
          <w:highlight w:val="yellow"/>
          <w:lang w:eastAsia="en-US"/>
        </w:rPr>
        <w:t xml:space="preserve">, </w:t>
      </w:r>
      <w:r w:rsidRPr="001A7BB1">
        <w:rPr>
          <w:rFonts w:ascii="Arial" w:eastAsia="DejaVuSans" w:hAnsi="Arial" w:cs="Arial"/>
          <w:highlight w:val="yellow"/>
          <w:lang w:eastAsia="en-US"/>
        </w:rPr>
        <w:t>ofrecen información actualizada sobre los efectos adversos</w:t>
      </w:r>
      <w:r w:rsidRPr="004B1791">
        <w:rPr>
          <w:rFonts w:ascii="Arial" w:eastAsia="DejaVuSans" w:hAnsi="Arial" w:cs="Arial"/>
          <w:lang w:eastAsia="en-US"/>
        </w:rPr>
        <w:t>.</w:t>
      </w:r>
    </w:p>
    <w:p w14:paraId="0DC74AB9" w14:textId="77777777" w:rsidR="00E51087" w:rsidRPr="00856716" w:rsidRDefault="00E51087" w:rsidP="00E51087">
      <w:pPr>
        <w:spacing w:before="120" w:after="120" w:line="276" w:lineRule="auto"/>
        <w:jc w:val="both"/>
        <w:rPr>
          <w:rFonts w:ascii="Arial" w:hAnsi="Arial" w:cs="Arial"/>
          <w:i/>
          <w:snapToGrid w:val="0"/>
          <w:color w:val="AE1C1F"/>
          <w:lang w:val="es-ES_tradnl"/>
        </w:rPr>
      </w:pPr>
      <w:r w:rsidRPr="00856716">
        <w:rPr>
          <w:rFonts w:ascii="Arial" w:hAnsi="Arial" w:cs="Arial"/>
          <w:i/>
          <w:snapToGrid w:val="0"/>
          <w:color w:val="AE1C1F"/>
          <w:lang w:val="es-ES_tradnl"/>
        </w:rPr>
        <w:t>6.2.2. Clasificación cronológica de los efectos adversos</w:t>
      </w:r>
    </w:p>
    <w:p w14:paraId="318A6157" w14:textId="77777777" w:rsidR="00E51087" w:rsidRPr="00856716" w:rsidRDefault="00E51087" w:rsidP="00E51087">
      <w:pPr>
        <w:spacing w:before="120" w:after="120" w:line="276" w:lineRule="auto"/>
        <w:jc w:val="both"/>
        <w:rPr>
          <w:rFonts w:ascii="Arial" w:hAnsi="Arial" w:cs="Arial"/>
        </w:rPr>
      </w:pPr>
      <w:r w:rsidRPr="00856716">
        <w:rPr>
          <w:rFonts w:ascii="Arial" w:hAnsi="Arial" w:cs="Arial"/>
        </w:rPr>
        <w:t>Los efectos adversos de los FAR pueden ser inmediatos o tardíos</w:t>
      </w:r>
      <w:r>
        <w:rPr>
          <w:rFonts w:ascii="Arial" w:hAnsi="Arial" w:cs="Arial"/>
        </w:rPr>
        <w:t>.</w:t>
      </w:r>
      <w:r w:rsidRPr="00856716">
        <w:rPr>
          <w:rFonts w:ascii="Arial" w:hAnsi="Arial" w:cs="Arial"/>
        </w:rPr>
        <w:t xml:space="preserve"> Los efectos inmediatos se producen en los primeros días o semanas de tratamiento, mientras que los tardíos aparecen al cabo de meses o años después del inicio de éste. </w:t>
      </w:r>
    </w:p>
    <w:p w14:paraId="24C5210C" w14:textId="77777777" w:rsidR="00E51087" w:rsidRPr="00856716" w:rsidRDefault="00E51087" w:rsidP="00E51087">
      <w:pPr>
        <w:spacing w:before="120" w:after="120" w:line="276" w:lineRule="auto"/>
        <w:jc w:val="both"/>
        <w:rPr>
          <w:rFonts w:ascii="Arial" w:hAnsi="Arial" w:cs="Arial"/>
          <w:i/>
          <w:snapToGrid w:val="0"/>
          <w:color w:val="AE1C1F"/>
          <w:lang w:val="es-ES_tradnl"/>
        </w:rPr>
      </w:pPr>
      <w:r w:rsidRPr="00856716">
        <w:rPr>
          <w:rFonts w:ascii="Arial" w:hAnsi="Arial" w:cs="Arial"/>
          <w:i/>
          <w:snapToGrid w:val="0"/>
          <w:color w:val="AE1C1F"/>
          <w:lang w:val="es-ES_tradnl"/>
        </w:rPr>
        <w:t>6.2.3. Efectos adversos inmediatos</w:t>
      </w:r>
    </w:p>
    <w:p w14:paraId="3991860D" w14:textId="77777777" w:rsidR="00E51087" w:rsidRPr="00856716" w:rsidRDefault="00E51087" w:rsidP="00E51087">
      <w:pPr>
        <w:spacing w:before="120" w:after="120" w:line="276" w:lineRule="auto"/>
        <w:jc w:val="both"/>
        <w:rPr>
          <w:rFonts w:ascii="Arial" w:hAnsi="Arial" w:cs="Arial"/>
          <w:b/>
          <w:snapToGrid w:val="0"/>
          <w:color w:val="A20000"/>
          <w:lang w:val="es-ES_tradnl"/>
        </w:rPr>
      </w:pPr>
      <w:r w:rsidRPr="00856716">
        <w:rPr>
          <w:rFonts w:ascii="Arial" w:hAnsi="Arial" w:cs="Arial"/>
        </w:rPr>
        <w:t>Los efectos adversos inmediatos están bien definidos</w:t>
      </w:r>
      <w:r>
        <w:rPr>
          <w:rFonts w:ascii="Arial" w:hAnsi="Arial" w:cs="Arial"/>
        </w:rPr>
        <w:t>. E</w:t>
      </w:r>
      <w:r w:rsidRPr="00856716">
        <w:rPr>
          <w:rFonts w:ascii="Arial" w:hAnsi="Arial" w:cs="Arial"/>
        </w:rPr>
        <w:t>n algunos casos pueden anticiparse y suelen ser fáciles de controlar. Afectan principalmente a la esfera digestiva, cutánea, o neuropsicológica</w:t>
      </w:r>
      <w:r>
        <w:rPr>
          <w:rFonts w:ascii="Arial" w:hAnsi="Arial" w:cs="Arial"/>
        </w:rPr>
        <w:t>,</w:t>
      </w:r>
      <w:r w:rsidRPr="00856716">
        <w:rPr>
          <w:rFonts w:ascii="Arial" w:hAnsi="Arial" w:cs="Arial"/>
        </w:rPr>
        <w:t xml:space="preserve"> y su incidencia y factores asociados son generalmente conocidos. </w:t>
      </w:r>
    </w:p>
    <w:p w14:paraId="1ED07F82" w14:textId="77777777" w:rsidR="00E51087" w:rsidRDefault="00E51087" w:rsidP="00E51087">
      <w:pPr>
        <w:spacing w:before="120" w:after="120" w:line="276" w:lineRule="auto"/>
        <w:jc w:val="both"/>
        <w:rPr>
          <w:rFonts w:ascii="Arial" w:hAnsi="Arial" w:cs="Arial"/>
        </w:rPr>
      </w:pPr>
      <w:r w:rsidRPr="00856716">
        <w:rPr>
          <w:rFonts w:ascii="Arial" w:hAnsi="Arial" w:cs="Arial"/>
        </w:rPr>
        <w:t>Entre los FAR actualmente recomendados: los IP/p pueden producir efectos digestivos</w:t>
      </w:r>
      <w:r w:rsidRPr="00856716">
        <w:rPr>
          <w:rFonts w:ascii="Arial" w:hAnsi="Arial" w:cs="Arial"/>
          <w:noProof/>
          <w:vertAlign w:val="superscript"/>
        </w:rPr>
        <w:t>3</w:t>
      </w:r>
      <w:r w:rsidRPr="00856716">
        <w:rPr>
          <w:rFonts w:ascii="Arial" w:hAnsi="Arial" w:cs="Arial"/>
        </w:rPr>
        <w:t>; los ITINN de primera generación (particularmente NVP) hepáticos y RHS; ABC puede producir RHS en pacientes con HLA-B*5701 positivo</w:t>
      </w:r>
      <w:r w:rsidRPr="00856716">
        <w:rPr>
          <w:rFonts w:ascii="Arial" w:hAnsi="Arial" w:cs="Arial"/>
          <w:noProof/>
          <w:vertAlign w:val="superscript"/>
        </w:rPr>
        <w:t>4</w:t>
      </w:r>
      <w:r w:rsidRPr="00856716">
        <w:rPr>
          <w:rFonts w:ascii="Arial" w:hAnsi="Arial" w:cs="Arial"/>
        </w:rPr>
        <w:t>; DRV exantema; y EFV, RPV</w:t>
      </w:r>
      <w:r w:rsidRPr="001A7BB1">
        <w:rPr>
          <w:rFonts w:ascii="Arial" w:hAnsi="Arial" w:cs="Arial"/>
          <w:highlight w:val="yellow"/>
        </w:rPr>
        <w:t>, DOR</w:t>
      </w:r>
      <w:r w:rsidRPr="00856716">
        <w:rPr>
          <w:rFonts w:ascii="Arial" w:hAnsi="Arial" w:cs="Arial"/>
        </w:rPr>
        <w:t xml:space="preserve"> y los </w:t>
      </w:r>
      <w:r w:rsidRPr="001A7BB1">
        <w:rPr>
          <w:rFonts w:ascii="Arial" w:hAnsi="Arial" w:cs="Arial"/>
          <w:highlight w:val="yellow"/>
        </w:rPr>
        <w:t>cuatro</w:t>
      </w:r>
      <w:r w:rsidRPr="00856716">
        <w:rPr>
          <w:rFonts w:ascii="Arial" w:hAnsi="Arial" w:cs="Arial"/>
        </w:rPr>
        <w:t xml:space="preserve"> INI actualmente disponibles (</w:t>
      </w:r>
      <w:r w:rsidRPr="001A7BB1">
        <w:rPr>
          <w:rFonts w:ascii="Arial" w:hAnsi="Arial" w:cs="Arial"/>
          <w:highlight w:val="yellow"/>
        </w:rPr>
        <w:t>BIC,</w:t>
      </w:r>
      <w:r>
        <w:rPr>
          <w:rFonts w:ascii="Arial" w:hAnsi="Arial" w:cs="Arial"/>
        </w:rPr>
        <w:t xml:space="preserve"> </w:t>
      </w:r>
      <w:r w:rsidRPr="00856716">
        <w:rPr>
          <w:rFonts w:ascii="Arial" w:hAnsi="Arial" w:cs="Arial"/>
        </w:rPr>
        <w:t>DTG, EVG</w:t>
      </w:r>
      <w:r>
        <w:rPr>
          <w:rFonts w:ascii="Arial" w:hAnsi="Arial" w:cs="Arial"/>
        </w:rPr>
        <w:t xml:space="preserve"> y </w:t>
      </w:r>
      <w:r w:rsidRPr="00856716">
        <w:rPr>
          <w:rFonts w:ascii="Arial" w:hAnsi="Arial" w:cs="Arial"/>
        </w:rPr>
        <w:t xml:space="preserve">RAL) pueden producir efectos neuropsicológicos </w:t>
      </w:r>
      <w:r w:rsidRPr="00856716">
        <w:rPr>
          <w:rFonts w:ascii="Arial" w:hAnsi="Arial" w:cs="Arial"/>
          <w:noProof/>
        </w:rPr>
        <w:t>(Tabla 7)</w:t>
      </w:r>
      <w:r w:rsidRPr="00856716">
        <w:rPr>
          <w:rFonts w:ascii="Arial" w:hAnsi="Arial" w:cs="Arial"/>
        </w:rPr>
        <w:t>. La experiencia post-comercialización sugiere que el insomnio o la discontinuación por efectos neuropsicológicos son inusuales con los INI</w:t>
      </w:r>
      <w:r>
        <w:rPr>
          <w:rFonts w:ascii="Arial" w:hAnsi="Arial" w:cs="Arial"/>
        </w:rPr>
        <w:t xml:space="preserve"> disponibles</w:t>
      </w:r>
      <w:r w:rsidRPr="00856716">
        <w:rPr>
          <w:rFonts w:ascii="Arial" w:hAnsi="Arial" w:cs="Arial"/>
        </w:rPr>
        <w:t xml:space="preserve">, </w:t>
      </w:r>
      <w:r w:rsidRPr="001A7BB1">
        <w:rPr>
          <w:rFonts w:ascii="Arial" w:hAnsi="Arial" w:cs="Arial"/>
          <w:highlight w:val="yellow"/>
        </w:rPr>
        <w:t>si bien son</w:t>
      </w:r>
      <w:r w:rsidRPr="00856716">
        <w:rPr>
          <w:rFonts w:ascii="Arial" w:hAnsi="Arial" w:cs="Arial"/>
        </w:rPr>
        <w:t xml:space="preserve"> más frecuentes con DTG que con </w:t>
      </w:r>
      <w:r w:rsidRPr="001A7BB1">
        <w:rPr>
          <w:rFonts w:ascii="Arial" w:hAnsi="Arial" w:cs="Arial"/>
          <w:highlight w:val="yellow"/>
        </w:rPr>
        <w:t>BIC</w:t>
      </w:r>
      <w:r>
        <w:rPr>
          <w:rFonts w:ascii="Arial" w:hAnsi="Arial" w:cs="Arial"/>
        </w:rPr>
        <w:t xml:space="preserve">, </w:t>
      </w:r>
      <w:r w:rsidRPr="00856716">
        <w:rPr>
          <w:rFonts w:ascii="Arial" w:hAnsi="Arial" w:cs="Arial"/>
        </w:rPr>
        <w:t>RAL o EVG</w:t>
      </w:r>
      <w:r w:rsidRPr="00856716">
        <w:rPr>
          <w:rFonts w:ascii="Arial" w:hAnsi="Arial" w:cs="Arial"/>
          <w:noProof/>
          <w:vertAlign w:val="superscript"/>
        </w:rPr>
        <w:t>5</w:t>
      </w:r>
      <w:r>
        <w:rPr>
          <w:rFonts w:ascii="Arial" w:hAnsi="Arial" w:cs="Arial"/>
          <w:noProof/>
          <w:vertAlign w:val="superscript"/>
        </w:rPr>
        <w:t>-7</w:t>
      </w:r>
      <w:r w:rsidRPr="00856716">
        <w:rPr>
          <w:rFonts w:ascii="Arial" w:hAnsi="Arial" w:cs="Arial"/>
        </w:rPr>
        <w:t xml:space="preserve">. Ya que los efectos secundarios neuropsicológicos son subjetivos y los síntomas son tan variados y prevalentes, </w:t>
      </w:r>
      <w:r>
        <w:rPr>
          <w:rFonts w:ascii="Arial" w:hAnsi="Arial" w:cs="Arial"/>
          <w:highlight w:val="yellow"/>
        </w:rPr>
        <w:t>es</w:t>
      </w:r>
      <w:r w:rsidRPr="001A7BB1">
        <w:rPr>
          <w:rFonts w:ascii="Arial" w:hAnsi="Arial" w:cs="Arial"/>
          <w:highlight w:val="yellow"/>
        </w:rPr>
        <w:t xml:space="preserve"> preciso</w:t>
      </w:r>
      <w:r>
        <w:rPr>
          <w:rFonts w:ascii="Arial" w:hAnsi="Arial" w:cs="Arial"/>
        </w:rPr>
        <w:t xml:space="preserve"> </w:t>
      </w:r>
      <w:r w:rsidRPr="00856716">
        <w:rPr>
          <w:rFonts w:ascii="Arial" w:hAnsi="Arial" w:cs="Arial"/>
        </w:rPr>
        <w:t>mejorar la recogida de información en las bases de datos clínic</w:t>
      </w:r>
      <w:r>
        <w:rPr>
          <w:rFonts w:ascii="Arial" w:hAnsi="Arial" w:cs="Arial"/>
        </w:rPr>
        <w:t>a</w:t>
      </w:r>
      <w:r w:rsidRPr="00856716">
        <w:rPr>
          <w:rFonts w:ascii="Arial" w:hAnsi="Arial" w:cs="Arial"/>
        </w:rPr>
        <w:t>s para conocer mejor la incidencia, el espectro clínico, el curso evolutivo, los factores de riesgo</w:t>
      </w:r>
      <w:r>
        <w:rPr>
          <w:rFonts w:ascii="Arial" w:hAnsi="Arial" w:cs="Arial"/>
        </w:rPr>
        <w:t>,</w:t>
      </w:r>
      <w:r w:rsidRPr="00856716">
        <w:rPr>
          <w:rFonts w:ascii="Arial" w:hAnsi="Arial" w:cs="Arial"/>
        </w:rPr>
        <w:t xml:space="preserve"> y los posibles mecanismos.</w:t>
      </w:r>
    </w:p>
    <w:p w14:paraId="3FB86F73" w14:textId="77777777" w:rsidR="00E51087" w:rsidRPr="00856716" w:rsidRDefault="00E51087" w:rsidP="00E51087">
      <w:pPr>
        <w:spacing w:before="120" w:after="120" w:line="276" w:lineRule="auto"/>
        <w:jc w:val="both"/>
        <w:rPr>
          <w:rFonts w:ascii="Arial" w:hAnsi="Arial" w:cs="Arial"/>
        </w:rPr>
      </w:pPr>
    </w:p>
    <w:p w14:paraId="219864B9" w14:textId="77777777" w:rsidR="00E51087" w:rsidRPr="00856716" w:rsidRDefault="00E51087" w:rsidP="00E51087">
      <w:pPr>
        <w:spacing w:before="120" w:after="120" w:line="276" w:lineRule="auto"/>
        <w:jc w:val="both"/>
        <w:rPr>
          <w:rFonts w:ascii="Arial" w:hAnsi="Arial" w:cs="Arial"/>
          <w:b/>
          <w:snapToGrid w:val="0"/>
          <w:color w:val="AE1C1F"/>
          <w:lang w:val="es-ES_tradnl"/>
        </w:rPr>
      </w:pPr>
      <w:r w:rsidRPr="00856716">
        <w:rPr>
          <w:rFonts w:ascii="Arial" w:hAnsi="Arial" w:cs="Arial"/>
          <w:b/>
          <w:snapToGrid w:val="0"/>
          <w:color w:val="AE1C1F"/>
          <w:lang w:val="es-ES_tradnl"/>
        </w:rPr>
        <w:t>Recomendaciones</w:t>
      </w:r>
    </w:p>
    <w:p w14:paraId="6E5CCDCB" w14:textId="77777777" w:rsidR="00E51087" w:rsidRPr="00856716" w:rsidRDefault="00E51087" w:rsidP="00676FD1">
      <w:pPr>
        <w:numPr>
          <w:ilvl w:val="0"/>
          <w:numId w:val="39"/>
        </w:numPr>
        <w:spacing w:before="120" w:after="120" w:line="276" w:lineRule="auto"/>
        <w:jc w:val="both"/>
        <w:rPr>
          <w:rFonts w:ascii="Arial" w:hAnsi="Arial" w:cs="Arial"/>
          <w:lang w:val="es-ES_tradnl" w:eastAsia="en-US"/>
        </w:rPr>
      </w:pPr>
      <w:r w:rsidRPr="00856716">
        <w:rPr>
          <w:rFonts w:ascii="Arial" w:hAnsi="Arial" w:cs="Arial"/>
          <w:lang w:val="es-ES_tradnl" w:eastAsia="en-US"/>
        </w:rPr>
        <w:t>La determinación del alelo HLA-B*5701 es obligada antes de prescribir ABC ya que tiene un valor predictivo negativo de casi el 100% para el riesgo de RHS a este fármaco (</w:t>
      </w:r>
      <w:r w:rsidRPr="00856716">
        <w:rPr>
          <w:rFonts w:ascii="Arial" w:hAnsi="Arial" w:cs="Arial"/>
          <w:b/>
          <w:i/>
          <w:lang w:val="es-ES_tradnl" w:eastAsia="en-US"/>
        </w:rPr>
        <w:t>A-I</w:t>
      </w:r>
      <w:r w:rsidRPr="00856716">
        <w:rPr>
          <w:rFonts w:ascii="Arial" w:hAnsi="Arial" w:cs="Arial"/>
          <w:lang w:val="es-ES_tradnl" w:eastAsia="en-US"/>
        </w:rPr>
        <w:t>)</w:t>
      </w:r>
      <w:r>
        <w:rPr>
          <w:rFonts w:ascii="Arial" w:hAnsi="Arial" w:cs="Arial"/>
          <w:lang w:val="es-ES_tradnl" w:eastAsia="en-US"/>
        </w:rPr>
        <w:t>.</w:t>
      </w:r>
    </w:p>
    <w:p w14:paraId="794FD49C" w14:textId="77777777" w:rsidR="00E51087" w:rsidRPr="00856716" w:rsidRDefault="00E51087" w:rsidP="00676FD1">
      <w:pPr>
        <w:numPr>
          <w:ilvl w:val="0"/>
          <w:numId w:val="39"/>
        </w:numPr>
        <w:spacing w:before="120" w:after="120" w:line="276" w:lineRule="auto"/>
        <w:jc w:val="both"/>
        <w:rPr>
          <w:rFonts w:ascii="Arial" w:hAnsi="Arial" w:cs="Arial"/>
        </w:rPr>
      </w:pPr>
      <w:r w:rsidRPr="00856716">
        <w:rPr>
          <w:rFonts w:ascii="Arial" w:hAnsi="Arial" w:cs="Arial"/>
        </w:rPr>
        <w:lastRenderedPageBreak/>
        <w:t>Se debe explicar al paciente cómo tomar correctamente una pauta de TAR y la posibilidad de que ocurran determinados efectos adversos inmediatos ya conocidos. Al iniciar un régimen de TAR se debe explicar qué actitud debe tomar el paciente si ocurre un determinado efecto adverso y, en cualquier caso, se debe facilitar siempre la posibilidad de comunicación directa con el médico (</w:t>
      </w:r>
      <w:r w:rsidRPr="006D009C">
        <w:rPr>
          <w:rFonts w:ascii="Arial" w:hAnsi="Arial" w:cs="Arial"/>
          <w:b/>
          <w:i/>
          <w:highlight w:val="yellow"/>
        </w:rPr>
        <w:t>A</w:t>
      </w:r>
      <w:r w:rsidRPr="00856716">
        <w:rPr>
          <w:rFonts w:ascii="Arial" w:hAnsi="Arial" w:cs="Arial"/>
          <w:b/>
          <w:i/>
        </w:rPr>
        <w:t>-III</w:t>
      </w:r>
      <w:r>
        <w:rPr>
          <w:rFonts w:ascii="Arial" w:hAnsi="Arial" w:cs="Arial"/>
          <w:b/>
          <w:i/>
        </w:rPr>
        <w:t>)</w:t>
      </w:r>
    </w:p>
    <w:p w14:paraId="069C6C39" w14:textId="77777777" w:rsidR="00E51087" w:rsidRPr="001A7BB1" w:rsidRDefault="00E51087" w:rsidP="00676FD1">
      <w:pPr>
        <w:numPr>
          <w:ilvl w:val="0"/>
          <w:numId w:val="39"/>
        </w:numPr>
        <w:spacing w:before="120" w:after="120" w:line="276" w:lineRule="auto"/>
        <w:jc w:val="both"/>
        <w:rPr>
          <w:rFonts w:ascii="Arial" w:hAnsi="Arial" w:cs="Arial"/>
          <w:highlight w:val="yellow"/>
        </w:rPr>
      </w:pPr>
      <w:r w:rsidRPr="001A7BB1">
        <w:rPr>
          <w:rFonts w:ascii="Arial" w:hAnsi="Arial" w:cs="Arial"/>
          <w:highlight w:val="yellow"/>
        </w:rPr>
        <w:t xml:space="preserve">Se debe efectuar, en cada visita de control, un interrogatorio exhaustivo acerca de la presencia o ausencia de los potenciales efectos adversos del TAR que </w:t>
      </w:r>
      <w:r>
        <w:rPr>
          <w:rFonts w:ascii="Arial" w:hAnsi="Arial" w:cs="Arial"/>
          <w:highlight w:val="yellow"/>
        </w:rPr>
        <w:t>esté recibiendo el</w:t>
      </w:r>
      <w:r w:rsidRPr="001A7BB1">
        <w:rPr>
          <w:rFonts w:ascii="Arial" w:hAnsi="Arial" w:cs="Arial"/>
          <w:highlight w:val="yellow"/>
        </w:rPr>
        <w:t xml:space="preserve"> paciente (</w:t>
      </w:r>
      <w:r>
        <w:rPr>
          <w:rFonts w:ascii="Arial" w:hAnsi="Arial" w:cs="Arial"/>
          <w:b/>
          <w:i/>
          <w:highlight w:val="yellow"/>
        </w:rPr>
        <w:t>A</w:t>
      </w:r>
      <w:r w:rsidRPr="001A7BB1">
        <w:rPr>
          <w:rFonts w:ascii="Arial" w:hAnsi="Arial" w:cs="Arial"/>
          <w:b/>
          <w:i/>
          <w:highlight w:val="yellow"/>
        </w:rPr>
        <w:t>-III</w:t>
      </w:r>
      <w:r w:rsidRPr="001A7BB1">
        <w:rPr>
          <w:rFonts w:ascii="Arial" w:hAnsi="Arial" w:cs="Arial"/>
          <w:highlight w:val="yellow"/>
        </w:rPr>
        <w:t>)</w:t>
      </w:r>
      <w:r>
        <w:rPr>
          <w:rFonts w:ascii="Arial" w:hAnsi="Arial" w:cs="Arial"/>
          <w:highlight w:val="yellow"/>
        </w:rPr>
        <w:t>.</w:t>
      </w:r>
    </w:p>
    <w:p w14:paraId="39F06A73" w14:textId="77777777" w:rsidR="00E51087" w:rsidRDefault="00E51087" w:rsidP="00676FD1">
      <w:pPr>
        <w:numPr>
          <w:ilvl w:val="0"/>
          <w:numId w:val="39"/>
        </w:numPr>
        <w:spacing w:before="120" w:after="120" w:line="276" w:lineRule="auto"/>
        <w:jc w:val="both"/>
        <w:rPr>
          <w:rFonts w:ascii="Arial" w:hAnsi="Arial" w:cs="Arial"/>
          <w:i/>
          <w:lang w:val="es-ES_tradnl" w:eastAsia="en-US"/>
        </w:rPr>
      </w:pPr>
      <w:r w:rsidRPr="00856716">
        <w:rPr>
          <w:rFonts w:ascii="Arial" w:hAnsi="Arial" w:cs="Arial"/>
        </w:rPr>
        <w:t>Los efectos adversos inmediatos leves se pueden tratar sintomáticamente, valorando la evolución de la tolerabilidad del paciente (</w:t>
      </w:r>
      <w:r w:rsidRPr="00856716">
        <w:rPr>
          <w:rFonts w:ascii="Arial" w:hAnsi="Arial" w:cs="Arial"/>
          <w:b/>
          <w:i/>
        </w:rPr>
        <w:t>C-III</w:t>
      </w:r>
      <w:r>
        <w:rPr>
          <w:rFonts w:ascii="Arial" w:hAnsi="Arial" w:cs="Arial"/>
        </w:rPr>
        <w:t>).</w:t>
      </w:r>
      <w:r w:rsidRPr="00856716">
        <w:rPr>
          <w:rFonts w:ascii="Arial" w:hAnsi="Arial" w:cs="Arial"/>
        </w:rPr>
        <w:t xml:space="preserve"> </w:t>
      </w:r>
      <w:r w:rsidRPr="00856716">
        <w:rPr>
          <w:rFonts w:ascii="Arial" w:hAnsi="Arial" w:cs="Arial"/>
          <w:lang w:val="es-ES_tradnl" w:eastAsia="en-US"/>
        </w:rPr>
        <w:t>Si el efecto adverso tiene gran intensidad o duración prolongada o no es asumible por el paciente, se debe cambiar el o los FAR potencialmente implicados</w:t>
      </w:r>
      <w:r w:rsidRPr="00856716">
        <w:rPr>
          <w:rFonts w:ascii="Arial" w:hAnsi="Arial" w:cs="Arial"/>
          <w:i/>
          <w:lang w:val="es-ES_tradnl" w:eastAsia="en-US"/>
        </w:rPr>
        <w:t xml:space="preserve"> (</w:t>
      </w:r>
      <w:r w:rsidRPr="00856716">
        <w:rPr>
          <w:rFonts w:ascii="Arial" w:hAnsi="Arial" w:cs="Arial"/>
          <w:b/>
          <w:i/>
          <w:lang w:val="es-ES_tradnl" w:eastAsia="en-US"/>
        </w:rPr>
        <w:t>A-I</w:t>
      </w:r>
      <w:r w:rsidRPr="00856716">
        <w:rPr>
          <w:rFonts w:ascii="Arial" w:hAnsi="Arial" w:cs="Arial"/>
          <w:i/>
          <w:lang w:val="es-ES_tradnl" w:eastAsia="en-US"/>
        </w:rPr>
        <w:t>)</w:t>
      </w:r>
      <w:r>
        <w:rPr>
          <w:rFonts w:ascii="Arial" w:hAnsi="Arial" w:cs="Arial"/>
          <w:i/>
          <w:lang w:val="es-ES_tradnl" w:eastAsia="en-US"/>
        </w:rPr>
        <w:t>.</w:t>
      </w:r>
    </w:p>
    <w:p w14:paraId="573089E7" w14:textId="77777777" w:rsidR="00E51087" w:rsidRPr="00856716" w:rsidRDefault="00E51087" w:rsidP="00E51087">
      <w:pPr>
        <w:spacing w:before="120" w:after="120" w:line="276" w:lineRule="auto"/>
        <w:jc w:val="both"/>
        <w:rPr>
          <w:rFonts w:ascii="Arial" w:hAnsi="Arial" w:cs="Arial"/>
          <w:i/>
          <w:lang w:val="es-ES_tradnl" w:eastAsia="en-US"/>
        </w:rPr>
      </w:pPr>
    </w:p>
    <w:p w14:paraId="7C2751BC" w14:textId="77777777" w:rsidR="00E51087" w:rsidRPr="00856716" w:rsidRDefault="00E51087" w:rsidP="00E51087">
      <w:pPr>
        <w:spacing w:before="120" w:after="120" w:line="276" w:lineRule="auto"/>
        <w:jc w:val="both"/>
        <w:rPr>
          <w:rFonts w:ascii="Arial" w:hAnsi="Arial" w:cs="Arial"/>
          <w:i/>
          <w:snapToGrid w:val="0"/>
          <w:color w:val="AE1C1F"/>
          <w:lang w:val="es-ES_tradnl"/>
        </w:rPr>
      </w:pPr>
      <w:r w:rsidRPr="00856716">
        <w:rPr>
          <w:rFonts w:ascii="Arial" w:hAnsi="Arial" w:cs="Arial"/>
          <w:i/>
          <w:snapToGrid w:val="0"/>
          <w:color w:val="AE1C1F"/>
          <w:lang w:val="es-ES_tradnl"/>
        </w:rPr>
        <w:t>6.2.4. Efectos adversos tardíos</w:t>
      </w:r>
    </w:p>
    <w:p w14:paraId="0B778BF1" w14:textId="77777777" w:rsidR="00E51087" w:rsidRPr="00856716" w:rsidRDefault="00E51087" w:rsidP="00E51087">
      <w:pPr>
        <w:spacing w:before="120" w:after="120" w:line="276" w:lineRule="auto"/>
        <w:jc w:val="both"/>
        <w:rPr>
          <w:rFonts w:ascii="Arial" w:hAnsi="Arial" w:cs="Arial"/>
        </w:rPr>
      </w:pPr>
      <w:r w:rsidRPr="00856716">
        <w:rPr>
          <w:rFonts w:ascii="Arial" w:hAnsi="Arial" w:cs="Arial"/>
        </w:rPr>
        <w:t>Los efectos adversos tardíos se conocen menos que los inmediatos y son más difíciles de prever y controlar; potencian los síntomas de las enfermedades crónicas asociadas al envejecimiento y afectan al funcionamiento de órganos y sistemas.</w:t>
      </w:r>
    </w:p>
    <w:p w14:paraId="04404CBC" w14:textId="77777777" w:rsidR="00E51087" w:rsidRPr="00856716" w:rsidRDefault="00E51087" w:rsidP="00E51087">
      <w:pPr>
        <w:spacing w:before="120" w:after="120" w:line="276" w:lineRule="auto"/>
        <w:jc w:val="both"/>
        <w:rPr>
          <w:rFonts w:ascii="Arial" w:hAnsi="Arial" w:cs="Arial"/>
        </w:rPr>
      </w:pPr>
      <w:r w:rsidRPr="00856716">
        <w:rPr>
          <w:rFonts w:ascii="Arial" w:hAnsi="Arial" w:cs="Arial"/>
        </w:rPr>
        <w:t>El perfil de órganos y sistemas a los que pueden afectar los diversos FAR así como los factores de riesgo asociados a tal afectación no se conoce</w:t>
      </w:r>
      <w:r>
        <w:rPr>
          <w:rFonts w:ascii="Arial" w:hAnsi="Arial" w:cs="Arial"/>
        </w:rPr>
        <w:t>n</w:t>
      </w:r>
      <w:r w:rsidRPr="00856716">
        <w:rPr>
          <w:rFonts w:ascii="Arial" w:hAnsi="Arial" w:cs="Arial"/>
        </w:rPr>
        <w:t xml:space="preserve"> en su totalidad, particularmente en lo que concierne a los FAR más recientes. La Tabla 8 resume los efectos secundarios tardíos más característicos de los FAR actuales</w:t>
      </w:r>
      <w:r w:rsidRPr="00856716">
        <w:rPr>
          <w:rFonts w:ascii="Arial" w:hAnsi="Arial" w:cs="Arial"/>
          <w:noProof/>
          <w:vertAlign w:val="superscript"/>
        </w:rPr>
        <w:t>3</w:t>
      </w:r>
      <w:r w:rsidRPr="00E66453">
        <w:rPr>
          <w:rFonts w:ascii="Arial" w:hAnsi="Arial" w:cs="Arial"/>
          <w:noProof/>
        </w:rPr>
        <w:t>.</w:t>
      </w:r>
    </w:p>
    <w:p w14:paraId="31CC73E8" w14:textId="77777777" w:rsidR="00E51087" w:rsidRPr="00856716" w:rsidRDefault="00E51087" w:rsidP="00E51087">
      <w:pPr>
        <w:spacing w:before="120" w:after="120" w:line="276" w:lineRule="auto"/>
        <w:jc w:val="both"/>
        <w:rPr>
          <w:rFonts w:ascii="Arial" w:hAnsi="Arial" w:cs="Arial"/>
        </w:rPr>
      </w:pPr>
      <w:r w:rsidRPr="00856716">
        <w:rPr>
          <w:rFonts w:ascii="Arial" w:hAnsi="Arial" w:cs="Arial"/>
        </w:rPr>
        <w:t xml:space="preserve">El </w:t>
      </w:r>
      <w:r w:rsidRPr="00441D67">
        <w:rPr>
          <w:rFonts w:ascii="Arial" w:hAnsi="Arial" w:cs="Arial"/>
          <w:highlight w:val="yellow"/>
        </w:rPr>
        <w:t>papel que</w:t>
      </w:r>
      <w:r w:rsidRPr="00856716">
        <w:rPr>
          <w:rFonts w:ascii="Arial" w:hAnsi="Arial" w:cs="Arial"/>
        </w:rPr>
        <w:t xml:space="preserve"> suelen tener los FAR en la producción o desarrollo de enfermedades crónicas es en general pequeño y mucho menor que el de otros factores de riesgo clásicos ya conocidos en la población general que, en algunos casos, están sobrerrepresentados e</w:t>
      </w:r>
      <w:r>
        <w:rPr>
          <w:rFonts w:ascii="Arial" w:hAnsi="Arial" w:cs="Arial"/>
        </w:rPr>
        <w:t>n pacientes con infección por</w:t>
      </w:r>
      <w:r w:rsidRPr="00856716">
        <w:rPr>
          <w:rFonts w:ascii="Arial" w:hAnsi="Arial" w:cs="Arial"/>
        </w:rPr>
        <w:t xml:space="preserve"> </w:t>
      </w:r>
      <w:r>
        <w:rPr>
          <w:rFonts w:ascii="Arial" w:hAnsi="Arial" w:cs="Arial"/>
        </w:rPr>
        <w:t xml:space="preserve">el </w:t>
      </w:r>
      <w:r w:rsidRPr="00856716">
        <w:rPr>
          <w:rFonts w:ascii="Arial" w:hAnsi="Arial" w:cs="Arial"/>
        </w:rPr>
        <w:t xml:space="preserve">VIH, como son el consumo de tabaco, alcohol u otras drogas, una dieta inadecuada, o la ausencia de ejercicio físico. </w:t>
      </w:r>
    </w:p>
    <w:p w14:paraId="0B875A2F" w14:textId="77777777" w:rsidR="00E51087" w:rsidRDefault="00E51087" w:rsidP="00E51087">
      <w:pPr>
        <w:spacing w:before="120" w:after="120" w:line="276" w:lineRule="auto"/>
        <w:jc w:val="both"/>
        <w:rPr>
          <w:rFonts w:ascii="Arial" w:hAnsi="Arial" w:cs="Arial"/>
        </w:rPr>
      </w:pPr>
      <w:r w:rsidRPr="00856716">
        <w:rPr>
          <w:rFonts w:ascii="Arial" w:hAnsi="Arial" w:cs="Arial"/>
        </w:rPr>
        <w:t xml:space="preserve">En general, el riesgo absoluto de efectos secundarios tardíos con los FAR actualmente recomendados es pequeño y no cuestiona el beneficio global del inicio del TAR. Sin embargo, en pacientes </w:t>
      </w:r>
      <w:r>
        <w:rPr>
          <w:rFonts w:ascii="Arial" w:hAnsi="Arial" w:cs="Arial"/>
        </w:rPr>
        <w:t>de</w:t>
      </w:r>
      <w:r w:rsidRPr="00856716">
        <w:rPr>
          <w:rFonts w:ascii="Arial" w:hAnsi="Arial" w:cs="Arial"/>
        </w:rPr>
        <w:t xml:space="preserve"> alto riesgo o con enfermedades crónicas ya diagnosticadas, determinados FAR pueden contribuir</w:t>
      </w:r>
      <w:r>
        <w:rPr>
          <w:rFonts w:ascii="Arial" w:hAnsi="Arial" w:cs="Arial"/>
        </w:rPr>
        <w:t>,</w:t>
      </w:r>
      <w:r w:rsidRPr="00856716">
        <w:rPr>
          <w:rFonts w:ascii="Arial" w:hAnsi="Arial" w:cs="Arial"/>
        </w:rPr>
        <w:t xml:space="preserve"> por sí mismos</w:t>
      </w:r>
      <w:r>
        <w:rPr>
          <w:rFonts w:ascii="Arial" w:hAnsi="Arial" w:cs="Arial"/>
        </w:rPr>
        <w:t>,</w:t>
      </w:r>
      <w:r w:rsidRPr="00856716">
        <w:rPr>
          <w:rFonts w:ascii="Arial" w:hAnsi="Arial" w:cs="Arial"/>
        </w:rPr>
        <w:t xml:space="preserve"> a desencadenar o </w:t>
      </w:r>
      <w:r>
        <w:rPr>
          <w:rFonts w:ascii="Arial" w:hAnsi="Arial" w:cs="Arial"/>
        </w:rPr>
        <w:t>desarrollar</w:t>
      </w:r>
      <w:r w:rsidRPr="00856716">
        <w:rPr>
          <w:rFonts w:ascii="Arial" w:hAnsi="Arial" w:cs="Arial"/>
        </w:rPr>
        <w:t xml:space="preserve"> tales enfermedades crónicas. </w:t>
      </w:r>
    </w:p>
    <w:p w14:paraId="629B7AD0" w14:textId="77777777" w:rsidR="00E51087" w:rsidRPr="00D94691" w:rsidRDefault="00E51087" w:rsidP="00E51087">
      <w:pPr>
        <w:spacing w:before="120" w:after="120" w:line="276" w:lineRule="auto"/>
        <w:jc w:val="both"/>
        <w:rPr>
          <w:rFonts w:ascii="Arial" w:hAnsi="Arial" w:cs="Arial"/>
          <w:lang w:val="es-ES_tradnl" w:eastAsia="en-US"/>
        </w:rPr>
      </w:pPr>
      <w:r w:rsidRPr="00D94691">
        <w:rPr>
          <w:rFonts w:ascii="Arial" w:hAnsi="Arial" w:cs="Arial"/>
          <w:highlight w:val="yellow"/>
          <w:lang w:val="es-ES_tradnl" w:eastAsia="en-US"/>
        </w:rPr>
        <w:t xml:space="preserve">La retirada de algunos FAR implicados en efectos adversos tardíos puede mejorar, al menos parcialmente, la alteración subyacente, aunque se desconoce si tal modificación puede alterar la historia natural de la enfermedad crónica en cuestión o la supervivencia. Los FAR contribuyen de forma colateral al riesgo o </w:t>
      </w:r>
      <w:r w:rsidRPr="00D94691">
        <w:rPr>
          <w:rFonts w:ascii="Arial" w:hAnsi="Arial" w:cs="Arial"/>
          <w:highlight w:val="yellow"/>
          <w:lang w:val="es-ES_tradnl" w:eastAsia="en-US"/>
        </w:rPr>
        <w:lastRenderedPageBreak/>
        <w:t xml:space="preserve">progresión de determinadas enfermedades crónicas, pero hay otros factores generalmente más importantes, cuyo abordaje suele ser prioritario </w:t>
      </w:r>
    </w:p>
    <w:p w14:paraId="01C3712E" w14:textId="77777777" w:rsidR="00E51087" w:rsidRPr="00856716" w:rsidRDefault="00E51087" w:rsidP="00E51087">
      <w:pPr>
        <w:spacing w:before="120" w:after="120" w:line="276" w:lineRule="auto"/>
        <w:jc w:val="both"/>
        <w:rPr>
          <w:rFonts w:ascii="Arial" w:hAnsi="Arial" w:cs="Arial"/>
        </w:rPr>
      </w:pPr>
      <w:r w:rsidRPr="00441D67">
        <w:rPr>
          <w:rFonts w:ascii="Arial" w:hAnsi="Arial" w:cs="Arial"/>
          <w:highlight w:val="yellow"/>
        </w:rPr>
        <w:t>Señalar, en relación con los INI, que cada vez hay más estudios observacionales que sugieren que su uso podrían conducir a aumentos estadísticamente significativos del peso corporal e incluso de obesidad</w:t>
      </w:r>
      <w:r w:rsidRPr="00441D67">
        <w:rPr>
          <w:rFonts w:ascii="Arial" w:hAnsi="Arial" w:cs="Arial"/>
          <w:highlight w:val="yellow"/>
          <w:vertAlign w:val="superscript"/>
        </w:rPr>
        <w:t>8</w:t>
      </w:r>
      <w:r w:rsidRPr="00441D67">
        <w:rPr>
          <w:rFonts w:ascii="Arial" w:hAnsi="Arial" w:cs="Arial"/>
          <w:highlight w:val="yellow"/>
        </w:rPr>
        <w:t>. Este efecto, que se observa con m</w:t>
      </w:r>
      <w:r>
        <w:rPr>
          <w:rFonts w:ascii="Arial" w:hAnsi="Arial" w:cs="Arial"/>
          <w:highlight w:val="yellow"/>
        </w:rPr>
        <w:t>á</w:t>
      </w:r>
      <w:r w:rsidRPr="00441D67">
        <w:rPr>
          <w:rFonts w:ascii="Arial" w:hAnsi="Arial" w:cs="Arial"/>
          <w:highlight w:val="yellow"/>
        </w:rPr>
        <w:t>s frecuencia en mujeres y pacientes de raza negra, se ha descrito especialmente con el uso de DTG, y podría estar en parte agravado por el uso concomitante de TAF</w:t>
      </w:r>
      <w:r w:rsidRPr="00441D67">
        <w:rPr>
          <w:rFonts w:ascii="Arial" w:hAnsi="Arial" w:cs="Arial"/>
          <w:highlight w:val="yellow"/>
          <w:vertAlign w:val="superscript"/>
        </w:rPr>
        <w:t>9</w:t>
      </w:r>
      <w:r w:rsidRPr="00441D67">
        <w:rPr>
          <w:rFonts w:ascii="Arial" w:hAnsi="Arial" w:cs="Arial"/>
          <w:highlight w:val="yellow"/>
        </w:rPr>
        <w:t>. Por el momento se desconocen sus causas y su posible impacto clínico.</w:t>
      </w:r>
      <w:r>
        <w:rPr>
          <w:rFonts w:ascii="Arial" w:hAnsi="Arial" w:cs="Arial"/>
        </w:rPr>
        <w:t xml:space="preserve"> </w:t>
      </w:r>
      <w:r w:rsidRPr="00363FD9">
        <w:rPr>
          <w:rFonts w:ascii="Arial" w:hAnsi="Arial" w:cs="Arial"/>
          <w:noProof/>
          <w:vanish/>
          <w:sz w:val="18"/>
          <w:szCs w:val="18"/>
        </w:rPr>
        <w:cr/>
        <w:t xml:space="preserve">,9ible </w:t>
      </w:r>
      <w:r>
        <w:rPr>
          <w:rFonts w:ascii="Arial" w:hAnsi="Arial" w:cs="Arial"/>
          <w:noProof/>
          <w:vanish/>
          <w:sz w:val="18"/>
          <w:szCs w:val="18"/>
          <w:lang w:val="en-US"/>
        </w:rPr>
        <w:t>﷽﷽</w:t>
      </w:r>
      <w:r w:rsidRPr="00363FD9">
        <w:rPr>
          <w:rFonts w:ascii="Arial" w:hAnsi="Arial" w:cs="Arial"/>
          <w:noProof/>
          <w:vanish/>
          <w:sz w:val="18"/>
          <w:szCs w:val="18"/>
        </w:rPr>
        <w:t>ento se desconoce su impactio clng the risk of clinical obesity? J Virus Erad 2019;1:41-43.</w:t>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r>
        <w:rPr>
          <w:rFonts w:ascii="Arial" w:hAnsi="Arial" w:cs="Arial"/>
          <w:noProof/>
          <w:vanish/>
          <w:sz w:val="18"/>
          <w:szCs w:val="18"/>
          <w:lang w:val="en-US"/>
        </w:rPr>
        <w:pgNum/>
      </w:r>
    </w:p>
    <w:p w14:paraId="41D9AF9A" w14:textId="77777777" w:rsidR="00E51087" w:rsidRDefault="00E51087" w:rsidP="00E51087">
      <w:pPr>
        <w:keepNext/>
        <w:keepLines/>
        <w:shd w:val="clear" w:color="auto" w:fill="FFFFFF"/>
        <w:spacing w:before="120" w:after="120" w:line="276" w:lineRule="auto"/>
        <w:jc w:val="both"/>
        <w:outlineLvl w:val="0"/>
        <w:rPr>
          <w:rFonts w:ascii="Arial" w:hAnsi="Arial" w:cs="Arial"/>
          <w:bCs/>
        </w:rPr>
      </w:pPr>
      <w:r w:rsidRPr="00D94691">
        <w:rPr>
          <w:rFonts w:ascii="Arial" w:hAnsi="Arial" w:cs="Arial"/>
          <w:bCs/>
          <w:highlight w:val="yellow"/>
        </w:rPr>
        <w:t>En el</w:t>
      </w:r>
      <w:r w:rsidRPr="00856716">
        <w:rPr>
          <w:rFonts w:ascii="Arial" w:hAnsi="Arial" w:cs="Arial"/>
          <w:bCs/>
        </w:rPr>
        <w:t xml:space="preserve"> manejo del impacto de determinados antirretrovirales sobre </w:t>
      </w:r>
      <w:r>
        <w:rPr>
          <w:rFonts w:ascii="Arial" w:hAnsi="Arial" w:cs="Arial"/>
          <w:bCs/>
        </w:rPr>
        <w:t xml:space="preserve">los </w:t>
      </w:r>
      <w:r w:rsidRPr="00856716">
        <w:rPr>
          <w:rFonts w:ascii="Arial" w:hAnsi="Arial" w:cs="Arial"/>
          <w:bCs/>
        </w:rPr>
        <w:t xml:space="preserve">efectos secundarios crónicos </w:t>
      </w:r>
      <w:r w:rsidRPr="00D94691">
        <w:rPr>
          <w:rFonts w:ascii="Arial" w:hAnsi="Arial" w:cs="Arial"/>
          <w:bCs/>
          <w:highlight w:val="yellow"/>
        </w:rPr>
        <w:t>se puede</w:t>
      </w:r>
      <w:r w:rsidRPr="00856716">
        <w:rPr>
          <w:rFonts w:ascii="Arial" w:hAnsi="Arial" w:cs="Arial"/>
          <w:bCs/>
        </w:rPr>
        <w:t xml:space="preserve"> contemplar la retirada del fármaco en cuestión</w:t>
      </w:r>
      <w:r>
        <w:rPr>
          <w:rFonts w:ascii="Arial" w:hAnsi="Arial" w:cs="Arial"/>
          <w:bCs/>
        </w:rPr>
        <w:t xml:space="preserve"> </w:t>
      </w:r>
      <w:r w:rsidRPr="00D94691">
        <w:rPr>
          <w:rFonts w:ascii="Arial" w:hAnsi="Arial" w:cs="Arial"/>
          <w:bCs/>
          <w:highlight w:val="yellow"/>
        </w:rPr>
        <w:t>y/o</w:t>
      </w:r>
      <w:r w:rsidRPr="00856716">
        <w:rPr>
          <w:rFonts w:ascii="Arial" w:hAnsi="Arial" w:cs="Arial"/>
          <w:bCs/>
        </w:rPr>
        <w:t xml:space="preserve"> el tratamiento de la condición crónica de forma similar a la recomendada en la población general. De estas dos estrategias, es más eficaz el tratamiento de la condición crónica</w:t>
      </w:r>
      <w:r>
        <w:rPr>
          <w:rFonts w:ascii="Arial" w:hAnsi="Arial" w:cs="Arial"/>
          <w:bCs/>
          <w:noProof/>
          <w:vertAlign w:val="superscript"/>
        </w:rPr>
        <w:t>10,11</w:t>
      </w:r>
      <w:r w:rsidRPr="00856716">
        <w:rPr>
          <w:rFonts w:ascii="Arial" w:hAnsi="Arial" w:cs="Arial"/>
          <w:bCs/>
        </w:rPr>
        <w:t xml:space="preserve"> aunque pueden ser necesarias ambas.</w:t>
      </w:r>
    </w:p>
    <w:p w14:paraId="57328222" w14:textId="77777777" w:rsidR="00E51087" w:rsidRPr="00D94691" w:rsidRDefault="00E51087" w:rsidP="00E51087">
      <w:pPr>
        <w:keepNext/>
        <w:keepLines/>
        <w:shd w:val="clear" w:color="auto" w:fill="FFFFFF"/>
        <w:spacing w:before="120" w:after="120" w:line="276" w:lineRule="auto"/>
        <w:jc w:val="both"/>
        <w:outlineLvl w:val="0"/>
        <w:rPr>
          <w:rFonts w:ascii="Arial" w:hAnsi="Arial" w:cs="Arial"/>
          <w:bCs/>
          <w:lang w:val="es-ES_tradnl"/>
        </w:rPr>
      </w:pPr>
    </w:p>
    <w:p w14:paraId="47B7455E" w14:textId="77777777" w:rsidR="00E51087" w:rsidRDefault="00E51087" w:rsidP="00E51087">
      <w:pPr>
        <w:keepNext/>
        <w:keepLines/>
        <w:shd w:val="clear" w:color="auto" w:fill="FFFFFF"/>
        <w:spacing w:before="120" w:after="120" w:line="276" w:lineRule="auto"/>
        <w:jc w:val="both"/>
        <w:outlineLvl w:val="0"/>
        <w:rPr>
          <w:rFonts w:ascii="Arial" w:hAnsi="Arial" w:cs="Arial"/>
          <w:bCs/>
        </w:rPr>
      </w:pPr>
    </w:p>
    <w:p w14:paraId="5CECFA05" w14:textId="77777777" w:rsidR="00E51087" w:rsidRPr="00856716" w:rsidRDefault="00E51087" w:rsidP="00E51087">
      <w:pPr>
        <w:spacing w:before="120" w:after="120" w:line="276" w:lineRule="auto"/>
        <w:jc w:val="both"/>
        <w:rPr>
          <w:rFonts w:ascii="Arial" w:hAnsi="Arial" w:cs="Arial"/>
          <w:b/>
          <w:snapToGrid w:val="0"/>
          <w:color w:val="AE1C1F"/>
        </w:rPr>
      </w:pPr>
      <w:r w:rsidRPr="00856716">
        <w:rPr>
          <w:rFonts w:ascii="Arial" w:hAnsi="Arial" w:cs="Arial"/>
          <w:b/>
          <w:snapToGrid w:val="0"/>
          <w:color w:val="AE1C1F"/>
        </w:rPr>
        <w:t>Recomendaciones</w:t>
      </w:r>
    </w:p>
    <w:p w14:paraId="0A40679D" w14:textId="77777777" w:rsidR="00E51087" w:rsidRDefault="00E51087" w:rsidP="00676FD1">
      <w:pPr>
        <w:numPr>
          <w:ilvl w:val="0"/>
          <w:numId w:val="40"/>
        </w:numPr>
        <w:spacing w:before="120" w:after="120" w:line="276" w:lineRule="auto"/>
        <w:ind w:left="714" w:hanging="357"/>
        <w:jc w:val="both"/>
        <w:rPr>
          <w:rFonts w:ascii="Arial" w:hAnsi="Arial" w:cs="Arial"/>
          <w:i/>
          <w:lang w:val="es-ES_tradnl" w:eastAsia="en-US"/>
        </w:rPr>
      </w:pPr>
      <w:r w:rsidRPr="00856716">
        <w:rPr>
          <w:rFonts w:ascii="Arial" w:hAnsi="Arial" w:cs="Arial"/>
          <w:lang w:val="es-ES_tradnl" w:eastAsia="en-US"/>
        </w:rPr>
        <w:t>Se debe individualizar el TAR evaluando el riesgo y/o la presencia de enfermedades crónicas de manera que la pauta elegida no contenga FAR que puedan favorecer la aparición o progresión de las mismas</w:t>
      </w:r>
      <w:r w:rsidRPr="00856716">
        <w:rPr>
          <w:rFonts w:ascii="Arial" w:hAnsi="Arial" w:cs="Arial"/>
          <w:i/>
          <w:lang w:val="es-ES_tradnl" w:eastAsia="en-US"/>
        </w:rPr>
        <w:t xml:space="preserve"> (</w:t>
      </w:r>
      <w:r w:rsidRPr="00856716">
        <w:rPr>
          <w:rFonts w:ascii="Arial" w:hAnsi="Arial" w:cs="Arial"/>
          <w:b/>
          <w:i/>
          <w:lang w:val="es-ES_tradnl" w:eastAsia="en-US"/>
        </w:rPr>
        <w:t>A-II</w:t>
      </w:r>
      <w:r w:rsidRPr="00856716">
        <w:rPr>
          <w:rFonts w:ascii="Arial" w:hAnsi="Arial" w:cs="Arial"/>
          <w:i/>
          <w:lang w:val="es-ES_tradnl" w:eastAsia="en-US"/>
        </w:rPr>
        <w:t>)</w:t>
      </w:r>
      <w:r>
        <w:rPr>
          <w:rFonts w:ascii="Arial" w:hAnsi="Arial" w:cs="Arial"/>
          <w:i/>
          <w:lang w:val="es-ES_tradnl" w:eastAsia="en-US"/>
        </w:rPr>
        <w:t>.</w:t>
      </w:r>
    </w:p>
    <w:p w14:paraId="63D3A4AF" w14:textId="28D680BD" w:rsidR="00E51087" w:rsidRPr="00FB24D2" w:rsidRDefault="00E51087" w:rsidP="00676FD1">
      <w:pPr>
        <w:numPr>
          <w:ilvl w:val="0"/>
          <w:numId w:val="40"/>
        </w:numPr>
        <w:spacing w:before="120" w:after="120" w:line="276" w:lineRule="auto"/>
        <w:ind w:left="714" w:hanging="357"/>
        <w:jc w:val="both"/>
        <w:rPr>
          <w:rFonts w:ascii="Arial" w:hAnsi="Arial" w:cs="Arial"/>
          <w:i/>
          <w:highlight w:val="yellow"/>
          <w:lang w:val="es-ES_tradnl" w:eastAsia="en-US"/>
        </w:rPr>
      </w:pPr>
      <w:r w:rsidRPr="00FB24D2">
        <w:rPr>
          <w:rFonts w:ascii="Arial" w:hAnsi="Arial" w:cs="Arial"/>
          <w:highlight w:val="yellow"/>
          <w:lang w:val="es-ES_tradnl" w:eastAsia="en-US"/>
        </w:rPr>
        <w:t xml:space="preserve">En pacientes infectados por </w:t>
      </w:r>
      <w:r w:rsidR="000358A6">
        <w:rPr>
          <w:rFonts w:ascii="Arial" w:hAnsi="Arial" w:cs="Arial"/>
          <w:highlight w:val="yellow"/>
          <w:lang w:val="es-ES_tradnl" w:eastAsia="en-US"/>
        </w:rPr>
        <w:t xml:space="preserve">el </w:t>
      </w:r>
      <w:r w:rsidRPr="00FB24D2">
        <w:rPr>
          <w:rFonts w:ascii="Arial" w:hAnsi="Arial" w:cs="Arial"/>
          <w:highlight w:val="yellow"/>
          <w:lang w:val="es-ES_tradnl" w:eastAsia="en-US"/>
        </w:rPr>
        <w:t>VIH las alteraciones crónicas, independientemente de su relación con el TAR, deben ser manejadas igual que en la población general</w:t>
      </w:r>
      <w:r>
        <w:rPr>
          <w:rFonts w:ascii="Arial" w:hAnsi="Arial" w:cs="Arial"/>
          <w:highlight w:val="yellow"/>
          <w:lang w:val="es-ES_tradnl" w:eastAsia="en-US"/>
        </w:rPr>
        <w:t xml:space="preserve"> </w:t>
      </w:r>
      <w:r w:rsidRPr="00FB24D2">
        <w:rPr>
          <w:rFonts w:ascii="Arial" w:hAnsi="Arial" w:cs="Arial"/>
          <w:b/>
          <w:i/>
          <w:highlight w:val="yellow"/>
          <w:lang w:val="es-ES_tradnl" w:eastAsia="en-US"/>
        </w:rPr>
        <w:t>(A-III)</w:t>
      </w:r>
      <w:r w:rsidRPr="00FB24D2">
        <w:rPr>
          <w:rFonts w:ascii="Arial" w:hAnsi="Arial" w:cs="Arial"/>
          <w:highlight w:val="yellow"/>
          <w:lang w:val="es-ES_tradnl" w:eastAsia="en-US"/>
        </w:rPr>
        <w:t xml:space="preserve">, </w:t>
      </w:r>
      <w:r>
        <w:rPr>
          <w:rFonts w:ascii="Arial" w:hAnsi="Arial" w:cs="Arial"/>
          <w:highlight w:val="yellow"/>
          <w:lang w:val="es-ES_tradnl" w:eastAsia="en-US"/>
        </w:rPr>
        <w:t>incluyendo</w:t>
      </w:r>
      <w:r w:rsidRPr="00FB24D2">
        <w:rPr>
          <w:rFonts w:ascii="Arial" w:hAnsi="Arial" w:cs="Arial"/>
          <w:highlight w:val="yellow"/>
          <w:lang w:val="es-ES_tradnl" w:eastAsia="en-US"/>
        </w:rPr>
        <w:t xml:space="preserve"> la retirada del </w:t>
      </w:r>
      <w:r>
        <w:rPr>
          <w:rFonts w:ascii="Arial" w:hAnsi="Arial" w:cs="Arial"/>
          <w:highlight w:val="yellow"/>
          <w:lang w:val="es-ES_tradnl" w:eastAsia="en-US"/>
        </w:rPr>
        <w:t xml:space="preserve">FAR cuando se considere conveniente </w:t>
      </w:r>
      <w:r w:rsidRPr="00FF7D91">
        <w:rPr>
          <w:rFonts w:ascii="Arial" w:hAnsi="Arial" w:cs="Arial"/>
          <w:b/>
          <w:i/>
          <w:highlight w:val="yellow"/>
          <w:lang w:val="es-ES_tradnl" w:eastAsia="en-US"/>
        </w:rPr>
        <w:t>(C-III)</w:t>
      </w:r>
      <w:r w:rsidR="000358A6">
        <w:rPr>
          <w:rFonts w:ascii="Arial" w:hAnsi="Arial" w:cs="Arial"/>
          <w:highlight w:val="yellow"/>
          <w:lang w:val="es-ES_tradnl" w:eastAsia="en-US"/>
        </w:rPr>
        <w:t>.</w:t>
      </w:r>
      <w:r w:rsidRPr="00FB24D2">
        <w:rPr>
          <w:rFonts w:ascii="Arial" w:hAnsi="Arial" w:cs="Arial"/>
          <w:highlight w:val="yellow"/>
          <w:lang w:val="es-ES_tradnl" w:eastAsia="en-US"/>
        </w:rPr>
        <w:t xml:space="preserve">  </w:t>
      </w:r>
    </w:p>
    <w:p w14:paraId="4961C5AF" w14:textId="77777777" w:rsidR="00E51087" w:rsidRPr="000F752D" w:rsidRDefault="00E51087" w:rsidP="00676FD1">
      <w:pPr>
        <w:numPr>
          <w:ilvl w:val="0"/>
          <w:numId w:val="40"/>
        </w:numPr>
        <w:spacing w:before="120" w:after="120" w:line="276" w:lineRule="auto"/>
        <w:jc w:val="both"/>
        <w:rPr>
          <w:rFonts w:ascii="Arial" w:hAnsi="Arial" w:cs="Arial"/>
          <w:i/>
          <w:highlight w:val="yellow"/>
          <w:lang w:val="es-ES_tradnl" w:eastAsia="en-US"/>
        </w:rPr>
      </w:pPr>
      <w:r>
        <w:rPr>
          <w:rFonts w:ascii="Arial" w:hAnsi="Arial" w:cs="Arial"/>
          <w:highlight w:val="yellow"/>
        </w:rPr>
        <w:t xml:space="preserve">En pacientes con incremento significativo de peso durante el tratamiento con antirretrovirales se debe considerar, entre otras causas, la posibilidad de que sea un efecto secundario no deseable de los FAR </w:t>
      </w:r>
      <w:r w:rsidRPr="00854A0D">
        <w:rPr>
          <w:rFonts w:ascii="Arial" w:hAnsi="Arial" w:cs="Arial"/>
          <w:b/>
          <w:i/>
          <w:highlight w:val="yellow"/>
        </w:rPr>
        <w:t>(A-III)</w:t>
      </w:r>
      <w:r>
        <w:rPr>
          <w:rFonts w:ascii="Arial" w:hAnsi="Arial" w:cs="Arial"/>
          <w:highlight w:val="yellow"/>
        </w:rPr>
        <w:t xml:space="preserve"> y en algunos la necesidad de modificar el TAR </w:t>
      </w:r>
      <w:r w:rsidRPr="00854A0D">
        <w:rPr>
          <w:rFonts w:ascii="Arial" w:hAnsi="Arial" w:cs="Arial"/>
          <w:b/>
          <w:i/>
          <w:highlight w:val="yellow"/>
        </w:rPr>
        <w:t>(C-III)</w:t>
      </w:r>
      <w:r>
        <w:rPr>
          <w:rFonts w:ascii="Arial" w:hAnsi="Arial" w:cs="Arial"/>
          <w:highlight w:val="yellow"/>
        </w:rPr>
        <w:t xml:space="preserve">. </w:t>
      </w:r>
    </w:p>
    <w:p w14:paraId="46E9AAEF" w14:textId="77777777" w:rsidR="00E51087" w:rsidRDefault="00E51087" w:rsidP="00E51087">
      <w:pPr>
        <w:spacing w:before="120" w:after="120" w:line="276" w:lineRule="auto"/>
        <w:jc w:val="both"/>
        <w:rPr>
          <w:rFonts w:ascii="Arial" w:hAnsi="Arial" w:cs="Arial"/>
          <w:lang w:val="es-ES_tradnl" w:eastAsia="en-US"/>
        </w:rPr>
      </w:pPr>
    </w:p>
    <w:p w14:paraId="0D4F5CEF" w14:textId="77777777" w:rsidR="00E51087" w:rsidRPr="00856716" w:rsidRDefault="00E51087" w:rsidP="00E51087">
      <w:pPr>
        <w:spacing w:before="120" w:after="120" w:line="276" w:lineRule="auto"/>
        <w:jc w:val="both"/>
        <w:rPr>
          <w:rFonts w:ascii="Arial" w:hAnsi="Arial" w:cs="Arial"/>
          <w:lang w:val="es-ES_tradnl" w:eastAsia="en-US"/>
        </w:rPr>
      </w:pPr>
    </w:p>
    <w:p w14:paraId="38ACE297" w14:textId="77777777" w:rsidR="00E51087" w:rsidRPr="00363FD9" w:rsidRDefault="00E51087" w:rsidP="00E51087">
      <w:pPr>
        <w:spacing w:before="120" w:after="120"/>
        <w:jc w:val="center"/>
        <w:rPr>
          <w:rFonts w:ascii="Arial" w:hAnsi="Arial" w:cs="Arial"/>
          <w:b/>
          <w:noProof/>
          <w:color w:val="AE1C1F"/>
          <w:szCs w:val="18"/>
          <w:lang w:val="en-US"/>
        </w:rPr>
      </w:pPr>
      <w:r w:rsidRPr="00363FD9">
        <w:rPr>
          <w:rFonts w:ascii="Arial" w:hAnsi="Arial" w:cs="Arial"/>
          <w:b/>
          <w:noProof/>
          <w:color w:val="AE1C1F"/>
          <w:szCs w:val="18"/>
          <w:lang w:val="en-US"/>
        </w:rPr>
        <w:t>Referencias bibliográficas</w:t>
      </w:r>
    </w:p>
    <w:p w14:paraId="5B7D834F" w14:textId="77777777" w:rsidR="00E51087" w:rsidRPr="00363FD9" w:rsidRDefault="00E51087" w:rsidP="00E51087">
      <w:pPr>
        <w:spacing w:before="120" w:after="120"/>
        <w:jc w:val="center"/>
        <w:rPr>
          <w:rFonts w:ascii="Arial" w:hAnsi="Arial" w:cs="Arial"/>
          <w:noProof/>
          <w:sz w:val="18"/>
          <w:szCs w:val="18"/>
          <w:lang w:val="en-US"/>
        </w:rPr>
      </w:pPr>
    </w:p>
    <w:p w14:paraId="79236056" w14:textId="77777777" w:rsidR="00E51087" w:rsidRPr="00363FD9" w:rsidRDefault="00E51087" w:rsidP="00E51087">
      <w:pPr>
        <w:spacing w:before="120" w:after="120"/>
        <w:rPr>
          <w:rFonts w:ascii="Arial" w:hAnsi="Arial" w:cs="Arial"/>
          <w:noProof/>
          <w:sz w:val="18"/>
          <w:szCs w:val="18"/>
          <w:lang w:val="en-US"/>
        </w:rPr>
        <w:sectPr w:rsidR="00E51087" w:rsidRPr="00363FD9" w:rsidSect="00FC2322">
          <w:headerReference w:type="default" r:id="rId31"/>
          <w:footerReference w:type="default" r:id="rId32"/>
          <w:pgSz w:w="11906" w:h="16838"/>
          <w:pgMar w:top="1417" w:right="1701" w:bottom="1417" w:left="1701" w:header="708" w:footer="708" w:gutter="0"/>
          <w:cols w:space="708"/>
          <w:docGrid w:linePitch="360"/>
        </w:sectPr>
      </w:pPr>
    </w:p>
    <w:p w14:paraId="5D33BFFF" w14:textId="77777777" w:rsidR="00E51087" w:rsidRPr="00856716" w:rsidRDefault="00E51087" w:rsidP="00E51087">
      <w:pPr>
        <w:spacing w:before="120" w:after="120" w:line="276" w:lineRule="auto"/>
        <w:jc w:val="both"/>
        <w:rPr>
          <w:rFonts w:ascii="Arial" w:hAnsi="Arial" w:cs="Arial"/>
          <w:noProof/>
          <w:sz w:val="18"/>
          <w:szCs w:val="18"/>
          <w:lang w:val="en-US"/>
        </w:rPr>
      </w:pPr>
      <w:r w:rsidRPr="00441D67">
        <w:rPr>
          <w:rFonts w:ascii="Arial" w:hAnsi="Arial" w:cs="Arial"/>
          <w:noProof/>
          <w:sz w:val="18"/>
          <w:szCs w:val="18"/>
          <w:highlight w:val="yellow"/>
          <w:lang w:val="en-US"/>
        </w:rPr>
        <w:t>1. Sebaaly JC, Kelley D. Single-tablet regimens for the treatment of HIV-1 infection</w:t>
      </w:r>
      <w:r>
        <w:rPr>
          <w:rFonts w:ascii="Arial" w:hAnsi="Arial" w:cs="Arial"/>
          <w:noProof/>
          <w:sz w:val="18"/>
          <w:szCs w:val="18"/>
          <w:highlight w:val="yellow"/>
          <w:lang w:val="en-US"/>
        </w:rPr>
        <w:t>. Ann Pharmacother 2017;51:332-</w:t>
      </w:r>
      <w:r w:rsidRPr="00441D67">
        <w:rPr>
          <w:rFonts w:ascii="Arial" w:hAnsi="Arial" w:cs="Arial"/>
          <w:noProof/>
          <w:sz w:val="18"/>
          <w:szCs w:val="18"/>
          <w:highlight w:val="yellow"/>
          <w:lang w:val="en-US"/>
        </w:rPr>
        <w:t>44.</w:t>
      </w:r>
    </w:p>
    <w:p w14:paraId="2559841D" w14:textId="77777777" w:rsidR="00E51087" w:rsidRPr="00856716" w:rsidRDefault="00E51087" w:rsidP="00E51087">
      <w:pPr>
        <w:autoSpaceDE w:val="0"/>
        <w:autoSpaceDN w:val="0"/>
        <w:adjustRightInd w:val="0"/>
        <w:spacing w:before="120" w:after="120" w:line="276" w:lineRule="auto"/>
        <w:jc w:val="both"/>
        <w:rPr>
          <w:rFonts w:ascii="Arial" w:hAnsi="Arial" w:cs="Arial"/>
          <w:noProof/>
          <w:sz w:val="18"/>
          <w:szCs w:val="18"/>
          <w:lang w:val="en-US"/>
        </w:rPr>
      </w:pPr>
      <w:r w:rsidRPr="00441D67">
        <w:rPr>
          <w:rFonts w:ascii="Arial" w:hAnsi="Arial" w:cs="Arial"/>
          <w:noProof/>
          <w:sz w:val="18"/>
          <w:szCs w:val="18"/>
          <w:highlight w:val="yellow"/>
          <w:lang w:val="en-US"/>
        </w:rPr>
        <w:t xml:space="preserve">2. Li H, Marley G, Ma W, et al. </w:t>
      </w:r>
      <w:r w:rsidRPr="00441D67">
        <w:rPr>
          <w:rFonts w:ascii="Arial" w:eastAsiaTheme="minorHAnsi" w:hAnsi="Arial" w:cs="Arial"/>
          <w:sz w:val="18"/>
          <w:szCs w:val="18"/>
          <w:highlight w:val="yellow"/>
          <w:lang w:val="en-US" w:eastAsia="en-US"/>
        </w:rPr>
        <w:t>The role of ARV associated adverse drug reactions in influencing adherence among HIV-infected individuals: a systematic review and qualitative meta-synthesis. AIDS Behav 2017;</w:t>
      </w:r>
      <w:r>
        <w:rPr>
          <w:rFonts w:ascii="Arial" w:eastAsiaTheme="minorHAnsi" w:hAnsi="Arial" w:cs="Arial"/>
          <w:sz w:val="18"/>
          <w:szCs w:val="18"/>
          <w:highlight w:val="yellow"/>
          <w:lang w:val="en-US" w:eastAsia="en-US"/>
        </w:rPr>
        <w:t>21:341-</w:t>
      </w:r>
      <w:r w:rsidRPr="00441D67">
        <w:rPr>
          <w:rFonts w:ascii="Arial" w:eastAsiaTheme="minorHAnsi" w:hAnsi="Arial" w:cs="Arial"/>
          <w:sz w:val="18"/>
          <w:szCs w:val="18"/>
          <w:highlight w:val="yellow"/>
          <w:lang w:val="en-US" w:eastAsia="en-US"/>
        </w:rPr>
        <w:t>51.</w:t>
      </w:r>
      <w:r>
        <w:rPr>
          <w:rFonts w:ascii="Arial" w:eastAsiaTheme="minorHAnsi" w:hAnsi="Arial" w:cs="Arial"/>
          <w:sz w:val="18"/>
          <w:szCs w:val="18"/>
          <w:lang w:val="en-US" w:eastAsia="en-US"/>
        </w:rPr>
        <w:t xml:space="preserve"> </w:t>
      </w:r>
    </w:p>
    <w:p w14:paraId="762E0447" w14:textId="77777777" w:rsidR="00E51087" w:rsidRPr="00D26223" w:rsidRDefault="00E51087" w:rsidP="00E51087">
      <w:pPr>
        <w:rPr>
          <w:rFonts w:ascii="Arial" w:hAnsi="Arial" w:cs="Arial"/>
          <w:noProof/>
          <w:sz w:val="18"/>
          <w:szCs w:val="18"/>
          <w:highlight w:val="yellow"/>
          <w:lang w:val="en-US"/>
        </w:rPr>
      </w:pPr>
      <w:r w:rsidRPr="00441D67">
        <w:rPr>
          <w:rFonts w:ascii="Arial" w:hAnsi="Arial" w:cs="Arial"/>
          <w:noProof/>
          <w:sz w:val="18"/>
          <w:szCs w:val="18"/>
          <w:highlight w:val="yellow"/>
          <w:lang w:val="en-US"/>
        </w:rPr>
        <w:t xml:space="preserve">3. National HIV curriculum. Antiretroviral therapy. Adverse effects of antiretroviral medications. </w:t>
      </w:r>
      <w:r w:rsidRPr="00D26223">
        <w:rPr>
          <w:rFonts w:ascii="Arial" w:hAnsi="Arial" w:cs="Arial"/>
          <w:noProof/>
          <w:sz w:val="18"/>
          <w:szCs w:val="18"/>
          <w:highlight w:val="yellow"/>
          <w:lang w:val="en-US"/>
        </w:rPr>
        <w:t>Last Updated: August 12th, 2019</w:t>
      </w:r>
      <w:r>
        <w:rPr>
          <w:rFonts w:ascii="Arial" w:hAnsi="Arial" w:cs="Arial"/>
          <w:noProof/>
          <w:sz w:val="18"/>
          <w:szCs w:val="18"/>
          <w:highlight w:val="yellow"/>
          <w:lang w:val="en-US"/>
        </w:rPr>
        <w:t xml:space="preserve"> </w:t>
      </w:r>
    </w:p>
    <w:p w14:paraId="5E671D63" w14:textId="0FB361AF" w:rsidR="00E51087" w:rsidRPr="00D26223" w:rsidRDefault="00E51087" w:rsidP="00E51087">
      <w:pPr>
        <w:rPr>
          <w:rFonts w:ascii="Arial" w:hAnsi="Arial" w:cs="Arial"/>
          <w:noProof/>
          <w:sz w:val="18"/>
          <w:szCs w:val="18"/>
          <w:highlight w:val="yellow"/>
          <w:lang w:val="en-US"/>
        </w:rPr>
      </w:pPr>
      <w:r w:rsidRPr="00D26223">
        <w:rPr>
          <w:rFonts w:ascii="Arial" w:hAnsi="Arial" w:cs="Arial"/>
          <w:noProof/>
          <w:sz w:val="18"/>
          <w:szCs w:val="18"/>
          <w:highlight w:val="yellow"/>
          <w:lang w:val="en-US"/>
        </w:rPr>
        <w:t xml:space="preserve">Disponible en: </w:t>
      </w:r>
      <w:hyperlink r:id="rId33" w:history="1">
        <w:r w:rsidRPr="00D26223">
          <w:rPr>
            <w:rStyle w:val="Hipervnculo"/>
            <w:rFonts w:ascii="Arial" w:eastAsia="DejaVuSans" w:hAnsi="Arial" w:cs="Arial"/>
            <w:sz w:val="18"/>
            <w:szCs w:val="18"/>
            <w:highlight w:val="yellow"/>
            <w:lang w:val="en-US" w:eastAsia="en-US"/>
          </w:rPr>
          <w:t>www.hiv.uw.edu/go/antiretroviral-therapy/adverse-effects/core-concept/all</w:t>
        </w:r>
      </w:hyperlink>
      <w:r w:rsidRPr="00D26223">
        <w:rPr>
          <w:rFonts w:ascii="Arial" w:eastAsia="DejaVuSans" w:hAnsi="Arial" w:cs="Arial"/>
          <w:color w:val="0000FF"/>
          <w:sz w:val="18"/>
          <w:szCs w:val="18"/>
          <w:highlight w:val="yellow"/>
          <w:lang w:val="en-US" w:eastAsia="en-US"/>
        </w:rPr>
        <w:t xml:space="preserve"> </w:t>
      </w:r>
      <w:r w:rsidRPr="00D26223">
        <w:rPr>
          <w:rFonts w:ascii="Arial" w:eastAsia="DejaVuSans" w:hAnsi="Arial" w:cs="Arial"/>
          <w:color w:val="000000" w:themeColor="text1"/>
          <w:sz w:val="18"/>
          <w:szCs w:val="18"/>
          <w:highlight w:val="yellow"/>
          <w:lang w:val="en-US" w:eastAsia="en-US"/>
        </w:rPr>
        <w:t>Consultado 30.1</w:t>
      </w:r>
      <w:r>
        <w:rPr>
          <w:rFonts w:ascii="Arial" w:eastAsia="DejaVuSans" w:hAnsi="Arial" w:cs="Arial"/>
          <w:color w:val="000000" w:themeColor="text1"/>
          <w:sz w:val="18"/>
          <w:szCs w:val="18"/>
          <w:highlight w:val="yellow"/>
          <w:lang w:val="en-US" w:eastAsia="en-US"/>
        </w:rPr>
        <w:t>1</w:t>
      </w:r>
      <w:r w:rsidRPr="00D26223">
        <w:rPr>
          <w:rFonts w:ascii="Arial" w:eastAsia="DejaVuSans" w:hAnsi="Arial" w:cs="Arial"/>
          <w:color w:val="000000" w:themeColor="text1"/>
          <w:sz w:val="18"/>
          <w:szCs w:val="18"/>
          <w:highlight w:val="yellow"/>
          <w:lang w:val="en-US" w:eastAsia="en-US"/>
        </w:rPr>
        <w:t>.2019</w:t>
      </w:r>
    </w:p>
    <w:p w14:paraId="34DF5A13" w14:textId="77777777" w:rsidR="00E51087" w:rsidRPr="00D26223" w:rsidRDefault="00E51087" w:rsidP="00E51087">
      <w:pPr>
        <w:autoSpaceDE w:val="0"/>
        <w:autoSpaceDN w:val="0"/>
        <w:adjustRightInd w:val="0"/>
        <w:spacing w:before="120" w:after="120" w:line="276" w:lineRule="auto"/>
        <w:jc w:val="both"/>
        <w:rPr>
          <w:rFonts w:ascii="Arial" w:hAnsi="Arial" w:cs="Arial"/>
          <w:noProof/>
          <w:sz w:val="18"/>
          <w:szCs w:val="18"/>
          <w:lang w:val="en-US"/>
        </w:rPr>
      </w:pPr>
    </w:p>
    <w:p w14:paraId="778F4F16" w14:textId="77777777" w:rsidR="00E51087" w:rsidRDefault="00E51087" w:rsidP="00E51087">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t>4. Mallal S, Phillips E, Carosi G, et al. HLA-B*5701 screening for hypersensitivity to abacavir. N Engl J Med 2008;358:568-79.</w:t>
      </w:r>
    </w:p>
    <w:p w14:paraId="4FD9E412" w14:textId="77777777" w:rsidR="00E51087" w:rsidRPr="003F3B0A" w:rsidRDefault="00E51087" w:rsidP="00E51087">
      <w:pPr>
        <w:spacing w:before="120" w:after="120" w:line="276" w:lineRule="auto"/>
        <w:jc w:val="both"/>
        <w:rPr>
          <w:rFonts w:ascii="Arial" w:hAnsi="Arial" w:cs="Arial"/>
          <w:noProof/>
          <w:sz w:val="18"/>
          <w:szCs w:val="18"/>
        </w:rPr>
      </w:pPr>
      <w:r w:rsidRPr="003F3B0A">
        <w:rPr>
          <w:rFonts w:ascii="Arial" w:hAnsi="Arial" w:cs="Arial"/>
          <w:noProof/>
          <w:sz w:val="18"/>
          <w:szCs w:val="18"/>
          <w:lang w:val="en-US"/>
        </w:rPr>
        <w:lastRenderedPageBreak/>
        <w:t xml:space="preserve">5. Hoffmann C, Welz T, Sabranski M, et al. Higher rates of neuropsychiatric adverse events leading to dolutegravir discontinuation in women and older patients. </w:t>
      </w:r>
      <w:r w:rsidRPr="003F3B0A">
        <w:rPr>
          <w:rFonts w:ascii="Arial" w:hAnsi="Arial" w:cs="Arial"/>
          <w:noProof/>
          <w:sz w:val="18"/>
          <w:szCs w:val="18"/>
        </w:rPr>
        <w:t>HIV Med 2017;18:56-63.</w:t>
      </w:r>
    </w:p>
    <w:p w14:paraId="750F61B9" w14:textId="77777777" w:rsidR="00E51087" w:rsidRDefault="00E51087" w:rsidP="00E51087">
      <w:pPr>
        <w:spacing w:before="120" w:after="120" w:line="276" w:lineRule="auto"/>
        <w:jc w:val="both"/>
        <w:rPr>
          <w:rFonts w:ascii="Arial" w:hAnsi="Arial" w:cs="Arial"/>
          <w:noProof/>
          <w:sz w:val="18"/>
          <w:szCs w:val="18"/>
          <w:lang w:val="en-US"/>
        </w:rPr>
      </w:pPr>
      <w:r w:rsidRPr="003F3B0A">
        <w:rPr>
          <w:rFonts w:ascii="Arial" w:hAnsi="Arial" w:cs="Arial"/>
          <w:noProof/>
          <w:sz w:val="18"/>
          <w:szCs w:val="18"/>
        </w:rPr>
        <w:t xml:space="preserve">6. Peñafiel J, de Lazzari E, Padilla M, et al. </w:t>
      </w:r>
      <w:r w:rsidRPr="003F3B0A">
        <w:rPr>
          <w:rFonts w:ascii="Arial" w:hAnsi="Arial" w:cs="Arial"/>
          <w:noProof/>
          <w:sz w:val="18"/>
          <w:szCs w:val="18"/>
          <w:lang w:val="en-US"/>
        </w:rPr>
        <w:t>Tolerability os integrase inhibitors in a real-life setting. J Antimicrob Chemother 2017;72:1752-9.</w:t>
      </w:r>
    </w:p>
    <w:p w14:paraId="6A24F894" w14:textId="77777777" w:rsidR="00E51087" w:rsidRPr="00427597" w:rsidRDefault="00E51087" w:rsidP="00E51087">
      <w:pPr>
        <w:spacing w:before="120" w:after="120" w:line="276" w:lineRule="auto"/>
        <w:jc w:val="both"/>
        <w:rPr>
          <w:rFonts w:ascii="Arial" w:hAnsi="Arial" w:cs="Arial"/>
          <w:noProof/>
          <w:sz w:val="18"/>
          <w:szCs w:val="18"/>
          <w:lang w:val="en-US"/>
        </w:rPr>
      </w:pPr>
      <w:r w:rsidRPr="00441D67">
        <w:rPr>
          <w:rFonts w:ascii="Arial" w:hAnsi="Arial" w:cs="Arial"/>
          <w:noProof/>
          <w:sz w:val="18"/>
          <w:szCs w:val="18"/>
          <w:highlight w:val="yellow"/>
          <w:lang w:val="en-US"/>
        </w:rPr>
        <w:t xml:space="preserve">7. </w:t>
      </w:r>
      <w:r w:rsidRPr="00441D67">
        <w:rPr>
          <w:rFonts w:ascii="Arial" w:eastAsiaTheme="minorEastAsia" w:hAnsi="Arial" w:cs="Arial"/>
          <w:sz w:val="18"/>
          <w:szCs w:val="18"/>
          <w:highlight w:val="yellow"/>
          <w:lang w:val="en-US"/>
        </w:rPr>
        <w:t xml:space="preserve">Wohl D, Clarke A, Maggiolo F, et al. Patient-reported symptoms over 48 weeks among participants in randomized, double-blind, phase III non-inferiority trials of adults with HIV on co-formulated bictegravir, emtricitabine, and tenofovir alafenamide versus co-formulated abacavir, dolutegravir, and lamivudine. </w:t>
      </w:r>
      <w:r>
        <w:rPr>
          <w:rFonts w:ascii="Arial" w:eastAsiaTheme="minorEastAsia" w:hAnsi="Arial" w:cs="Arial"/>
          <w:sz w:val="18"/>
          <w:szCs w:val="18"/>
          <w:highlight w:val="yellow"/>
          <w:lang w:val="en-US"/>
        </w:rPr>
        <w:t>Patient 2018; 11:561–</w:t>
      </w:r>
      <w:r w:rsidRPr="00363FD9">
        <w:rPr>
          <w:rFonts w:ascii="Arial" w:eastAsiaTheme="minorEastAsia" w:hAnsi="Arial" w:cs="Arial"/>
          <w:sz w:val="18"/>
          <w:szCs w:val="18"/>
          <w:highlight w:val="yellow"/>
          <w:lang w:val="en-US"/>
        </w:rPr>
        <w:t>73.</w:t>
      </w:r>
    </w:p>
    <w:p w14:paraId="27614811" w14:textId="77777777" w:rsidR="00E51087" w:rsidRPr="00B02C4E" w:rsidRDefault="00E51087" w:rsidP="00E51087">
      <w:pPr>
        <w:spacing w:before="120" w:after="120" w:line="276" w:lineRule="auto"/>
        <w:jc w:val="both"/>
        <w:rPr>
          <w:rFonts w:ascii="Arial" w:hAnsi="Arial" w:cs="Arial"/>
          <w:noProof/>
          <w:sz w:val="18"/>
          <w:szCs w:val="18"/>
          <w:lang w:val="en-US"/>
        </w:rPr>
      </w:pPr>
      <w:r w:rsidRPr="00441D67">
        <w:rPr>
          <w:rFonts w:ascii="Arial" w:hAnsi="Arial" w:cs="Arial"/>
          <w:noProof/>
          <w:sz w:val="18"/>
          <w:szCs w:val="18"/>
          <w:highlight w:val="yellow"/>
          <w:lang w:val="en-US"/>
        </w:rPr>
        <w:t>8. Hill A, Waters L, Pozniak A. Are new antiretroviral treatments increasing the risk of clinical o</w:t>
      </w:r>
      <w:r>
        <w:rPr>
          <w:rFonts w:ascii="Arial" w:hAnsi="Arial" w:cs="Arial"/>
          <w:noProof/>
          <w:sz w:val="18"/>
          <w:szCs w:val="18"/>
          <w:highlight w:val="yellow"/>
          <w:lang w:val="en-US"/>
        </w:rPr>
        <w:t>besity? J Virus Erad 2019;1:41-</w:t>
      </w:r>
      <w:r w:rsidRPr="00441D67">
        <w:rPr>
          <w:rFonts w:ascii="Arial" w:hAnsi="Arial" w:cs="Arial"/>
          <w:noProof/>
          <w:sz w:val="18"/>
          <w:szCs w:val="18"/>
          <w:highlight w:val="yellow"/>
          <w:lang w:val="en-US"/>
        </w:rPr>
        <w:t>3.</w:t>
      </w:r>
    </w:p>
    <w:p w14:paraId="5A168925" w14:textId="77777777" w:rsidR="00E51087" w:rsidRPr="00B02C4E" w:rsidRDefault="00E51087" w:rsidP="00E51087">
      <w:pPr>
        <w:pStyle w:val="Textocomentario"/>
        <w:spacing w:before="120" w:after="120" w:line="276" w:lineRule="auto"/>
        <w:jc w:val="both"/>
        <w:rPr>
          <w:rFonts w:ascii="Arial" w:hAnsi="Arial" w:cs="Arial"/>
          <w:noProof/>
          <w:sz w:val="18"/>
          <w:szCs w:val="18"/>
          <w:lang w:val="en-US"/>
        </w:rPr>
      </w:pPr>
      <w:r w:rsidRPr="00441D67">
        <w:rPr>
          <w:rFonts w:ascii="Arial" w:hAnsi="Arial" w:cs="Arial"/>
          <w:noProof/>
          <w:sz w:val="18"/>
          <w:szCs w:val="18"/>
          <w:highlight w:val="yellow"/>
          <w:lang w:val="en-US"/>
        </w:rPr>
        <w:t xml:space="preserve">9. </w:t>
      </w:r>
      <w:r w:rsidRPr="00363FD9">
        <w:rPr>
          <w:rFonts w:ascii="Arial" w:hAnsi="Arial" w:cs="Arial"/>
          <w:sz w:val="18"/>
          <w:szCs w:val="18"/>
          <w:highlight w:val="yellow"/>
          <w:lang w:val="en-US"/>
        </w:rPr>
        <w:t xml:space="preserve">Venter WDF, Moorhouse M, Sokhela S, Fairlie L, Mashabane N, Masenya M, et al. Dolutegravir plus </w:t>
      </w:r>
      <w:r w:rsidRPr="00363FD9">
        <w:rPr>
          <w:rFonts w:ascii="Arial" w:hAnsi="Arial" w:cs="Arial"/>
          <w:sz w:val="18"/>
          <w:szCs w:val="18"/>
          <w:highlight w:val="yellow"/>
          <w:lang w:val="en-US"/>
        </w:rPr>
        <w:t>two different prodrugs of tenofovir to treat H</w:t>
      </w:r>
      <w:r>
        <w:rPr>
          <w:rFonts w:ascii="Arial" w:hAnsi="Arial" w:cs="Arial"/>
          <w:sz w:val="18"/>
          <w:szCs w:val="18"/>
          <w:highlight w:val="yellow"/>
          <w:lang w:val="en-US"/>
        </w:rPr>
        <w:t>IV. N Engl J Med 2019; 381:803-</w:t>
      </w:r>
      <w:r w:rsidRPr="00363FD9">
        <w:rPr>
          <w:rFonts w:ascii="Arial" w:hAnsi="Arial" w:cs="Arial"/>
          <w:sz w:val="18"/>
          <w:szCs w:val="18"/>
          <w:highlight w:val="yellow"/>
          <w:lang w:val="en-US"/>
        </w:rPr>
        <w:t>15.</w:t>
      </w:r>
      <w:r w:rsidRPr="00363FD9">
        <w:rPr>
          <w:rFonts w:ascii="Arial" w:hAnsi="Arial" w:cs="Arial"/>
          <w:sz w:val="18"/>
          <w:szCs w:val="18"/>
          <w:lang w:val="en-US"/>
        </w:rPr>
        <w:t xml:space="preserve"> </w:t>
      </w:r>
    </w:p>
    <w:p w14:paraId="2D982988" w14:textId="77777777" w:rsidR="00E51087" w:rsidRPr="003F3B0A" w:rsidRDefault="00E51087" w:rsidP="00E51087">
      <w:pPr>
        <w:spacing w:before="120" w:after="120" w:line="276" w:lineRule="auto"/>
        <w:jc w:val="both"/>
        <w:rPr>
          <w:rFonts w:ascii="Arial" w:hAnsi="Arial" w:cs="Arial"/>
          <w:noProof/>
          <w:sz w:val="18"/>
          <w:szCs w:val="18"/>
          <w:lang w:val="en-US"/>
        </w:rPr>
      </w:pPr>
      <w:r>
        <w:rPr>
          <w:rFonts w:ascii="Arial" w:hAnsi="Arial" w:cs="Arial"/>
          <w:noProof/>
          <w:sz w:val="18"/>
          <w:szCs w:val="18"/>
          <w:lang w:val="en-US"/>
        </w:rPr>
        <w:t>10</w:t>
      </w:r>
      <w:r w:rsidRPr="003F3B0A">
        <w:rPr>
          <w:rFonts w:ascii="Arial" w:hAnsi="Arial" w:cs="Arial"/>
          <w:noProof/>
          <w:sz w:val="18"/>
          <w:szCs w:val="18"/>
          <w:lang w:val="en-US"/>
        </w:rPr>
        <w:t>. Lee FJ, Monteiro P, Baker D, et al. Rosuvastatin vs. protease inhibitor switching for hypercholesterolaemia: a randomized trial. HIV Med 2016;17:605-14.</w:t>
      </w:r>
    </w:p>
    <w:p w14:paraId="417E1F1F" w14:textId="77777777" w:rsidR="00E51087" w:rsidRPr="00FA5073" w:rsidRDefault="00E51087" w:rsidP="00E51087">
      <w:pPr>
        <w:spacing w:before="120" w:after="120" w:line="276" w:lineRule="auto"/>
        <w:jc w:val="both"/>
        <w:rPr>
          <w:rFonts w:ascii="Arial" w:hAnsi="Arial" w:cs="Arial"/>
          <w:sz w:val="18"/>
          <w:szCs w:val="18"/>
        </w:rPr>
      </w:pPr>
      <w:r>
        <w:rPr>
          <w:rFonts w:ascii="Arial" w:hAnsi="Arial" w:cs="Arial"/>
          <w:noProof/>
          <w:sz w:val="18"/>
          <w:szCs w:val="18"/>
          <w:lang w:val="en-US"/>
        </w:rPr>
        <w:t>11</w:t>
      </w:r>
      <w:r w:rsidRPr="003F3B0A">
        <w:rPr>
          <w:rFonts w:ascii="Arial" w:hAnsi="Arial" w:cs="Arial"/>
          <w:noProof/>
          <w:sz w:val="18"/>
          <w:szCs w:val="18"/>
          <w:lang w:val="en-US"/>
        </w:rPr>
        <w:t xml:space="preserve">. Hoy J, Richardson R, Ebeling PR, et al. </w:t>
      </w:r>
      <w:r w:rsidRPr="003F3B0A">
        <w:rPr>
          <w:rFonts w:ascii="Arial" w:hAnsi="Arial" w:cs="Arial"/>
          <w:sz w:val="18"/>
          <w:szCs w:val="18"/>
          <w:lang w:val="en-US"/>
        </w:rPr>
        <w:t>Zoledronic acid is superior to tenofovir disoproxil fumarate-switching for low bone mineral density in adults with HIV.</w:t>
      </w:r>
      <w:r w:rsidRPr="003F3B0A">
        <w:rPr>
          <w:rFonts w:ascii="Arial" w:hAnsi="Arial" w:cs="Arial"/>
          <w:noProof/>
          <w:sz w:val="18"/>
          <w:szCs w:val="18"/>
          <w:lang w:val="en-US"/>
        </w:rPr>
        <w:t xml:space="preserve"> </w:t>
      </w:r>
      <w:r w:rsidRPr="00FA5073">
        <w:rPr>
          <w:rFonts w:ascii="Arial" w:hAnsi="Arial" w:cs="Arial"/>
          <w:noProof/>
          <w:sz w:val="18"/>
          <w:szCs w:val="18"/>
        </w:rPr>
        <w:t>AIDS 2018;</w:t>
      </w:r>
      <w:r w:rsidRPr="00FA5073">
        <w:rPr>
          <w:rFonts w:ascii="Arial" w:hAnsi="Arial" w:cs="Arial"/>
          <w:sz w:val="18"/>
          <w:szCs w:val="18"/>
          <w:shd w:val="clear" w:color="auto" w:fill="FFFFFF"/>
        </w:rPr>
        <w:t>32:1967-75.</w:t>
      </w:r>
    </w:p>
    <w:p w14:paraId="1E7CC480" w14:textId="77777777" w:rsidR="00E51087" w:rsidRPr="00FA5073" w:rsidRDefault="00E51087" w:rsidP="00E51087">
      <w:pPr>
        <w:spacing w:before="120" w:after="120" w:line="276" w:lineRule="auto"/>
        <w:jc w:val="both"/>
        <w:rPr>
          <w:rFonts w:ascii="Arial" w:hAnsi="Arial" w:cs="Arial"/>
          <w:noProof/>
          <w:sz w:val="18"/>
          <w:szCs w:val="18"/>
        </w:rPr>
      </w:pPr>
    </w:p>
    <w:p w14:paraId="338B2CFB" w14:textId="77777777" w:rsidR="00E51087" w:rsidRPr="00FA5073" w:rsidRDefault="00E51087" w:rsidP="00E51087">
      <w:pPr>
        <w:spacing w:before="120" w:after="120"/>
        <w:jc w:val="both"/>
        <w:rPr>
          <w:rFonts w:ascii="Arial" w:hAnsi="Arial" w:cs="Arial"/>
          <w:noProof/>
          <w:sz w:val="18"/>
          <w:szCs w:val="18"/>
        </w:rPr>
      </w:pPr>
    </w:p>
    <w:p w14:paraId="7D4961C9" w14:textId="77777777" w:rsidR="00E51087" w:rsidRPr="00FA5073" w:rsidRDefault="00E51087" w:rsidP="00E51087">
      <w:pPr>
        <w:spacing w:before="120" w:after="120"/>
        <w:jc w:val="both"/>
        <w:rPr>
          <w:rFonts w:ascii="Arial" w:hAnsi="Arial" w:cs="Arial"/>
          <w:noProof/>
          <w:sz w:val="18"/>
          <w:szCs w:val="18"/>
        </w:rPr>
      </w:pPr>
    </w:p>
    <w:p w14:paraId="03395C9A" w14:textId="77777777" w:rsidR="00E51087" w:rsidRPr="00FA5073" w:rsidRDefault="00E51087" w:rsidP="00E51087">
      <w:pPr>
        <w:spacing w:before="120" w:after="120"/>
        <w:jc w:val="both"/>
        <w:rPr>
          <w:rFonts w:ascii="Arial" w:hAnsi="Arial" w:cs="Arial"/>
          <w:noProof/>
          <w:sz w:val="18"/>
          <w:szCs w:val="18"/>
        </w:rPr>
      </w:pPr>
    </w:p>
    <w:p w14:paraId="4AA227BB" w14:textId="77777777" w:rsidR="00E51087" w:rsidRPr="00FA5073" w:rsidRDefault="00E51087" w:rsidP="00E51087">
      <w:pPr>
        <w:spacing w:before="120" w:after="120"/>
        <w:jc w:val="both"/>
        <w:rPr>
          <w:rFonts w:ascii="Arial" w:hAnsi="Arial" w:cs="Arial"/>
          <w:noProof/>
          <w:sz w:val="18"/>
          <w:szCs w:val="18"/>
        </w:rPr>
      </w:pPr>
    </w:p>
    <w:p w14:paraId="49DB1C15" w14:textId="77777777" w:rsidR="00E51087" w:rsidRPr="00FA5073" w:rsidRDefault="00E51087" w:rsidP="00E51087">
      <w:pPr>
        <w:spacing w:before="120" w:after="120"/>
        <w:jc w:val="both"/>
        <w:rPr>
          <w:rFonts w:ascii="Arial" w:hAnsi="Arial" w:cs="Arial"/>
          <w:noProof/>
          <w:sz w:val="18"/>
          <w:szCs w:val="18"/>
        </w:rPr>
      </w:pPr>
    </w:p>
    <w:p w14:paraId="75D138BA" w14:textId="77777777" w:rsidR="00E51087" w:rsidRPr="00FA5073" w:rsidRDefault="00E51087" w:rsidP="00E51087">
      <w:pPr>
        <w:spacing w:before="120" w:after="120"/>
        <w:jc w:val="both"/>
        <w:rPr>
          <w:rFonts w:ascii="Arial" w:hAnsi="Arial" w:cs="Arial"/>
          <w:noProof/>
          <w:sz w:val="18"/>
          <w:szCs w:val="18"/>
        </w:rPr>
      </w:pPr>
    </w:p>
    <w:p w14:paraId="495E7CD1" w14:textId="77777777" w:rsidR="00E51087" w:rsidRPr="00FA5073" w:rsidRDefault="00E51087" w:rsidP="00E51087">
      <w:pPr>
        <w:jc w:val="both"/>
        <w:rPr>
          <w:rFonts w:ascii="Arial" w:hAnsi="Arial" w:cs="Arial"/>
          <w:sz w:val="18"/>
          <w:szCs w:val="18"/>
        </w:rPr>
        <w:sectPr w:rsidR="00E51087" w:rsidRPr="00FA5073">
          <w:type w:val="continuous"/>
          <w:pgSz w:w="11906" w:h="16838"/>
          <w:pgMar w:top="1417" w:right="1701" w:bottom="1417" w:left="1701" w:header="708" w:footer="708" w:gutter="0"/>
          <w:cols w:num="2" w:sep="1" w:space="340"/>
          <w:docGrid w:linePitch="360"/>
        </w:sectPr>
      </w:pPr>
    </w:p>
    <w:p w14:paraId="48E728C7" w14:textId="77777777" w:rsidR="00E51087" w:rsidRPr="00FA5073" w:rsidRDefault="00E51087" w:rsidP="00E51087">
      <w:pPr>
        <w:jc w:val="both"/>
        <w:rPr>
          <w:rFonts w:ascii="Arial" w:hAnsi="Arial" w:cs="Arial"/>
          <w:noProof/>
          <w:sz w:val="18"/>
        </w:rPr>
        <w:sectPr w:rsidR="00E51087" w:rsidRPr="00FA5073">
          <w:headerReference w:type="default" r:id="rId34"/>
          <w:footerReference w:type="default" r:id="rId35"/>
          <w:type w:val="continuous"/>
          <w:pgSz w:w="11906" w:h="16838"/>
          <w:pgMar w:top="1417" w:right="1701" w:bottom="1417" w:left="1701" w:header="708" w:footer="708" w:gutter="0"/>
          <w:cols w:num="2" w:sep="1" w:space="340"/>
          <w:docGrid w:linePitch="360"/>
        </w:sectPr>
      </w:pPr>
    </w:p>
    <w:p w14:paraId="2BD863EE" w14:textId="277E7409" w:rsidR="00E51087" w:rsidRDefault="00E51087" w:rsidP="00E51087">
      <w:pPr>
        <w:rPr>
          <w:rFonts w:ascii="Arial" w:hAnsi="Arial" w:cs="Arial"/>
          <w:lang w:val="es-ES_tradnl"/>
        </w:rPr>
      </w:pPr>
    </w:p>
    <w:p w14:paraId="2BB3645D" w14:textId="77777777" w:rsidR="00F4249F" w:rsidRPr="003F3B0A" w:rsidRDefault="00F4249F" w:rsidP="00F4249F">
      <w:pPr>
        <w:spacing w:before="120" w:after="120" w:line="276" w:lineRule="auto"/>
        <w:jc w:val="both"/>
        <w:rPr>
          <w:rFonts w:ascii="Arial" w:hAnsi="Arial" w:cs="Arial"/>
          <w:b/>
          <w:color w:val="AE1C1F"/>
          <w:lang w:val="es-ES_tradnl"/>
        </w:rPr>
      </w:pPr>
      <w:r w:rsidRPr="003F3B0A">
        <w:rPr>
          <w:rFonts w:ascii="Arial" w:hAnsi="Arial" w:cs="Arial"/>
          <w:b/>
          <w:color w:val="AE1C1F"/>
          <w:lang w:val="es-ES_tradnl"/>
        </w:rPr>
        <w:t>6.3. Interacciones farmacológicas</w:t>
      </w:r>
    </w:p>
    <w:p w14:paraId="1C1E1529" w14:textId="77777777" w:rsidR="00F4249F" w:rsidRPr="00A90BE8" w:rsidRDefault="00F4249F" w:rsidP="00F4249F">
      <w:pPr>
        <w:spacing w:before="120" w:after="120" w:line="276" w:lineRule="auto"/>
        <w:jc w:val="both"/>
        <w:rPr>
          <w:rFonts w:ascii="Arial" w:hAnsi="Arial" w:cs="Arial"/>
          <w:highlight w:val="yellow"/>
          <w:lang w:val="es-ES_tradnl"/>
        </w:rPr>
      </w:pPr>
      <w:r w:rsidRPr="003F3B0A">
        <w:rPr>
          <w:rFonts w:ascii="Arial" w:hAnsi="Arial" w:cs="Arial"/>
          <w:lang w:val="es-ES_tradnl"/>
        </w:rPr>
        <w:t xml:space="preserve">Un número significativo de pacientes con infección por </w:t>
      </w:r>
      <w:r>
        <w:rPr>
          <w:rFonts w:ascii="Arial" w:hAnsi="Arial" w:cs="Arial"/>
          <w:lang w:val="es-ES_tradnl"/>
        </w:rPr>
        <w:t xml:space="preserve">el </w:t>
      </w:r>
      <w:r w:rsidRPr="003F3B0A">
        <w:rPr>
          <w:rFonts w:ascii="Arial" w:hAnsi="Arial" w:cs="Arial"/>
          <w:lang w:val="es-ES_tradnl"/>
        </w:rPr>
        <w:t xml:space="preserve">VIH-1 además de los FAR </w:t>
      </w:r>
      <w:r>
        <w:rPr>
          <w:rFonts w:ascii="Arial" w:hAnsi="Arial" w:cs="Arial"/>
          <w:lang w:val="es-ES_tradnl"/>
        </w:rPr>
        <w:t xml:space="preserve">pueden </w:t>
      </w:r>
      <w:r w:rsidRPr="003F3B0A">
        <w:rPr>
          <w:rFonts w:ascii="Arial" w:hAnsi="Arial" w:cs="Arial"/>
          <w:lang w:val="es-ES_tradnl"/>
        </w:rPr>
        <w:t>toma</w:t>
      </w:r>
      <w:r>
        <w:rPr>
          <w:rFonts w:ascii="Arial" w:hAnsi="Arial" w:cs="Arial"/>
          <w:lang w:val="es-ES_tradnl"/>
        </w:rPr>
        <w:t>r</w:t>
      </w:r>
      <w:r w:rsidRPr="003F3B0A">
        <w:rPr>
          <w:rFonts w:ascii="Arial" w:hAnsi="Arial" w:cs="Arial"/>
          <w:lang w:val="es-ES_tradnl"/>
        </w:rPr>
        <w:t xml:space="preserve"> productos de herboristería, suplementos dietéticos, </w:t>
      </w:r>
      <w:r w:rsidRPr="00E341FE">
        <w:rPr>
          <w:rFonts w:ascii="Arial" w:hAnsi="Arial" w:cs="Arial"/>
          <w:highlight w:val="yellow"/>
          <w:lang w:val="es-ES_tradnl"/>
        </w:rPr>
        <w:t>complementos para ganar masa muscular</w:t>
      </w:r>
      <w:r w:rsidRPr="00E341FE">
        <w:rPr>
          <w:rFonts w:ascii="Arial" w:hAnsi="Arial" w:cs="Arial"/>
          <w:highlight w:val="yellow"/>
        </w:rPr>
        <w:t>,</w:t>
      </w:r>
      <w:r>
        <w:rPr>
          <w:rFonts w:ascii="Arial" w:hAnsi="Arial" w:cs="Arial"/>
        </w:rPr>
        <w:t xml:space="preserve"> </w:t>
      </w:r>
      <w:r w:rsidRPr="003F3B0A">
        <w:rPr>
          <w:rFonts w:ascii="Arial" w:hAnsi="Arial" w:cs="Arial"/>
          <w:lang w:val="es-ES_tradnl"/>
        </w:rPr>
        <w:t>medicinas alternativas o drogas recreativas</w:t>
      </w:r>
      <w:r>
        <w:rPr>
          <w:rFonts w:ascii="Arial" w:hAnsi="Arial" w:cs="Arial"/>
          <w:lang w:val="es-ES_tradnl"/>
        </w:rPr>
        <w:t xml:space="preserve"> </w:t>
      </w:r>
      <w:r w:rsidRPr="003F3B0A">
        <w:rPr>
          <w:rFonts w:ascii="Arial" w:hAnsi="Arial" w:cs="Arial"/>
          <w:lang w:val="es-ES_tradnl"/>
        </w:rPr>
        <w:t>asociadas al sexo (</w:t>
      </w:r>
      <w:r w:rsidRPr="003F3B0A">
        <w:rPr>
          <w:rFonts w:ascii="Arial" w:hAnsi="Arial" w:cs="Arial"/>
          <w:i/>
          <w:lang w:val="es-ES_tradnl"/>
        </w:rPr>
        <w:t>chemsex</w:t>
      </w:r>
      <w:r w:rsidRPr="003F3B0A">
        <w:rPr>
          <w:rFonts w:ascii="Arial" w:hAnsi="Arial" w:cs="Arial"/>
          <w:lang w:val="es-ES_tradnl"/>
        </w:rPr>
        <w:t xml:space="preserve">) </w:t>
      </w:r>
      <w:r>
        <w:rPr>
          <w:rFonts w:ascii="Arial" w:hAnsi="Arial" w:cs="Arial"/>
          <w:lang w:val="es-ES_tradnl"/>
        </w:rPr>
        <w:t xml:space="preserve">que pueden </w:t>
      </w:r>
      <w:r w:rsidRPr="003F3B0A">
        <w:rPr>
          <w:rFonts w:ascii="Arial" w:hAnsi="Arial" w:cs="Arial"/>
          <w:lang w:val="es-ES_tradnl"/>
        </w:rPr>
        <w:t>presenta</w:t>
      </w:r>
      <w:r>
        <w:rPr>
          <w:rFonts w:ascii="Arial" w:hAnsi="Arial" w:cs="Arial"/>
          <w:lang w:val="es-ES_tradnl"/>
        </w:rPr>
        <w:t>r</w:t>
      </w:r>
      <w:r w:rsidRPr="003F3B0A">
        <w:rPr>
          <w:rFonts w:ascii="Arial" w:hAnsi="Arial" w:cs="Arial"/>
          <w:lang w:val="es-ES_tradnl"/>
        </w:rPr>
        <w:t xml:space="preserve"> interacciones potenciales graves</w:t>
      </w:r>
      <w:r>
        <w:rPr>
          <w:rFonts w:ascii="Arial" w:hAnsi="Arial" w:cs="Arial"/>
          <w:lang w:val="es-ES_tradnl"/>
        </w:rPr>
        <w:t>,</w:t>
      </w:r>
      <w:r w:rsidRPr="003F3B0A">
        <w:rPr>
          <w:rFonts w:ascii="Arial" w:hAnsi="Arial" w:cs="Arial"/>
          <w:lang w:val="es-ES_tradnl"/>
        </w:rPr>
        <w:t xml:space="preserve"> fundamentalmente con RTV y COBI</w:t>
      </w:r>
      <w:r w:rsidRPr="003F3B0A">
        <w:rPr>
          <w:rFonts w:ascii="Arial" w:hAnsi="Arial" w:cs="Arial"/>
          <w:noProof/>
          <w:vertAlign w:val="superscript"/>
          <w:lang w:val="es-ES_tradnl"/>
        </w:rPr>
        <w:t>1</w:t>
      </w:r>
      <w:r w:rsidRPr="003F3B0A">
        <w:rPr>
          <w:rFonts w:ascii="Arial" w:hAnsi="Arial" w:cs="Arial"/>
          <w:lang w:val="es-ES_tradnl"/>
        </w:rPr>
        <w:t xml:space="preserve">. </w:t>
      </w:r>
      <w:r>
        <w:rPr>
          <w:rFonts w:ascii="Arial" w:hAnsi="Arial" w:cs="Arial"/>
          <w:lang w:val="es-ES_tradnl"/>
        </w:rPr>
        <w:t>E</w:t>
      </w:r>
      <w:r w:rsidRPr="0020544A">
        <w:rPr>
          <w:rFonts w:ascii="Arial" w:hAnsi="Arial" w:cs="Arial"/>
          <w:highlight w:val="yellow"/>
          <w:lang w:val="es-ES_tradnl"/>
        </w:rPr>
        <w:t xml:space="preserve">studios </w:t>
      </w:r>
      <w:r>
        <w:rPr>
          <w:rFonts w:ascii="Arial" w:hAnsi="Arial" w:cs="Arial"/>
          <w:highlight w:val="yellow"/>
          <w:lang w:val="es-ES_tradnl"/>
        </w:rPr>
        <w:t xml:space="preserve">recientes </w:t>
      </w:r>
      <w:r w:rsidRPr="0020544A">
        <w:rPr>
          <w:rFonts w:ascii="Arial" w:hAnsi="Arial" w:cs="Arial"/>
          <w:highlight w:val="yellow"/>
          <w:lang w:val="es-ES_tradnl"/>
        </w:rPr>
        <w:t>indican que alrededor de un 3%</w:t>
      </w:r>
      <w:r>
        <w:rPr>
          <w:rFonts w:ascii="Arial" w:hAnsi="Arial" w:cs="Arial"/>
          <w:highlight w:val="yellow"/>
          <w:vertAlign w:val="superscript"/>
          <w:lang w:val="es-ES_tradnl"/>
        </w:rPr>
        <w:t>2</w:t>
      </w:r>
      <w:r w:rsidRPr="00A90BE8">
        <w:rPr>
          <w:rFonts w:ascii="Arial" w:hAnsi="Arial" w:cs="Arial"/>
          <w:highlight w:val="yellow"/>
          <w:lang w:val="es-ES_tradnl"/>
        </w:rPr>
        <w:t xml:space="preserve"> - 4,6%</w:t>
      </w:r>
      <w:r>
        <w:rPr>
          <w:rFonts w:ascii="Arial" w:hAnsi="Arial" w:cs="Arial"/>
          <w:highlight w:val="yellow"/>
          <w:vertAlign w:val="superscript"/>
          <w:lang w:val="es-ES_tradnl"/>
        </w:rPr>
        <w:t>3</w:t>
      </w:r>
      <w:r w:rsidRPr="00A90BE8">
        <w:rPr>
          <w:rFonts w:ascii="Arial" w:hAnsi="Arial" w:cs="Arial"/>
          <w:highlight w:val="yellow"/>
          <w:lang w:val="es-ES_tradnl"/>
        </w:rPr>
        <w:t xml:space="preserve"> pueden estar recibiendo asociaciones contraindicadas y este número se incrementa en los mayores de</w:t>
      </w:r>
      <w:r w:rsidRPr="0020544A">
        <w:rPr>
          <w:rFonts w:ascii="Arial" w:hAnsi="Arial" w:cs="Arial"/>
          <w:highlight w:val="yellow"/>
          <w:lang w:val="es-ES_tradnl"/>
        </w:rPr>
        <w:t xml:space="preserve"> 65 años</w:t>
      </w:r>
      <w:r>
        <w:rPr>
          <w:rFonts w:ascii="Arial" w:hAnsi="Arial" w:cs="Arial"/>
          <w:highlight w:val="yellow"/>
          <w:lang w:val="es-ES_tradnl"/>
        </w:rPr>
        <w:t>,</w:t>
      </w:r>
      <w:r w:rsidRPr="0020544A">
        <w:rPr>
          <w:rFonts w:ascii="Arial" w:hAnsi="Arial" w:cs="Arial"/>
          <w:highlight w:val="yellow"/>
          <w:lang w:val="es-ES_tradnl"/>
        </w:rPr>
        <w:t xml:space="preserve"> pudiendo llegar </w:t>
      </w:r>
      <w:r>
        <w:rPr>
          <w:rFonts w:ascii="Arial" w:hAnsi="Arial" w:cs="Arial"/>
          <w:highlight w:val="yellow"/>
          <w:lang w:val="es-ES_tradnl"/>
        </w:rPr>
        <w:t>al</w:t>
      </w:r>
      <w:r w:rsidRPr="0020544A">
        <w:rPr>
          <w:rFonts w:ascii="Arial" w:hAnsi="Arial" w:cs="Arial"/>
          <w:highlight w:val="yellow"/>
          <w:lang w:val="es-ES_tradnl"/>
        </w:rPr>
        <w:t xml:space="preserve"> 16%</w:t>
      </w:r>
      <w:r>
        <w:rPr>
          <w:rFonts w:ascii="Arial" w:hAnsi="Arial" w:cs="Arial"/>
          <w:highlight w:val="yellow"/>
          <w:vertAlign w:val="superscript"/>
          <w:lang w:val="es-ES_tradnl"/>
        </w:rPr>
        <w:t>4</w:t>
      </w:r>
      <w:r w:rsidRPr="00A90BE8">
        <w:rPr>
          <w:rFonts w:ascii="Arial" w:hAnsi="Arial" w:cs="Arial"/>
          <w:highlight w:val="yellow"/>
          <w:lang w:val="es-ES_tradnl"/>
        </w:rPr>
        <w:t>.</w:t>
      </w:r>
    </w:p>
    <w:p w14:paraId="491E8369" w14:textId="77777777" w:rsidR="00F4249F" w:rsidRPr="006F754B" w:rsidRDefault="00F4249F" w:rsidP="00F4249F">
      <w:pPr>
        <w:pStyle w:val="Default"/>
        <w:spacing w:before="120" w:after="120" w:line="276" w:lineRule="auto"/>
        <w:jc w:val="both"/>
        <w:rPr>
          <w:rFonts w:ascii="Arial" w:hAnsi="Arial" w:cs="Arial"/>
          <w:highlight w:val="yellow"/>
          <w:lang w:val="es-ES"/>
        </w:rPr>
      </w:pPr>
      <w:r>
        <w:rPr>
          <w:rFonts w:ascii="Arial" w:hAnsi="Arial" w:cs="Arial"/>
          <w:highlight w:val="yellow"/>
          <w:lang w:val="es-ES"/>
        </w:rPr>
        <w:t xml:space="preserve">López-Centeno et </w:t>
      </w:r>
      <w:r w:rsidRPr="00A90BE8">
        <w:rPr>
          <w:rFonts w:ascii="Arial" w:hAnsi="Arial" w:cs="Arial"/>
          <w:highlight w:val="yellow"/>
          <w:lang w:val="es-ES"/>
        </w:rPr>
        <w:t>al.</w:t>
      </w:r>
      <w:r>
        <w:rPr>
          <w:rFonts w:ascii="Arial" w:hAnsi="Arial" w:cs="Arial"/>
          <w:highlight w:val="yellow"/>
          <w:vertAlign w:val="superscript"/>
          <w:lang w:val="es-ES"/>
        </w:rPr>
        <w:t>2</w:t>
      </w:r>
      <w:r w:rsidRPr="00A90BE8">
        <w:rPr>
          <w:rFonts w:ascii="Arial" w:hAnsi="Arial" w:cs="Arial"/>
          <w:highlight w:val="yellow"/>
          <w:lang w:val="es-ES"/>
        </w:rPr>
        <w:t xml:space="preserve">  </w:t>
      </w:r>
      <w:r>
        <w:rPr>
          <w:rFonts w:ascii="Arial" w:hAnsi="Arial" w:cs="Arial"/>
          <w:highlight w:val="yellow"/>
          <w:lang w:val="es-ES"/>
        </w:rPr>
        <w:t xml:space="preserve">realizaron </w:t>
      </w:r>
      <w:r w:rsidRPr="00FD0FD3">
        <w:rPr>
          <w:rFonts w:ascii="Arial" w:hAnsi="Arial" w:cs="Arial"/>
          <w:highlight w:val="yellow"/>
          <w:lang w:val="es-ES"/>
        </w:rPr>
        <w:t xml:space="preserve">un estudio </w:t>
      </w:r>
      <w:r w:rsidRPr="003032DD">
        <w:rPr>
          <w:rFonts w:ascii="Arial" w:hAnsi="Arial" w:cs="Arial"/>
          <w:highlight w:val="yellow"/>
          <w:lang w:val="es-ES"/>
        </w:rPr>
        <w:t xml:space="preserve">observacional </w:t>
      </w:r>
      <w:r w:rsidRPr="00FD0FD3">
        <w:rPr>
          <w:rFonts w:ascii="Arial" w:hAnsi="Arial" w:cs="Arial"/>
          <w:highlight w:val="yellow"/>
          <w:lang w:val="es-ES"/>
        </w:rPr>
        <w:t>en la Comunidad de Madrid</w:t>
      </w:r>
      <w:r>
        <w:rPr>
          <w:rFonts w:ascii="Arial" w:hAnsi="Arial" w:cs="Arial"/>
          <w:highlight w:val="yellow"/>
          <w:lang w:val="es-ES"/>
        </w:rPr>
        <w:t xml:space="preserve"> (enero-junio 2017), en el que</w:t>
      </w:r>
      <w:r w:rsidRPr="00FD0FD3">
        <w:rPr>
          <w:rFonts w:ascii="Arial" w:hAnsi="Arial" w:cs="Arial"/>
          <w:highlight w:val="yellow"/>
          <w:lang w:val="es-ES"/>
        </w:rPr>
        <w:t xml:space="preserve"> </w:t>
      </w:r>
      <w:r>
        <w:rPr>
          <w:rFonts w:ascii="Arial" w:hAnsi="Arial" w:cs="Arial"/>
          <w:highlight w:val="yellow"/>
          <w:lang w:val="es-ES"/>
        </w:rPr>
        <w:t>s</w:t>
      </w:r>
      <w:r w:rsidRPr="00FD0FD3">
        <w:rPr>
          <w:rFonts w:ascii="Arial" w:hAnsi="Arial" w:cs="Arial"/>
          <w:highlight w:val="yellow"/>
          <w:lang w:val="es-ES"/>
        </w:rPr>
        <w:t xml:space="preserve">e incluyeron datos de </w:t>
      </w:r>
      <w:r w:rsidRPr="00FD0FD3">
        <w:rPr>
          <w:rFonts w:ascii="Arial" w:hAnsi="Arial" w:cs="Arial"/>
          <w:highlight w:val="yellow"/>
          <w:lang w:val="es-ES_tradnl"/>
        </w:rPr>
        <w:t xml:space="preserve">22.945 individuos con infección por el VIH y 6.613.506 no infectados. </w:t>
      </w:r>
      <w:r w:rsidRPr="00FD0FD3">
        <w:rPr>
          <w:rFonts w:ascii="Arial" w:hAnsi="Arial" w:cs="Arial"/>
          <w:highlight w:val="yellow"/>
          <w:lang w:val="es-ES"/>
        </w:rPr>
        <w:t>La prevalencia de combina</w:t>
      </w:r>
      <w:r>
        <w:rPr>
          <w:rFonts w:ascii="Arial" w:hAnsi="Arial" w:cs="Arial"/>
          <w:highlight w:val="yellow"/>
          <w:lang w:val="es-ES"/>
        </w:rPr>
        <w:t xml:space="preserve">ciones contraindicadas con TAR </w:t>
      </w:r>
      <w:r w:rsidRPr="00FD0FD3">
        <w:rPr>
          <w:rFonts w:ascii="Arial" w:hAnsi="Arial" w:cs="Arial"/>
          <w:highlight w:val="yellow"/>
          <w:lang w:val="es-ES"/>
        </w:rPr>
        <w:t>fue de 3,18%</w:t>
      </w:r>
      <w:r w:rsidRPr="003032DD">
        <w:rPr>
          <w:rFonts w:ascii="Arial" w:hAnsi="Arial" w:cs="Arial"/>
          <w:highlight w:val="yellow"/>
          <w:lang w:val="es-ES"/>
        </w:rPr>
        <w:t xml:space="preserve">. Los medicamentos más implicados fueron corticoides, antipsicóticos (quetiapina), antiagregantes plaquetarios (clopidogrel y ticagrelor), antifúngicos imidazólicos, procinéticos (domperidona) y estatinas (simvastatina). </w:t>
      </w:r>
      <w:r>
        <w:rPr>
          <w:rFonts w:ascii="Arial" w:hAnsi="Arial" w:cs="Arial"/>
          <w:highlight w:val="yellow"/>
          <w:lang w:val="es-ES"/>
        </w:rPr>
        <w:t>Se asociaron a un mayor riesgo de potenciales interacciones graves, aparte de los fármacos anteriores y la polifarmacia, el uso de IP/p, EVG/c o ITINN como núcleo del TAR, mientras que e</w:t>
      </w:r>
      <w:r w:rsidRPr="00FD0FD3">
        <w:rPr>
          <w:rFonts w:ascii="Arial" w:hAnsi="Arial" w:cs="Arial"/>
          <w:highlight w:val="yellow"/>
          <w:lang w:val="es-ES"/>
        </w:rPr>
        <w:t xml:space="preserve">l uso de </w:t>
      </w:r>
      <w:r w:rsidRPr="00E57747">
        <w:rPr>
          <w:rFonts w:ascii="Arial" w:hAnsi="Arial" w:cs="Arial"/>
          <w:highlight w:val="yellow"/>
          <w:lang w:val="es-ES"/>
        </w:rPr>
        <w:t xml:space="preserve">RAL </w:t>
      </w:r>
      <w:r w:rsidRPr="00FD0FD3">
        <w:rPr>
          <w:rFonts w:ascii="Arial" w:hAnsi="Arial" w:cs="Arial"/>
          <w:highlight w:val="yellow"/>
          <w:lang w:val="es-ES"/>
        </w:rPr>
        <w:t xml:space="preserve">o </w:t>
      </w:r>
      <w:r w:rsidRPr="00E57747">
        <w:rPr>
          <w:rFonts w:ascii="Arial" w:hAnsi="Arial" w:cs="Arial"/>
          <w:highlight w:val="yellow"/>
          <w:lang w:val="es-ES"/>
        </w:rPr>
        <w:t>DTG</w:t>
      </w:r>
      <w:r w:rsidRPr="00FD0FD3">
        <w:rPr>
          <w:rFonts w:ascii="Arial" w:hAnsi="Arial" w:cs="Arial"/>
          <w:highlight w:val="yellow"/>
          <w:lang w:val="es-ES"/>
        </w:rPr>
        <w:t xml:space="preserve"> se asoció a un riesgo significativamente menor</w:t>
      </w:r>
      <w:r>
        <w:rPr>
          <w:rFonts w:ascii="Arial" w:hAnsi="Arial" w:cs="Arial"/>
          <w:lang w:val="es-ES"/>
        </w:rPr>
        <w:t xml:space="preserve"> </w:t>
      </w:r>
      <w:r w:rsidRPr="006F754B">
        <w:rPr>
          <w:rFonts w:ascii="Arial" w:hAnsi="Arial" w:cs="Arial"/>
          <w:highlight w:val="yellow"/>
          <w:lang w:val="es-ES"/>
        </w:rPr>
        <w:t>(OR= 0,72; IC95%,  0,60 a 0,88)</w:t>
      </w:r>
      <w:r w:rsidRPr="00FD0FD3">
        <w:rPr>
          <w:rFonts w:ascii="Arial" w:hAnsi="Arial" w:cs="Arial"/>
          <w:highlight w:val="yellow"/>
          <w:lang w:val="es-ES"/>
        </w:rPr>
        <w:t>.</w:t>
      </w:r>
    </w:p>
    <w:p w14:paraId="32A431DB" w14:textId="77777777" w:rsidR="00F4249F" w:rsidRDefault="00F4249F" w:rsidP="00F4249F">
      <w:pPr>
        <w:spacing w:before="120" w:after="120" w:line="276" w:lineRule="auto"/>
        <w:jc w:val="both"/>
        <w:rPr>
          <w:rFonts w:ascii="Arial" w:hAnsi="Arial" w:cs="Arial"/>
          <w:lang w:val="es-ES_tradnl"/>
        </w:rPr>
      </w:pPr>
      <w:r>
        <w:rPr>
          <w:rFonts w:ascii="Arial" w:hAnsi="Arial" w:cs="Arial"/>
          <w:highlight w:val="yellow"/>
          <w:lang w:val="es-ES_tradnl"/>
        </w:rPr>
        <w:t>Demessine et al.</w:t>
      </w:r>
      <w:r>
        <w:rPr>
          <w:rFonts w:ascii="Arial" w:hAnsi="Arial" w:cs="Arial"/>
          <w:highlight w:val="yellow"/>
          <w:vertAlign w:val="superscript"/>
          <w:lang w:val="es-ES_tradnl"/>
        </w:rPr>
        <w:t>4</w:t>
      </w:r>
      <w:r w:rsidRPr="00A90BE8">
        <w:rPr>
          <w:rFonts w:ascii="Arial" w:hAnsi="Arial" w:cs="Arial"/>
          <w:highlight w:val="yellow"/>
          <w:vertAlign w:val="superscript"/>
          <w:lang w:val="es-ES_tradnl"/>
        </w:rPr>
        <w:t xml:space="preserve"> </w:t>
      </w:r>
      <w:r w:rsidRPr="00A90BE8">
        <w:rPr>
          <w:rFonts w:ascii="Arial" w:hAnsi="Arial" w:cs="Arial"/>
          <w:highlight w:val="yellow"/>
          <w:lang w:val="es-ES_tradnl"/>
        </w:rPr>
        <w:t xml:space="preserve">realizaron </w:t>
      </w:r>
      <w:r>
        <w:rPr>
          <w:rFonts w:ascii="Arial" w:hAnsi="Arial" w:cs="Arial"/>
          <w:highlight w:val="yellow"/>
          <w:lang w:val="es-ES_tradnl"/>
        </w:rPr>
        <w:t>un estudio observacional en Francia en</w:t>
      </w:r>
      <w:r w:rsidRPr="00E341FE">
        <w:rPr>
          <w:rFonts w:ascii="Arial" w:hAnsi="Arial" w:cs="Arial"/>
          <w:highlight w:val="yellow"/>
          <w:lang w:val="es-ES_tradnl"/>
        </w:rPr>
        <w:t xml:space="preserve"> una cohorte de m</w:t>
      </w:r>
      <w:r>
        <w:rPr>
          <w:rFonts w:ascii="Arial" w:hAnsi="Arial" w:cs="Arial"/>
          <w:highlight w:val="yellow"/>
          <w:lang w:val="es-ES_tradnl"/>
        </w:rPr>
        <w:t>á</w:t>
      </w:r>
      <w:r w:rsidRPr="00E341FE">
        <w:rPr>
          <w:rFonts w:ascii="Arial" w:hAnsi="Arial" w:cs="Arial"/>
          <w:highlight w:val="yellow"/>
          <w:lang w:val="es-ES_tradnl"/>
        </w:rPr>
        <w:t xml:space="preserve">s de 9.000 pacientes infectados por </w:t>
      </w:r>
      <w:r>
        <w:rPr>
          <w:rFonts w:ascii="Arial" w:hAnsi="Arial" w:cs="Arial"/>
          <w:highlight w:val="yellow"/>
          <w:lang w:val="es-ES_tradnl"/>
        </w:rPr>
        <w:t xml:space="preserve">el </w:t>
      </w:r>
      <w:r w:rsidRPr="00E341FE">
        <w:rPr>
          <w:rFonts w:ascii="Arial" w:hAnsi="Arial" w:cs="Arial"/>
          <w:highlight w:val="yellow"/>
          <w:lang w:val="es-ES_tradnl"/>
        </w:rPr>
        <w:t xml:space="preserve">VIH </w:t>
      </w:r>
      <w:r>
        <w:rPr>
          <w:rFonts w:ascii="Arial" w:hAnsi="Arial" w:cs="Arial"/>
          <w:highlight w:val="yellow"/>
          <w:lang w:val="es-ES_tradnl"/>
        </w:rPr>
        <w:t xml:space="preserve">mayores de 65 años </w:t>
      </w:r>
      <w:r w:rsidRPr="00E341FE">
        <w:rPr>
          <w:rFonts w:ascii="Arial" w:hAnsi="Arial" w:cs="Arial"/>
          <w:highlight w:val="yellow"/>
          <w:lang w:val="es-ES_tradnl"/>
        </w:rPr>
        <w:t>tratados</w:t>
      </w:r>
      <w:r>
        <w:rPr>
          <w:rFonts w:ascii="Arial" w:hAnsi="Arial" w:cs="Arial"/>
          <w:highlight w:val="yellow"/>
          <w:lang w:val="es-ES_tradnl"/>
        </w:rPr>
        <w:t xml:space="preserve"> en 2016.</w:t>
      </w:r>
      <w:r w:rsidRPr="00E341FE">
        <w:rPr>
          <w:rFonts w:ascii="Arial" w:hAnsi="Arial" w:cs="Arial"/>
          <w:highlight w:val="yellow"/>
          <w:lang w:val="es-ES_tradnl"/>
        </w:rPr>
        <w:t xml:space="preserve"> </w:t>
      </w:r>
      <w:r>
        <w:rPr>
          <w:rFonts w:ascii="Arial" w:hAnsi="Arial" w:cs="Arial"/>
          <w:highlight w:val="yellow"/>
          <w:lang w:val="es-ES_tradnl"/>
        </w:rPr>
        <w:t>A</w:t>
      </w:r>
      <w:r w:rsidRPr="00E341FE">
        <w:rPr>
          <w:rFonts w:ascii="Arial" w:hAnsi="Arial" w:cs="Arial"/>
          <w:highlight w:val="yellow"/>
          <w:lang w:val="es-ES_tradnl"/>
        </w:rPr>
        <w:t xml:space="preserve"> 1.529 (16</w:t>
      </w:r>
      <w:r>
        <w:rPr>
          <w:rFonts w:ascii="Arial" w:hAnsi="Arial" w:cs="Arial"/>
          <w:highlight w:val="yellow"/>
          <w:lang w:val="es-ES_tradnl"/>
        </w:rPr>
        <w:t>,</w:t>
      </w:r>
      <w:r w:rsidRPr="00E341FE">
        <w:rPr>
          <w:rFonts w:ascii="Arial" w:hAnsi="Arial" w:cs="Arial"/>
          <w:highlight w:val="yellow"/>
          <w:lang w:val="es-ES_tradnl"/>
        </w:rPr>
        <w:t>8%) se les estaba prescribiendo concomitantemente un fármaco contraindicado. Esta situación tuvo un coste adicional de 2.693 dólares por año</w:t>
      </w:r>
      <w:r>
        <w:rPr>
          <w:rFonts w:ascii="Arial" w:hAnsi="Arial" w:cs="Arial"/>
          <w:highlight w:val="yellow"/>
          <w:lang w:val="es-ES_tradnl"/>
        </w:rPr>
        <w:t xml:space="preserve"> de seguimiento</w:t>
      </w:r>
      <w:r w:rsidRPr="00E341FE">
        <w:rPr>
          <w:rFonts w:ascii="Arial" w:hAnsi="Arial" w:cs="Arial"/>
          <w:highlight w:val="yellow"/>
          <w:lang w:val="es-ES_tradnl"/>
        </w:rPr>
        <w:t>. La utilización de DTG o RAL se asoció a un menor riesgo de interacci</w:t>
      </w:r>
      <w:r>
        <w:rPr>
          <w:rFonts w:ascii="Arial" w:hAnsi="Arial" w:cs="Arial"/>
          <w:highlight w:val="yellow"/>
          <w:lang w:val="es-ES_tradnl"/>
        </w:rPr>
        <w:t>o</w:t>
      </w:r>
      <w:r w:rsidRPr="00E341FE">
        <w:rPr>
          <w:rFonts w:ascii="Arial" w:hAnsi="Arial" w:cs="Arial"/>
          <w:highlight w:val="yellow"/>
          <w:lang w:val="es-ES_tradnl"/>
        </w:rPr>
        <w:t>nes</w:t>
      </w:r>
      <w:r>
        <w:rPr>
          <w:rFonts w:ascii="Arial" w:hAnsi="Arial" w:cs="Arial"/>
          <w:highlight w:val="yellow"/>
          <w:lang w:val="es-ES_tradnl"/>
        </w:rPr>
        <w:t xml:space="preserve"> </w:t>
      </w:r>
      <w:r w:rsidRPr="00122AFE">
        <w:rPr>
          <w:rFonts w:ascii="Arial" w:hAnsi="Arial" w:cs="Arial"/>
          <w:highlight w:val="yellow"/>
        </w:rPr>
        <w:t>(OR ajustado= 0,02, IC 95%, 0,005 a 0,050), en com</w:t>
      </w:r>
      <w:r>
        <w:rPr>
          <w:rFonts w:ascii="Arial" w:hAnsi="Arial" w:cs="Arial"/>
          <w:highlight w:val="yellow"/>
        </w:rPr>
        <w:t>paración con el uso de un ITINN</w:t>
      </w:r>
      <w:r>
        <w:rPr>
          <w:rFonts w:ascii="Arial" w:hAnsi="Arial" w:cs="Arial"/>
          <w:highlight w:val="yellow"/>
          <w:lang w:val="es-ES_tradnl"/>
        </w:rPr>
        <w:t xml:space="preserve">, mientras que </w:t>
      </w:r>
      <w:r w:rsidRPr="00E341FE">
        <w:rPr>
          <w:rFonts w:ascii="Arial" w:hAnsi="Arial" w:cs="Arial"/>
          <w:highlight w:val="yellow"/>
          <w:lang w:val="es-ES_tradnl"/>
        </w:rPr>
        <w:t xml:space="preserve">el uso de agentes potenciados </w:t>
      </w:r>
      <w:r>
        <w:rPr>
          <w:rFonts w:ascii="Arial" w:hAnsi="Arial" w:cs="Arial"/>
          <w:highlight w:val="yellow"/>
          <w:lang w:val="es-ES_tradnl"/>
        </w:rPr>
        <w:t xml:space="preserve">(IPp o EVG/c) </w:t>
      </w:r>
      <w:r w:rsidRPr="00E341FE">
        <w:rPr>
          <w:rFonts w:ascii="Arial" w:hAnsi="Arial" w:cs="Arial"/>
          <w:highlight w:val="yellow"/>
          <w:lang w:val="es-ES_tradnl"/>
        </w:rPr>
        <w:t>aument</w:t>
      </w:r>
      <w:r>
        <w:rPr>
          <w:rFonts w:ascii="Arial" w:hAnsi="Arial" w:cs="Arial"/>
          <w:highlight w:val="yellow"/>
          <w:lang w:val="es-ES_tradnl"/>
        </w:rPr>
        <w:t>ó significativamente</w:t>
      </w:r>
      <w:r w:rsidRPr="00E341FE">
        <w:rPr>
          <w:rFonts w:ascii="Arial" w:hAnsi="Arial" w:cs="Arial"/>
          <w:highlight w:val="yellow"/>
          <w:lang w:val="es-ES_tradnl"/>
        </w:rPr>
        <w:t xml:space="preserve"> el riesgo de interacciones </w:t>
      </w:r>
      <w:r w:rsidRPr="00122AFE">
        <w:rPr>
          <w:rFonts w:ascii="Arial" w:hAnsi="Arial" w:cs="Arial"/>
          <w:highlight w:val="yellow"/>
        </w:rPr>
        <w:t>(OR ajustado=4,12; IC 95%, 3,34 a 5,10).</w:t>
      </w:r>
      <w:r>
        <w:rPr>
          <w:rFonts w:ascii="Arial" w:hAnsi="Arial" w:cs="Arial"/>
          <w:lang w:val="es-ES_tradnl"/>
        </w:rPr>
        <w:t xml:space="preserve"> </w:t>
      </w:r>
    </w:p>
    <w:p w14:paraId="601968D0"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 xml:space="preserve">Existen diversas páginas web que permiten consultar posibles </w:t>
      </w:r>
      <w:r w:rsidRPr="00A90BE8">
        <w:rPr>
          <w:rFonts w:ascii="Arial" w:hAnsi="Arial" w:cs="Arial"/>
          <w:lang w:val="es-ES_tradnl"/>
        </w:rPr>
        <w:t>interacciones</w:t>
      </w:r>
      <w:r>
        <w:rPr>
          <w:rFonts w:ascii="Arial" w:hAnsi="Arial" w:cs="Arial"/>
          <w:lang w:val="es-ES_tradnl"/>
        </w:rPr>
        <w:t>:</w:t>
      </w:r>
      <w:r>
        <w:rPr>
          <w:rFonts w:ascii="Arial" w:hAnsi="Arial" w:cs="Arial"/>
          <w:noProof/>
          <w:vertAlign w:val="superscript"/>
        </w:rPr>
        <w:t>5-8</w:t>
      </w:r>
    </w:p>
    <w:p w14:paraId="49D6CDA0" w14:textId="77777777" w:rsidR="00F4249F" w:rsidRPr="003F3B0A" w:rsidRDefault="00A11D02" w:rsidP="00F4249F">
      <w:pPr>
        <w:spacing w:before="120" w:after="120" w:line="276" w:lineRule="auto"/>
        <w:ind w:firstLine="708"/>
        <w:jc w:val="both"/>
        <w:rPr>
          <w:rFonts w:ascii="Arial" w:hAnsi="Arial" w:cs="Arial"/>
          <w:lang w:val="es-ES_tradnl"/>
        </w:rPr>
      </w:pPr>
      <w:hyperlink r:id="rId36" w:history="1">
        <w:r w:rsidR="00F4249F" w:rsidRPr="003F3B0A">
          <w:rPr>
            <w:rStyle w:val="Hipervnculo"/>
            <w:rFonts w:ascii="Arial" w:hAnsi="Arial" w:cs="Arial"/>
            <w:lang w:val="es-ES_tradnl"/>
          </w:rPr>
          <w:t>http://app.hivclinic.ca</w:t>
        </w:r>
      </w:hyperlink>
      <w:r w:rsidR="00F4249F" w:rsidRPr="003F3B0A">
        <w:rPr>
          <w:rFonts w:ascii="Arial" w:hAnsi="Arial" w:cs="Arial"/>
          <w:lang w:val="es-ES_tradnl"/>
        </w:rPr>
        <w:t xml:space="preserve">, </w:t>
      </w:r>
    </w:p>
    <w:p w14:paraId="509B59B3" w14:textId="77777777" w:rsidR="00F4249F" w:rsidRPr="003F3B0A" w:rsidRDefault="00A11D02" w:rsidP="00F4249F">
      <w:pPr>
        <w:spacing w:before="120" w:after="120" w:line="276" w:lineRule="auto"/>
        <w:ind w:firstLine="708"/>
        <w:jc w:val="both"/>
        <w:rPr>
          <w:rFonts w:ascii="Arial" w:hAnsi="Arial" w:cs="Arial"/>
          <w:lang w:val="es-ES_tradnl"/>
        </w:rPr>
      </w:pPr>
      <w:hyperlink r:id="rId37" w:history="1">
        <w:r w:rsidR="00F4249F" w:rsidRPr="003F3B0A">
          <w:rPr>
            <w:rStyle w:val="Hipervnculo"/>
            <w:rFonts w:ascii="Arial" w:hAnsi="Arial" w:cs="Arial"/>
            <w:lang w:val="es-ES_tradnl"/>
          </w:rPr>
          <w:t>http://www.hiv-druginteractions.org</w:t>
        </w:r>
      </w:hyperlink>
      <w:r w:rsidR="00F4249F" w:rsidRPr="003F3B0A">
        <w:rPr>
          <w:rFonts w:ascii="Arial" w:hAnsi="Arial" w:cs="Arial"/>
          <w:lang w:val="es-ES_tradnl"/>
        </w:rPr>
        <w:t xml:space="preserve"> </w:t>
      </w:r>
    </w:p>
    <w:p w14:paraId="72CD1B6A" w14:textId="77777777" w:rsidR="00F4249F" w:rsidRPr="003F3B0A" w:rsidRDefault="00A11D02" w:rsidP="00F4249F">
      <w:pPr>
        <w:spacing w:before="120" w:after="120" w:line="276" w:lineRule="auto"/>
        <w:ind w:firstLine="708"/>
        <w:jc w:val="both"/>
        <w:rPr>
          <w:rFonts w:ascii="Arial" w:hAnsi="Arial" w:cs="Arial"/>
          <w:lang w:val="es-ES_tradnl"/>
        </w:rPr>
      </w:pPr>
      <w:hyperlink r:id="rId38" w:history="1">
        <w:r w:rsidR="00F4249F" w:rsidRPr="003F3B0A">
          <w:rPr>
            <w:rStyle w:val="Hipervnculo"/>
            <w:rFonts w:ascii="Arial" w:hAnsi="Arial" w:cs="Arial"/>
            <w:lang w:val="es-ES_tradnl"/>
          </w:rPr>
          <w:t>http://www.hivmedicationguide.com/</w:t>
        </w:r>
      </w:hyperlink>
      <w:r w:rsidR="00F4249F" w:rsidRPr="003F3B0A">
        <w:rPr>
          <w:rFonts w:ascii="Arial" w:hAnsi="Arial" w:cs="Arial"/>
          <w:lang w:val="es-ES_tradnl"/>
        </w:rPr>
        <w:t xml:space="preserve">, </w:t>
      </w:r>
    </w:p>
    <w:p w14:paraId="41A1A738" w14:textId="77777777" w:rsidR="00F4249F" w:rsidRPr="003F3B0A" w:rsidRDefault="00A11D02" w:rsidP="00F4249F">
      <w:pPr>
        <w:spacing w:before="120" w:after="120" w:line="276" w:lineRule="auto"/>
        <w:ind w:firstLine="708"/>
        <w:jc w:val="both"/>
        <w:rPr>
          <w:rFonts w:ascii="Arial" w:hAnsi="Arial" w:cs="Arial"/>
        </w:rPr>
      </w:pPr>
      <w:hyperlink r:id="rId39" w:history="1">
        <w:r w:rsidR="00F4249F" w:rsidRPr="003F3B0A">
          <w:rPr>
            <w:rStyle w:val="Hipervnculo"/>
            <w:rFonts w:ascii="Arial" w:hAnsi="Arial" w:cs="Arial"/>
          </w:rPr>
          <w:t>http://www.interaccionesvih.com</w:t>
        </w:r>
      </w:hyperlink>
      <w:r w:rsidR="00F4249F" w:rsidRPr="003F3B0A">
        <w:rPr>
          <w:rFonts w:ascii="Arial" w:hAnsi="Arial" w:cs="Arial"/>
        </w:rPr>
        <w:t xml:space="preserve">. </w:t>
      </w:r>
    </w:p>
    <w:p w14:paraId="7198F6F8"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 xml:space="preserve">Debido a que la información científica se renueva constantemente, se recomienda consultar también la ficha técnica y la </w:t>
      </w:r>
      <w:r w:rsidRPr="008403AB">
        <w:rPr>
          <w:rFonts w:ascii="Arial" w:hAnsi="Arial" w:cs="Arial"/>
          <w:lang w:val="es-ES_tradnl"/>
        </w:rPr>
        <w:t>información actualizada por las compañías farmacéuticas y las autoridades sanitarias</w:t>
      </w:r>
      <w:r>
        <w:rPr>
          <w:rFonts w:ascii="Arial" w:hAnsi="Arial" w:cs="Arial"/>
          <w:lang w:val="es-ES_tradnl"/>
        </w:rPr>
        <w:t>: Agencia Europea del Medicamento-EMA_ (</w:t>
      </w:r>
      <w:hyperlink r:id="rId40" w:history="1">
        <w:r w:rsidRPr="00BB7AB5">
          <w:rPr>
            <w:rFonts w:ascii="Arial" w:hAnsi="Arial" w:cs="Arial"/>
            <w:lang w:val="es-ES_tradnl"/>
          </w:rPr>
          <w:t>https://www.ema.europa.eu/en/medicines</w:t>
        </w:r>
      </w:hyperlink>
      <w:r>
        <w:rPr>
          <w:rFonts w:ascii="Arial" w:hAnsi="Arial" w:cs="Arial"/>
          <w:lang w:val="es-ES_tradnl"/>
        </w:rPr>
        <w:t>) y FDA (</w:t>
      </w:r>
      <w:r w:rsidRPr="00BB7AB5">
        <w:rPr>
          <w:rFonts w:ascii="Arial" w:hAnsi="Arial" w:cs="Arial"/>
          <w:lang w:val="es-ES_tradnl"/>
        </w:rPr>
        <w:t>http://www.accessdata.fda.gov/scripts/cder/drugsat</w:t>
      </w:r>
      <w:r>
        <w:rPr>
          <w:rFonts w:ascii="Arial" w:hAnsi="Arial" w:cs="Arial"/>
          <w:lang w:val="es-ES_tradnl"/>
        </w:rPr>
        <w:t>fda/</w:t>
      </w:r>
      <w:r w:rsidRPr="00BB7AB5">
        <w:rPr>
          <w:rFonts w:ascii="Arial" w:hAnsi="Arial" w:cs="Arial"/>
          <w:lang w:val="es-ES_tradnl"/>
        </w:rPr>
        <w:t>)</w:t>
      </w:r>
      <w:r>
        <w:rPr>
          <w:rFonts w:ascii="Arial" w:hAnsi="Arial" w:cs="Arial"/>
          <w:lang w:val="es-ES_tradnl"/>
        </w:rPr>
        <w:t>.</w:t>
      </w:r>
      <w:r w:rsidRPr="00BB7AB5">
        <w:rPr>
          <w:rFonts w:ascii="Arial" w:hAnsi="Arial" w:cs="Arial"/>
          <w:lang w:val="es-ES_tradnl"/>
        </w:rPr>
        <w:t xml:space="preserve"> </w:t>
      </w:r>
    </w:p>
    <w:p w14:paraId="144769F4"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lastRenderedPageBreak/>
        <w:t xml:space="preserve">Las interacciones más relevantes </w:t>
      </w:r>
      <w:r>
        <w:rPr>
          <w:rFonts w:ascii="Arial" w:hAnsi="Arial" w:cs="Arial"/>
          <w:lang w:val="es-ES_tradnl"/>
        </w:rPr>
        <w:t>son</w:t>
      </w:r>
      <w:r w:rsidRPr="003F3B0A">
        <w:rPr>
          <w:rFonts w:ascii="Arial" w:hAnsi="Arial" w:cs="Arial"/>
          <w:lang w:val="es-ES_tradnl"/>
        </w:rPr>
        <w:t xml:space="preserve"> las farmacocinéticas (dan lugar a una modificación de concentraciones), en especial las que afectan al metabolismo. Los FAR son sustratos de uno o varios sistemas enzimáticos y a la vez pueden comportarse como inductores y/o inhibidores de los mismos. La inducción producirá una disminución de las concentraciones del otro fármaco (sustrato), pudiendo disminuir su eficacia. La inhibición ocasionará un aumento de las concentraciones, lo que supone un mayor riesgo de toxicidad. En general, la inducción es un proceso lento (días o semanas), mientras que la inhibición se produce rápidamente (horas). Algunos FAR pueden ser inhibidores e inductores al mismo tiempo, predominando uno u otro efecto.</w:t>
      </w:r>
    </w:p>
    <w:p w14:paraId="12B871D0"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El sistema metabólico más importante es el citocromo P450 (CYP) y su principal isoenzima CYP3A4. Muchos FAR, especialmente los IP</w:t>
      </w:r>
      <w:r w:rsidRPr="003C7D3C">
        <w:rPr>
          <w:rFonts w:ascii="Arial" w:hAnsi="Arial" w:cs="Arial"/>
          <w:highlight w:val="yellow"/>
          <w:lang w:val="es-ES_tradnl"/>
        </w:rPr>
        <w:t>/p</w:t>
      </w:r>
      <w:r>
        <w:rPr>
          <w:rFonts w:ascii="Arial" w:hAnsi="Arial" w:cs="Arial"/>
          <w:lang w:val="es-ES_tradnl"/>
        </w:rPr>
        <w:t xml:space="preserve">, </w:t>
      </w:r>
      <w:r w:rsidRPr="008403AB">
        <w:rPr>
          <w:rFonts w:ascii="Arial" w:hAnsi="Arial" w:cs="Arial"/>
          <w:highlight w:val="yellow"/>
          <w:lang w:val="es-ES_tradnl"/>
        </w:rPr>
        <w:t>EVG/c</w:t>
      </w:r>
      <w:r w:rsidRPr="003F3B0A">
        <w:rPr>
          <w:rFonts w:ascii="Arial" w:hAnsi="Arial" w:cs="Arial"/>
          <w:lang w:val="es-ES_tradnl"/>
        </w:rPr>
        <w:t xml:space="preserve"> e ITINN, y otros medicamentos que a menudo toman los pacientes, son sustratos, inhibidores o inductores del CYP. La potente inhibición enzimática que producen RTV y COBI sobre CYP3A4 se utiliza para potenciar otros FAR, pero su acción sobre otros isoenzimas puede diferir. COBI, a diferencia de RTV, no presenta actividad antirretroviral ni es inductor enzimático. </w:t>
      </w:r>
    </w:p>
    <w:p w14:paraId="48F2E691"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Otra vía metabólica es la conjugación de los FAR o de sus metabolitos con otros productos, por ejemplo, la glucuronidación (UDPGT). Diversos FAR son inductores o inhibidores de UDPGT. RTV inhibe varias subfamilias del CYP y es inductor de UDPGT, mientras que ATV inhibe tanto CYP como UDPGT.</w:t>
      </w:r>
    </w:p>
    <w:p w14:paraId="298436BF" w14:textId="77777777" w:rsidR="00F4249F" w:rsidRDefault="00F4249F" w:rsidP="00F4249F">
      <w:pPr>
        <w:spacing w:before="120" w:after="120" w:line="276" w:lineRule="auto"/>
        <w:jc w:val="both"/>
        <w:rPr>
          <w:rFonts w:ascii="Arial" w:hAnsi="Arial" w:cs="Arial"/>
        </w:rPr>
      </w:pPr>
      <w:r w:rsidRPr="003F3B0A">
        <w:rPr>
          <w:rFonts w:ascii="Arial" w:hAnsi="Arial" w:cs="Arial"/>
          <w:lang w:val="es-ES_tradnl"/>
        </w:rPr>
        <w:t xml:space="preserve">Ciertos transportadores, como la glicoproteína-P (P-gp), </w:t>
      </w:r>
      <w:r w:rsidRPr="003F3B0A">
        <w:rPr>
          <w:rFonts w:ascii="Arial" w:hAnsi="Arial" w:cs="Arial"/>
        </w:rPr>
        <w:t xml:space="preserve">OATP, OCT2 y MATE1, entre otros, </w:t>
      </w:r>
      <w:r w:rsidRPr="003F3B0A">
        <w:rPr>
          <w:rFonts w:ascii="Arial" w:hAnsi="Arial" w:cs="Arial"/>
          <w:lang w:val="es-ES_tradnl"/>
        </w:rPr>
        <w:t>pueden alterar la biodisponibilidad de algunos FAR y su distribución por el organismo. Estos transportadores pueden ser también inducidos o inhibidos por diversos fármacos (</w:t>
      </w:r>
      <w:r w:rsidRPr="003F3B0A">
        <w:rPr>
          <w:rFonts w:ascii="Arial" w:hAnsi="Arial" w:cs="Arial"/>
        </w:rPr>
        <w:t xml:space="preserve">puede encontrarse información sobre transportadores en la web </w:t>
      </w:r>
      <w:hyperlink r:id="rId41" w:history="1">
        <w:r w:rsidRPr="003C7D3C">
          <w:rPr>
            <w:rStyle w:val="Hipervnculo"/>
            <w:rFonts w:ascii="Arial" w:eastAsia="MS Mincho" w:hAnsi="Arial" w:cs="Arial"/>
          </w:rPr>
          <w:t>http://dbts.ucsf.edu/fdatransportal</w:t>
        </w:r>
      </w:hyperlink>
      <w:r w:rsidRPr="003F3B0A">
        <w:rPr>
          <w:rFonts w:ascii="Arial" w:hAnsi="Arial" w:cs="Arial"/>
        </w:rPr>
        <w:t xml:space="preserve">). </w:t>
      </w:r>
    </w:p>
    <w:p w14:paraId="503510B5"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 xml:space="preserve">Algunas interacciones farmacodinámicas (modificación del efecto, sin cambios en las concentraciones) tienen interés clínico. Algunos ejemplos son el incremento de toxicidad renal al </w:t>
      </w:r>
      <w:r>
        <w:rPr>
          <w:rFonts w:ascii="Arial" w:hAnsi="Arial" w:cs="Arial"/>
        </w:rPr>
        <w:t>asociar</w:t>
      </w:r>
      <w:r w:rsidRPr="003F3B0A">
        <w:rPr>
          <w:rFonts w:ascii="Arial" w:hAnsi="Arial" w:cs="Arial"/>
        </w:rPr>
        <w:t xml:space="preserve"> </w:t>
      </w:r>
      <w:r>
        <w:rPr>
          <w:rFonts w:ascii="Arial" w:hAnsi="Arial" w:cs="Arial"/>
        </w:rPr>
        <w:t xml:space="preserve">fármacos </w:t>
      </w:r>
      <w:r w:rsidRPr="003F3B0A">
        <w:rPr>
          <w:rFonts w:ascii="Arial" w:hAnsi="Arial" w:cs="Arial"/>
        </w:rPr>
        <w:t xml:space="preserve">nefrotóxicos </w:t>
      </w:r>
      <w:r>
        <w:rPr>
          <w:rFonts w:ascii="Arial" w:hAnsi="Arial" w:cs="Arial"/>
        </w:rPr>
        <w:t xml:space="preserve">con </w:t>
      </w:r>
      <w:r w:rsidRPr="003F3B0A">
        <w:rPr>
          <w:rFonts w:ascii="Arial" w:hAnsi="Arial" w:cs="Arial"/>
        </w:rPr>
        <w:t xml:space="preserve">tenofovir </w:t>
      </w:r>
      <w:r>
        <w:rPr>
          <w:rFonts w:ascii="Arial" w:hAnsi="Arial" w:cs="Arial"/>
        </w:rPr>
        <w:t>o la asociación de</w:t>
      </w:r>
      <w:r w:rsidRPr="003F3B0A">
        <w:rPr>
          <w:rFonts w:ascii="Arial" w:hAnsi="Arial" w:cs="Arial"/>
        </w:rPr>
        <w:t xml:space="preserve"> medicamentos que pueden prolongar el QTc.</w:t>
      </w:r>
    </w:p>
    <w:p w14:paraId="1ECEC8FF" w14:textId="77777777" w:rsidR="00F4249F" w:rsidRPr="003F3B0A" w:rsidRDefault="00F4249F" w:rsidP="00F4249F">
      <w:pPr>
        <w:spacing w:before="120" w:after="120" w:line="276" w:lineRule="auto"/>
        <w:jc w:val="both"/>
        <w:rPr>
          <w:rFonts w:ascii="Arial" w:hAnsi="Arial" w:cs="Arial"/>
          <w:lang w:val="es-ES_tradnl"/>
        </w:rPr>
      </w:pPr>
      <w:r w:rsidRPr="003F3B0A">
        <w:rPr>
          <w:rFonts w:ascii="Arial" w:hAnsi="Arial" w:cs="Arial"/>
          <w:lang w:val="es-ES_tradnl"/>
        </w:rPr>
        <w:t xml:space="preserve">En la Tabla 9 se </w:t>
      </w:r>
      <w:r>
        <w:rPr>
          <w:rFonts w:ascii="Arial" w:hAnsi="Arial" w:cs="Arial"/>
          <w:lang w:val="es-ES_tradnl"/>
        </w:rPr>
        <w:t>indican</w:t>
      </w:r>
      <w:r w:rsidRPr="003F3B0A">
        <w:rPr>
          <w:rFonts w:ascii="Arial" w:hAnsi="Arial" w:cs="Arial"/>
          <w:lang w:val="es-ES_tradnl"/>
        </w:rPr>
        <w:t xml:space="preserve"> las interacciones de mayor gravedad (contraindicadas o no recomendadas) de los FAR </w:t>
      </w:r>
      <w:r w:rsidRPr="00932D9E">
        <w:rPr>
          <w:rFonts w:ascii="Arial" w:hAnsi="Arial" w:cs="Arial"/>
          <w:strike/>
          <w:highlight w:val="yellow"/>
          <w:lang w:val="es-ES_tradnl"/>
        </w:rPr>
        <w:t>recomendados en estas guías como terapia de inicio</w:t>
      </w:r>
      <w:r>
        <w:rPr>
          <w:rFonts w:ascii="Arial" w:hAnsi="Arial" w:cs="Arial"/>
          <w:lang w:val="es-ES_tradnl"/>
        </w:rPr>
        <w:t xml:space="preserve"> </w:t>
      </w:r>
      <w:r w:rsidRPr="00B80DC6">
        <w:rPr>
          <w:rFonts w:ascii="Arial" w:hAnsi="Arial" w:cs="Arial"/>
          <w:highlight w:val="yellow"/>
          <w:lang w:val="es-ES_tradnl"/>
        </w:rPr>
        <w:t xml:space="preserve">más empleados </w:t>
      </w:r>
      <w:r w:rsidRPr="00AE3A8F">
        <w:rPr>
          <w:rFonts w:ascii="Arial" w:hAnsi="Arial" w:cs="Arial"/>
          <w:highlight w:val="yellow"/>
          <w:lang w:val="es-ES_tradnl"/>
        </w:rPr>
        <w:t>actualmente</w:t>
      </w:r>
      <w:r w:rsidRPr="003F3B0A">
        <w:rPr>
          <w:rFonts w:ascii="Arial" w:hAnsi="Arial" w:cs="Arial"/>
          <w:lang w:val="es-ES_tradnl"/>
        </w:rPr>
        <w:t xml:space="preserve">. Para ello se han revisado 3 webs </w:t>
      </w:r>
      <w:r>
        <w:rPr>
          <w:rFonts w:ascii="Arial" w:hAnsi="Arial" w:cs="Arial"/>
          <w:lang w:val="es-ES_tradnl"/>
        </w:rPr>
        <w:t>de</w:t>
      </w:r>
      <w:r w:rsidRPr="003F3B0A">
        <w:rPr>
          <w:rFonts w:ascii="Arial" w:hAnsi="Arial" w:cs="Arial"/>
          <w:lang w:val="es-ES_tradnl"/>
        </w:rPr>
        <w:t xml:space="preserve"> interacciones del </w:t>
      </w:r>
      <w:r>
        <w:rPr>
          <w:rFonts w:ascii="Arial" w:hAnsi="Arial" w:cs="Arial"/>
          <w:lang w:val="es-ES_tradnl"/>
        </w:rPr>
        <w:t>TAR</w:t>
      </w:r>
      <w:r>
        <w:rPr>
          <w:rFonts w:ascii="Arial" w:hAnsi="Arial" w:cs="Arial"/>
          <w:noProof/>
          <w:vertAlign w:val="superscript"/>
          <w:lang w:val="es-ES_tradnl"/>
        </w:rPr>
        <w:t xml:space="preserve">5,6,8 </w:t>
      </w:r>
      <w:r>
        <w:rPr>
          <w:rFonts w:ascii="Arial" w:hAnsi="Arial" w:cs="Arial"/>
          <w:lang w:val="es-ES_tradnl"/>
        </w:rPr>
        <w:t>y s</w:t>
      </w:r>
      <w:r w:rsidRPr="003F3B0A">
        <w:rPr>
          <w:rFonts w:ascii="Arial" w:hAnsi="Arial" w:cs="Arial"/>
          <w:lang w:val="es-ES_tradnl"/>
        </w:rPr>
        <w:t xml:space="preserve">e han seleccionado </w:t>
      </w:r>
      <w:r>
        <w:rPr>
          <w:rFonts w:ascii="Arial" w:hAnsi="Arial" w:cs="Arial"/>
          <w:lang w:val="es-ES_tradnl"/>
        </w:rPr>
        <w:t>las</w:t>
      </w:r>
      <w:r w:rsidRPr="003F3B0A">
        <w:rPr>
          <w:rFonts w:ascii="Arial" w:hAnsi="Arial" w:cs="Arial"/>
          <w:lang w:val="es-ES_tradnl"/>
        </w:rPr>
        <w:t xml:space="preserve"> interacciones </w:t>
      </w:r>
      <w:r>
        <w:rPr>
          <w:rFonts w:ascii="Arial" w:hAnsi="Arial" w:cs="Arial"/>
          <w:lang w:val="es-ES_tradnl"/>
        </w:rPr>
        <w:t>graves en alguna de ellas. Se han revisado también las</w:t>
      </w:r>
      <w:r w:rsidRPr="003F3B0A">
        <w:rPr>
          <w:rFonts w:ascii="Arial" w:hAnsi="Arial" w:cs="Arial"/>
          <w:lang w:val="es-ES_tradnl"/>
        </w:rPr>
        <w:t xml:space="preserve"> fichas técnicas</w:t>
      </w:r>
      <w:r>
        <w:rPr>
          <w:rFonts w:ascii="Arial" w:hAnsi="Arial" w:cs="Arial"/>
          <w:lang w:val="es-ES_tradnl"/>
        </w:rPr>
        <w:t xml:space="preserve"> del TAR y, en caso de duda, las </w:t>
      </w:r>
      <w:r w:rsidRPr="003F3B0A">
        <w:rPr>
          <w:rFonts w:ascii="Arial" w:hAnsi="Arial" w:cs="Arial"/>
          <w:lang w:val="es-ES_tradnl"/>
        </w:rPr>
        <w:t xml:space="preserve">del fármaco asociado y la </w:t>
      </w:r>
      <w:r>
        <w:rPr>
          <w:rFonts w:ascii="Arial" w:hAnsi="Arial" w:cs="Arial"/>
          <w:lang w:val="es-ES_tradnl"/>
        </w:rPr>
        <w:t xml:space="preserve">web </w:t>
      </w:r>
      <w:r w:rsidRPr="003F3B0A">
        <w:rPr>
          <w:rFonts w:ascii="Arial" w:hAnsi="Arial" w:cs="Arial"/>
          <w:lang w:val="es-ES_tradnl"/>
        </w:rPr>
        <w:t>de Montreal</w:t>
      </w:r>
      <w:r>
        <w:rPr>
          <w:rFonts w:ascii="Arial" w:hAnsi="Arial" w:cs="Arial"/>
          <w:noProof/>
          <w:vertAlign w:val="superscript"/>
          <w:lang w:val="es-ES_tradnl"/>
        </w:rPr>
        <w:t>7</w:t>
      </w:r>
      <w:r>
        <w:rPr>
          <w:rFonts w:ascii="Arial" w:hAnsi="Arial" w:cs="Arial"/>
          <w:lang w:val="es-ES_tradnl"/>
        </w:rPr>
        <w:t xml:space="preserve"> </w:t>
      </w:r>
      <w:r w:rsidRPr="003F3B0A">
        <w:rPr>
          <w:rFonts w:ascii="Arial" w:hAnsi="Arial" w:cs="Arial"/>
          <w:lang w:val="es-ES_tradnl"/>
        </w:rPr>
        <w:t xml:space="preserve">(tabla 11). Las recomendaciones dudosas se han consensuado con un panel de expertos. </w:t>
      </w:r>
    </w:p>
    <w:p w14:paraId="7E019EEC" w14:textId="77777777" w:rsidR="00F4249F" w:rsidRDefault="00F4249F" w:rsidP="00F4249F">
      <w:pPr>
        <w:spacing w:before="120" w:after="120" w:line="276" w:lineRule="auto"/>
        <w:jc w:val="both"/>
        <w:rPr>
          <w:rFonts w:ascii="Arial" w:hAnsi="Arial" w:cs="Arial"/>
          <w:noProof/>
          <w:vertAlign w:val="superscript"/>
          <w:lang w:val="es-ES_tradnl"/>
        </w:rPr>
      </w:pPr>
      <w:r w:rsidRPr="003F3B0A">
        <w:rPr>
          <w:rFonts w:ascii="Arial" w:hAnsi="Arial" w:cs="Arial"/>
          <w:lang w:val="es-ES_tradnl"/>
        </w:rPr>
        <w:t>Se han descrito interacciones importantes para el tratamiento del VHC y los FAR, que pueden consultarse en páginas web específicas</w:t>
      </w:r>
      <w:r w:rsidRPr="003F3B0A">
        <w:rPr>
          <w:rFonts w:ascii="Arial" w:hAnsi="Arial" w:cs="Arial"/>
          <w:noProof/>
          <w:vertAlign w:val="superscript"/>
          <w:lang w:val="es-ES_tradnl"/>
        </w:rPr>
        <w:t xml:space="preserve"> </w:t>
      </w:r>
      <w:hyperlink r:id="rId42" w:history="1">
        <w:r w:rsidRPr="003F3B0A">
          <w:rPr>
            <w:rStyle w:val="Hipervnculo"/>
            <w:rFonts w:ascii="Arial" w:hAnsi="Arial" w:cs="Arial"/>
          </w:rPr>
          <w:t>http://app.hivclinic.ca</w:t>
        </w:r>
      </w:hyperlink>
      <w:r>
        <w:rPr>
          <w:rFonts w:ascii="Arial" w:hAnsi="Arial" w:cs="Arial"/>
          <w:noProof/>
          <w:vertAlign w:val="superscript"/>
        </w:rPr>
        <w:t xml:space="preserve"> </w:t>
      </w:r>
      <w:r>
        <w:rPr>
          <w:rFonts w:ascii="Arial" w:hAnsi="Arial" w:cs="Arial"/>
          <w:vertAlign w:val="superscript"/>
        </w:rPr>
        <w:t>5</w:t>
      </w:r>
      <w:r w:rsidRPr="003C7D3C">
        <w:rPr>
          <w:rFonts w:ascii="Arial" w:hAnsi="Arial" w:cs="Arial"/>
        </w:rPr>
        <w:t>,</w:t>
      </w:r>
      <w:r w:rsidRPr="003F3B0A">
        <w:rPr>
          <w:rFonts w:ascii="Arial" w:hAnsi="Arial" w:cs="Arial"/>
        </w:rPr>
        <w:t xml:space="preserve">  </w:t>
      </w:r>
      <w:hyperlink r:id="rId43" w:history="1">
        <w:r w:rsidRPr="003F3B0A">
          <w:rPr>
            <w:rStyle w:val="Hipervnculo"/>
            <w:rFonts w:ascii="Arial" w:hAnsi="Arial" w:cs="Arial"/>
          </w:rPr>
          <w:t>http://www.hivmedicationguide.com/</w:t>
        </w:r>
      </w:hyperlink>
      <w:r>
        <w:rPr>
          <w:rStyle w:val="Hipervnculo"/>
          <w:rFonts w:ascii="Arial" w:hAnsi="Arial" w:cs="Arial"/>
        </w:rPr>
        <w:t xml:space="preserve"> </w:t>
      </w:r>
      <w:r>
        <w:rPr>
          <w:rFonts w:ascii="Arial" w:hAnsi="Arial" w:cs="Arial"/>
          <w:noProof/>
          <w:vertAlign w:val="superscript"/>
        </w:rPr>
        <w:t>7</w:t>
      </w:r>
      <w:r w:rsidRPr="003F3B0A">
        <w:rPr>
          <w:rFonts w:ascii="Arial" w:hAnsi="Arial" w:cs="Arial"/>
        </w:rPr>
        <w:t xml:space="preserve">,  </w:t>
      </w:r>
      <w:hyperlink r:id="rId44" w:history="1">
        <w:r w:rsidRPr="003F3B0A">
          <w:rPr>
            <w:rStyle w:val="Hipervnculo"/>
            <w:rFonts w:ascii="Arial" w:hAnsi="Arial" w:cs="Arial"/>
          </w:rPr>
          <w:t>http://www.hep-druginteractions.org/</w:t>
        </w:r>
      </w:hyperlink>
      <w:r w:rsidRPr="003C7D3C">
        <w:rPr>
          <w:rFonts w:ascii="Arial" w:hAnsi="Arial" w:cs="Arial"/>
          <w:lang w:val="es-ES_tradnl"/>
        </w:rPr>
        <w:t>,</w:t>
      </w:r>
      <w:r w:rsidRPr="003F3B0A">
        <w:rPr>
          <w:rFonts w:ascii="Arial" w:hAnsi="Arial" w:cs="Arial"/>
          <w:lang w:val="es-ES_tradnl"/>
        </w:rPr>
        <w:t xml:space="preserve"> así </w:t>
      </w:r>
      <w:r w:rsidRPr="003F3B0A">
        <w:rPr>
          <w:rFonts w:ascii="Arial" w:hAnsi="Arial" w:cs="Arial"/>
          <w:lang w:val="es-ES_tradnl"/>
        </w:rPr>
        <w:lastRenderedPageBreak/>
        <w:t>como en las recomendaciones elaboradas por la Agencia Española del Medicamento y Productos Sanitarios</w:t>
      </w:r>
      <w:r w:rsidRPr="006A3071">
        <w:rPr>
          <w:rFonts w:ascii="Arial" w:hAnsi="Arial" w:cs="Arial"/>
          <w:lang w:val="es-ES_tradnl"/>
        </w:rPr>
        <w:t>.</w:t>
      </w:r>
      <w:r w:rsidRPr="006A3071" w:rsidDel="00BB7AB5">
        <w:rPr>
          <w:rFonts w:ascii="Arial" w:hAnsi="Arial" w:cs="Arial"/>
          <w:noProof/>
          <w:vertAlign w:val="superscript"/>
          <w:lang w:val="es-ES_tradnl"/>
        </w:rPr>
        <w:t xml:space="preserve"> </w:t>
      </w:r>
    </w:p>
    <w:p w14:paraId="1F3ABE18" w14:textId="77777777" w:rsidR="00F4249F" w:rsidRPr="003F3B0A" w:rsidRDefault="00F4249F" w:rsidP="00F4249F">
      <w:pPr>
        <w:spacing w:before="120" w:after="120" w:line="276" w:lineRule="auto"/>
        <w:jc w:val="both"/>
        <w:rPr>
          <w:rFonts w:ascii="Arial" w:hAnsi="Arial" w:cs="Arial"/>
          <w:b/>
          <w:color w:val="006600"/>
          <w:lang w:val="es-ES_tradnl"/>
        </w:rPr>
      </w:pPr>
      <w:r w:rsidRPr="00655D62">
        <w:rPr>
          <w:rFonts w:ascii="Arial" w:hAnsi="Arial" w:cs="Arial"/>
          <w:highlight w:val="yellow"/>
          <w:lang w:val="es-ES_tradnl"/>
        </w:rPr>
        <w:t>Las estrategias multidisciplinares de control de fármacos que involucran a profesionales de medicina, enfermería y farmacia</w:t>
      </w:r>
      <w:r>
        <w:rPr>
          <w:rFonts w:ascii="Arial" w:hAnsi="Arial" w:cs="Arial"/>
          <w:highlight w:val="yellow"/>
          <w:vertAlign w:val="superscript"/>
          <w:lang w:val="es-ES_tradnl"/>
        </w:rPr>
        <w:t>9</w:t>
      </w:r>
      <w:r w:rsidRPr="00655D62">
        <w:rPr>
          <w:rFonts w:ascii="Arial" w:hAnsi="Arial" w:cs="Arial"/>
          <w:highlight w:val="yellow"/>
          <w:lang w:val="es-ES_tradnl"/>
        </w:rPr>
        <w:t xml:space="preserve"> o las aplicaciones para  dispositivos móviles pueden ser herramientas útiles para disminuir el riesgo de interacciones en pacientes </w:t>
      </w:r>
      <w:r>
        <w:rPr>
          <w:rFonts w:ascii="Arial" w:hAnsi="Arial" w:cs="Arial"/>
          <w:highlight w:val="yellow"/>
          <w:lang w:val="es-ES_tradnl"/>
        </w:rPr>
        <w:t xml:space="preserve">con el </w:t>
      </w:r>
      <w:r w:rsidRPr="00655D62">
        <w:rPr>
          <w:rFonts w:ascii="Arial" w:hAnsi="Arial" w:cs="Arial"/>
          <w:highlight w:val="yellow"/>
          <w:lang w:val="es-ES_tradnl"/>
        </w:rPr>
        <w:t xml:space="preserve">VIH tratados con </w:t>
      </w:r>
      <w:r w:rsidRPr="00AE3A8F">
        <w:rPr>
          <w:rFonts w:ascii="Arial" w:hAnsi="Arial" w:cs="Arial"/>
          <w:highlight w:val="yellow"/>
          <w:lang w:val="es-ES_tradnl"/>
        </w:rPr>
        <w:t>FAR.</w:t>
      </w:r>
      <w:r w:rsidRPr="00AE3A8F">
        <w:rPr>
          <w:rFonts w:ascii="Arial" w:hAnsi="Arial" w:cs="Arial"/>
          <w:highlight w:val="yellow"/>
          <w:vertAlign w:val="superscript"/>
          <w:lang w:val="es-ES_tradnl"/>
        </w:rPr>
        <w:t>5-8,10</w:t>
      </w:r>
      <w:r w:rsidRPr="003F3B0A" w:rsidDel="00602760">
        <w:rPr>
          <w:rFonts w:ascii="Arial" w:hAnsi="Arial" w:cs="Arial"/>
          <w:lang w:val="es-ES_tradnl"/>
        </w:rPr>
        <w:t xml:space="preserve"> </w:t>
      </w:r>
    </w:p>
    <w:p w14:paraId="2B9B6A06" w14:textId="77777777" w:rsidR="00F4249F" w:rsidRPr="003F3B0A" w:rsidRDefault="00F4249F" w:rsidP="00F4249F">
      <w:pPr>
        <w:spacing w:before="120" w:after="120" w:line="276" w:lineRule="auto"/>
        <w:jc w:val="both"/>
        <w:rPr>
          <w:rFonts w:ascii="Arial" w:hAnsi="Arial" w:cs="Arial"/>
          <w:b/>
          <w:color w:val="AE1C1F"/>
          <w:lang w:val="es-ES_tradnl"/>
        </w:rPr>
      </w:pPr>
      <w:r w:rsidRPr="003F3B0A">
        <w:rPr>
          <w:rFonts w:ascii="Arial" w:hAnsi="Arial" w:cs="Arial"/>
          <w:b/>
          <w:color w:val="AE1C1F"/>
          <w:lang w:val="es-ES_tradnl"/>
        </w:rPr>
        <w:t>Recomendaciones:</w:t>
      </w:r>
    </w:p>
    <w:p w14:paraId="043F30B7" w14:textId="5E7B5BDB" w:rsidR="00F4249F" w:rsidRPr="00E341FE" w:rsidRDefault="00F4249F" w:rsidP="00F4249F">
      <w:pPr>
        <w:pStyle w:val="Prrafodelista"/>
        <w:numPr>
          <w:ilvl w:val="0"/>
          <w:numId w:val="35"/>
        </w:numPr>
        <w:spacing w:before="120" w:after="120" w:line="276" w:lineRule="auto"/>
        <w:contextualSpacing w:val="0"/>
        <w:jc w:val="both"/>
        <w:rPr>
          <w:rFonts w:ascii="Arial" w:hAnsi="Arial" w:cs="Arial"/>
          <w:b/>
          <w:i/>
        </w:rPr>
      </w:pPr>
      <w:r w:rsidRPr="003F3B0A">
        <w:rPr>
          <w:rFonts w:ascii="Arial" w:hAnsi="Arial" w:cs="Arial"/>
        </w:rPr>
        <w:t>Se debe reseñar en la historia clínica todos los medicamentos, productos naturales</w:t>
      </w:r>
      <w:r>
        <w:rPr>
          <w:rFonts w:ascii="Arial" w:hAnsi="Arial" w:cs="Arial"/>
        </w:rPr>
        <w:t>,</w:t>
      </w:r>
      <w:r w:rsidRPr="003F3B0A">
        <w:rPr>
          <w:rFonts w:ascii="Arial" w:hAnsi="Arial" w:cs="Arial"/>
        </w:rPr>
        <w:t xml:space="preserve"> medicinas alternativas</w:t>
      </w:r>
      <w:r>
        <w:rPr>
          <w:rFonts w:ascii="Arial" w:hAnsi="Arial" w:cs="Arial"/>
        </w:rPr>
        <w:t>,</w:t>
      </w:r>
      <w:r w:rsidRPr="003F3B0A">
        <w:rPr>
          <w:rFonts w:ascii="Arial" w:hAnsi="Arial" w:cs="Arial"/>
        </w:rPr>
        <w:t xml:space="preserve"> </w:t>
      </w:r>
      <w:r w:rsidRPr="0046437F">
        <w:rPr>
          <w:rFonts w:ascii="Arial" w:hAnsi="Arial" w:cs="Arial"/>
        </w:rPr>
        <w:t xml:space="preserve">suplementos dietéticos, </w:t>
      </w:r>
      <w:r w:rsidRPr="00B124DB">
        <w:rPr>
          <w:rFonts w:ascii="Arial" w:hAnsi="Arial" w:cs="Arial"/>
          <w:highlight w:val="yellow"/>
        </w:rPr>
        <w:t>complementos para ganar masa muscular,</w:t>
      </w:r>
      <w:r w:rsidRPr="0046437F">
        <w:rPr>
          <w:rFonts w:ascii="Arial" w:hAnsi="Arial" w:cs="Arial"/>
        </w:rPr>
        <w:t xml:space="preserve"> medicinas al</w:t>
      </w:r>
      <w:r w:rsidR="000668CB">
        <w:rPr>
          <w:rFonts w:ascii="Arial" w:hAnsi="Arial" w:cs="Arial"/>
        </w:rPr>
        <w:t>ternativas o drogas recreativas</w:t>
      </w:r>
      <w:r w:rsidRPr="003F3B0A">
        <w:rPr>
          <w:rFonts w:ascii="Arial" w:hAnsi="Arial" w:cs="Arial"/>
        </w:rPr>
        <w:t xml:space="preserve"> que toma el </w:t>
      </w:r>
      <w:r w:rsidRPr="00E341FE">
        <w:rPr>
          <w:rFonts w:ascii="Arial" w:hAnsi="Arial" w:cs="Arial"/>
        </w:rPr>
        <w:t xml:space="preserve">paciente para evaluar posibles interacciones entre ellos </w:t>
      </w:r>
      <w:r w:rsidRPr="00E341FE">
        <w:rPr>
          <w:rFonts w:ascii="Arial" w:hAnsi="Arial" w:cs="Arial"/>
          <w:b/>
          <w:i/>
        </w:rPr>
        <w:t>(A-III)</w:t>
      </w:r>
    </w:p>
    <w:p w14:paraId="073C895E" w14:textId="77777777" w:rsidR="00F4249F" w:rsidRPr="00B124DB" w:rsidRDefault="00F4249F" w:rsidP="00F4249F">
      <w:pPr>
        <w:pStyle w:val="Prrafodelista"/>
        <w:numPr>
          <w:ilvl w:val="0"/>
          <w:numId w:val="35"/>
        </w:numPr>
        <w:spacing w:before="120" w:after="120" w:line="276" w:lineRule="auto"/>
        <w:contextualSpacing w:val="0"/>
        <w:jc w:val="both"/>
        <w:rPr>
          <w:rFonts w:ascii="Arial" w:hAnsi="Arial" w:cs="Arial"/>
          <w:b/>
          <w:i/>
        </w:rPr>
      </w:pPr>
      <w:r w:rsidRPr="00E341FE">
        <w:rPr>
          <w:rFonts w:ascii="Arial" w:hAnsi="Arial" w:cs="Arial"/>
        </w:rPr>
        <w:t xml:space="preserve">Se deben tener en cuenta las contraindicaciones y realizar ajustes de </w:t>
      </w:r>
      <w:r w:rsidRPr="00B124DB">
        <w:rPr>
          <w:rFonts w:ascii="Arial" w:hAnsi="Arial" w:cs="Arial"/>
        </w:rPr>
        <w:t xml:space="preserve">dosis cuando sea necesario </w:t>
      </w:r>
      <w:r w:rsidRPr="00B124DB">
        <w:rPr>
          <w:rFonts w:ascii="Arial" w:hAnsi="Arial" w:cs="Arial"/>
          <w:b/>
          <w:i/>
        </w:rPr>
        <w:t>(A-I)</w:t>
      </w:r>
    </w:p>
    <w:p w14:paraId="386E870F" w14:textId="77777777" w:rsidR="00F4249F" w:rsidRPr="001B16A6" w:rsidRDefault="00F4249F" w:rsidP="00F4249F">
      <w:pPr>
        <w:numPr>
          <w:ilvl w:val="0"/>
          <w:numId w:val="35"/>
        </w:numPr>
        <w:spacing w:before="120" w:after="120" w:line="276" w:lineRule="auto"/>
        <w:jc w:val="both"/>
        <w:rPr>
          <w:rFonts w:ascii="Arial" w:hAnsi="Arial"/>
          <w:highlight w:val="yellow"/>
          <w:lang w:val="es-ES_tradnl"/>
        </w:rPr>
      </w:pPr>
      <w:r w:rsidRPr="001B16A6">
        <w:rPr>
          <w:rFonts w:ascii="Arial" w:hAnsi="Arial"/>
          <w:highlight w:val="yellow"/>
          <w:lang w:val="es-ES_tradnl"/>
        </w:rPr>
        <w:t xml:space="preserve">Cuando existe riesgo de interacciones farmacocinéticas entre dos o más fármacos, no se dispone de información específica y existe la posibilidad de determinar niveles plasmáticos, debe considerarse la monitorización para evitar toxicidad o ineficacia terapéutica </w:t>
      </w:r>
      <w:r w:rsidRPr="00B124DB">
        <w:rPr>
          <w:rFonts w:ascii="Arial" w:hAnsi="Arial"/>
          <w:b/>
          <w:highlight w:val="yellow"/>
          <w:lang w:val="es-ES_tradnl"/>
        </w:rPr>
        <w:t>(</w:t>
      </w:r>
      <w:r w:rsidRPr="00B124DB">
        <w:rPr>
          <w:rFonts w:ascii="Arial" w:hAnsi="Arial"/>
          <w:b/>
          <w:i/>
          <w:highlight w:val="yellow"/>
          <w:lang w:val="es-ES_tradnl"/>
        </w:rPr>
        <w:t>C-III</w:t>
      </w:r>
      <w:r w:rsidRPr="00B124DB">
        <w:rPr>
          <w:rFonts w:ascii="Arial" w:hAnsi="Arial"/>
          <w:b/>
          <w:highlight w:val="yellow"/>
          <w:lang w:val="es-ES_tradnl"/>
        </w:rPr>
        <w:t>).</w:t>
      </w:r>
    </w:p>
    <w:p w14:paraId="03400EDD" w14:textId="77777777" w:rsidR="00F4249F" w:rsidRPr="00E341FE" w:rsidRDefault="00F4249F" w:rsidP="00F4249F">
      <w:pPr>
        <w:pStyle w:val="Prrafodelista"/>
        <w:numPr>
          <w:ilvl w:val="0"/>
          <w:numId w:val="35"/>
        </w:numPr>
        <w:spacing w:before="120" w:after="120" w:line="276" w:lineRule="auto"/>
        <w:contextualSpacing w:val="0"/>
        <w:jc w:val="both"/>
        <w:rPr>
          <w:rFonts w:ascii="Arial" w:hAnsi="Arial" w:cs="Arial"/>
          <w:b/>
          <w:i/>
          <w:highlight w:val="yellow"/>
        </w:rPr>
      </w:pPr>
      <w:r w:rsidRPr="00E341FE">
        <w:rPr>
          <w:rFonts w:ascii="Arial" w:hAnsi="Arial"/>
          <w:highlight w:val="yellow"/>
        </w:rPr>
        <w:t>Considerar el uso de DTG o RAL como</w:t>
      </w:r>
      <w:r>
        <w:rPr>
          <w:rFonts w:ascii="Arial" w:hAnsi="Arial"/>
          <w:highlight w:val="yellow"/>
        </w:rPr>
        <w:t xml:space="preserve"> núcleo del TAR</w:t>
      </w:r>
      <w:r w:rsidRPr="00E341FE">
        <w:rPr>
          <w:rFonts w:ascii="Arial" w:hAnsi="Arial"/>
          <w:highlight w:val="yellow"/>
        </w:rPr>
        <w:t xml:space="preserve"> si el riesgo de interacciones es elevado (o desconocido…o incontrolable…)</w:t>
      </w:r>
      <w:r>
        <w:rPr>
          <w:rFonts w:ascii="Arial" w:hAnsi="Arial"/>
          <w:highlight w:val="yellow"/>
        </w:rPr>
        <w:t xml:space="preserve"> </w:t>
      </w:r>
      <w:r w:rsidRPr="000668CB">
        <w:rPr>
          <w:rFonts w:ascii="Arial" w:hAnsi="Arial"/>
          <w:b/>
          <w:i/>
          <w:highlight w:val="yellow"/>
        </w:rPr>
        <w:t>(A-II)</w:t>
      </w:r>
      <w:r>
        <w:rPr>
          <w:rFonts w:ascii="Arial" w:hAnsi="Arial"/>
          <w:highlight w:val="yellow"/>
        </w:rPr>
        <w:t>. BIC podría suponer otra alternativa, aunque con menos evidencia</w:t>
      </w:r>
      <w:r w:rsidRPr="00E341FE">
        <w:rPr>
          <w:rFonts w:ascii="Arial" w:hAnsi="Arial"/>
          <w:highlight w:val="yellow"/>
        </w:rPr>
        <w:t xml:space="preserve"> </w:t>
      </w:r>
      <w:r w:rsidRPr="00E341FE">
        <w:rPr>
          <w:rFonts w:ascii="Arial" w:hAnsi="Arial"/>
          <w:b/>
          <w:i/>
          <w:highlight w:val="yellow"/>
        </w:rPr>
        <w:t>(C-III).</w:t>
      </w:r>
    </w:p>
    <w:p w14:paraId="4B86E18B" w14:textId="77777777" w:rsidR="00F4249F" w:rsidRPr="003F3B0A" w:rsidRDefault="00F4249F" w:rsidP="00F4249F">
      <w:pPr>
        <w:pStyle w:val="EndNoteBibliographyTitle"/>
        <w:spacing w:line="276" w:lineRule="auto"/>
        <w:rPr>
          <w:b/>
          <w:color w:val="AE1C1F"/>
        </w:rPr>
      </w:pPr>
    </w:p>
    <w:p w14:paraId="10876040" w14:textId="77777777" w:rsidR="00F4249F" w:rsidRPr="003F3B0A" w:rsidRDefault="00F4249F" w:rsidP="00F4249F">
      <w:pPr>
        <w:pStyle w:val="EndNoteBibliographyTitle"/>
        <w:spacing w:line="276" w:lineRule="auto"/>
        <w:rPr>
          <w:b/>
          <w:color w:val="AE1C1F"/>
          <w:lang w:val="en-US"/>
        </w:rPr>
      </w:pPr>
      <w:r w:rsidRPr="003F3B0A">
        <w:rPr>
          <w:b/>
          <w:color w:val="AE1C1F"/>
          <w:lang w:val="en-US"/>
        </w:rPr>
        <w:t>Referencias bibliográficas</w:t>
      </w:r>
    </w:p>
    <w:p w14:paraId="34843E0F" w14:textId="77777777" w:rsidR="00F4249F" w:rsidRPr="003F3B0A" w:rsidRDefault="00F4249F" w:rsidP="00F4249F">
      <w:pPr>
        <w:pStyle w:val="EndNoteBibliographyTitle"/>
        <w:spacing w:line="276" w:lineRule="auto"/>
        <w:rPr>
          <w:b/>
          <w:color w:val="AE1C1F"/>
          <w:lang w:val="en-US"/>
        </w:rPr>
      </w:pPr>
    </w:p>
    <w:p w14:paraId="504D91E0" w14:textId="77777777" w:rsidR="00F4249F" w:rsidRPr="003F3B0A" w:rsidRDefault="00F4249F" w:rsidP="00F4249F">
      <w:pPr>
        <w:pStyle w:val="EndNoteBibliography"/>
        <w:spacing w:after="360"/>
        <w:jc w:val="both"/>
        <w:rPr>
          <w:sz w:val="18"/>
          <w:lang w:val="en-US"/>
        </w:rPr>
        <w:sectPr w:rsidR="00F4249F" w:rsidRPr="003F3B0A" w:rsidSect="00FC2322">
          <w:footerReference w:type="default" r:id="rId45"/>
          <w:pgSz w:w="11906" w:h="16838"/>
          <w:pgMar w:top="1417" w:right="1701" w:bottom="1417" w:left="1701" w:header="708" w:footer="708" w:gutter="0"/>
          <w:cols w:space="708"/>
          <w:docGrid w:linePitch="360"/>
        </w:sectPr>
      </w:pPr>
    </w:p>
    <w:p w14:paraId="4AE222B4" w14:textId="77777777" w:rsidR="00F4249F" w:rsidRPr="000668CB" w:rsidRDefault="00F4249F" w:rsidP="00F4249F">
      <w:pPr>
        <w:pStyle w:val="EndNoteBibliography"/>
        <w:spacing w:before="120" w:after="120"/>
        <w:jc w:val="both"/>
        <w:rPr>
          <w:sz w:val="18"/>
        </w:rPr>
      </w:pPr>
      <w:r w:rsidRPr="003F3B0A">
        <w:rPr>
          <w:sz w:val="18"/>
          <w:lang w:val="en-US"/>
        </w:rPr>
        <w:lastRenderedPageBreak/>
        <w:t xml:space="preserve">1. Bracchi M, Stuart D, Castles R, Khoo S, Back D, Boffito M. Increasing use of 'party drugs' in people living with HIV on antiretrovirals: a concern for patient safety. </w:t>
      </w:r>
      <w:r w:rsidRPr="000668CB">
        <w:rPr>
          <w:sz w:val="18"/>
        </w:rPr>
        <w:t>AIDS 2015;29:1585-92.</w:t>
      </w:r>
    </w:p>
    <w:p w14:paraId="605A358C" w14:textId="77777777" w:rsidR="00F4249F" w:rsidRPr="0020544A" w:rsidRDefault="00F4249F" w:rsidP="00F4249F">
      <w:pPr>
        <w:pStyle w:val="EndNoteBibliography"/>
        <w:spacing w:before="120" w:after="120"/>
        <w:jc w:val="both"/>
        <w:rPr>
          <w:sz w:val="18"/>
          <w:szCs w:val="18"/>
          <w:lang w:val="en-US"/>
        </w:rPr>
      </w:pPr>
      <w:r w:rsidRPr="000668CB">
        <w:rPr>
          <w:sz w:val="18"/>
          <w:szCs w:val="18"/>
          <w:highlight w:val="yellow"/>
        </w:rPr>
        <w:t xml:space="preserve">2. López-Centeno B, Badenes-Olmedo C, Mataix-Sanjuan Á, et al. </w:t>
      </w:r>
      <w:r w:rsidRPr="003913DB">
        <w:rPr>
          <w:sz w:val="18"/>
          <w:szCs w:val="18"/>
          <w:highlight w:val="yellow"/>
          <w:lang w:val="en-US"/>
        </w:rPr>
        <w:t>Polypharmacy and drug-drug interactions in HIV-infected subjects in the region of Madrid, Spain: a population-based study. Clin Infect Dis. 2019. pii: ciz811. doi: 10.1093/cid/ciz811. [Epub ahead of print]</w:t>
      </w:r>
    </w:p>
    <w:p w14:paraId="7FC513BF" w14:textId="77777777" w:rsidR="00F4249F" w:rsidRPr="003F3B0A" w:rsidRDefault="00F4249F" w:rsidP="00F4249F">
      <w:pPr>
        <w:pStyle w:val="EndNoteBibliography"/>
        <w:spacing w:before="120" w:after="120"/>
        <w:jc w:val="both"/>
        <w:rPr>
          <w:sz w:val="18"/>
          <w:lang w:val="en-US"/>
        </w:rPr>
      </w:pPr>
      <w:r>
        <w:rPr>
          <w:sz w:val="18"/>
          <w:highlight w:val="yellow"/>
          <w:lang w:val="es-ES_tradnl"/>
        </w:rPr>
        <w:t xml:space="preserve">3. </w:t>
      </w:r>
      <w:r w:rsidRPr="0020544A">
        <w:rPr>
          <w:sz w:val="18"/>
          <w:highlight w:val="yellow"/>
          <w:lang w:val="es-ES_tradnl"/>
        </w:rPr>
        <w:t>Molas E, Luque S, Retamero A, et al.</w:t>
      </w:r>
      <w:r w:rsidRPr="0020544A">
        <w:rPr>
          <w:sz w:val="18"/>
          <w:highlight w:val="yellow"/>
        </w:rPr>
        <w:t xml:space="preserve"> </w:t>
      </w:r>
      <w:r w:rsidRPr="0020544A">
        <w:rPr>
          <w:sz w:val="18"/>
          <w:highlight w:val="yellow"/>
          <w:lang w:val="en-US"/>
        </w:rPr>
        <w:t xml:space="preserve">Frequency and severity of potential drug interactions in a cohort of HIV-infected patients </w:t>
      </w:r>
      <w:r>
        <w:rPr>
          <w:sz w:val="18"/>
          <w:highlight w:val="yellow"/>
          <w:lang w:val="en-US"/>
        </w:rPr>
        <w:t>i</w:t>
      </w:r>
      <w:r w:rsidRPr="0020544A">
        <w:rPr>
          <w:sz w:val="18"/>
          <w:highlight w:val="yellow"/>
          <w:lang w:val="en-US"/>
        </w:rPr>
        <w:t xml:space="preserve">dentified through a </w:t>
      </w:r>
      <w:r>
        <w:rPr>
          <w:sz w:val="18"/>
          <w:highlight w:val="yellow"/>
          <w:lang w:val="en-US"/>
        </w:rPr>
        <w:t>m</w:t>
      </w:r>
      <w:r w:rsidRPr="0020544A">
        <w:rPr>
          <w:sz w:val="18"/>
          <w:highlight w:val="yellow"/>
          <w:lang w:val="en-US"/>
        </w:rPr>
        <w:t xml:space="preserve">ultidisciplinary team. HIV Clin Trials 2018;19:1-7. </w:t>
      </w:r>
    </w:p>
    <w:p w14:paraId="46938910" w14:textId="77777777" w:rsidR="00F4249F" w:rsidRDefault="00F4249F" w:rsidP="00F4249F">
      <w:pPr>
        <w:pStyle w:val="EndNoteBibliography"/>
        <w:spacing w:before="120" w:after="120"/>
        <w:jc w:val="both"/>
        <w:rPr>
          <w:sz w:val="18"/>
          <w:szCs w:val="18"/>
          <w:lang w:val="en-US"/>
        </w:rPr>
      </w:pPr>
      <w:r>
        <w:rPr>
          <w:sz w:val="18"/>
          <w:szCs w:val="18"/>
          <w:highlight w:val="yellow"/>
          <w:lang w:val="en-US"/>
        </w:rPr>
        <w:t>4</w:t>
      </w:r>
      <w:r w:rsidRPr="00A90BE8">
        <w:rPr>
          <w:sz w:val="18"/>
          <w:szCs w:val="18"/>
          <w:highlight w:val="yellow"/>
          <w:lang w:val="en-US"/>
        </w:rPr>
        <w:t xml:space="preserve">. Demessine L, Payro-Saint paul L, Gardner EM, et al. Risk and cost associated with drug-drug interactions among aging HIV patients receiving combined antiretroviral therapy in France. Open </w:t>
      </w:r>
      <w:r w:rsidRPr="00A90BE8">
        <w:rPr>
          <w:sz w:val="18"/>
          <w:szCs w:val="18"/>
          <w:highlight w:val="yellow"/>
          <w:lang w:val="en-US"/>
        </w:rPr>
        <w:t>Forum Infect Dis 2019</w:t>
      </w:r>
      <w:r w:rsidRPr="000B2E61">
        <w:rPr>
          <w:sz w:val="18"/>
          <w:szCs w:val="18"/>
          <w:highlight w:val="yellow"/>
          <w:lang w:val="en-US"/>
        </w:rPr>
        <w:t>;6:ofz051</w:t>
      </w:r>
      <w:r w:rsidRPr="00932D9E">
        <w:rPr>
          <w:sz w:val="18"/>
          <w:szCs w:val="18"/>
          <w:highlight w:val="yellow"/>
          <w:lang w:val="en-US"/>
        </w:rPr>
        <w:t>. doi: 10.1093/ofid/ofz051.</w:t>
      </w:r>
    </w:p>
    <w:p w14:paraId="24FDFC43" w14:textId="77777777" w:rsidR="00F4249F" w:rsidRPr="003F3B0A" w:rsidRDefault="00F4249F" w:rsidP="00F4249F">
      <w:pPr>
        <w:pStyle w:val="EndNoteBibliography"/>
        <w:spacing w:before="120" w:after="120"/>
        <w:jc w:val="both"/>
        <w:rPr>
          <w:sz w:val="18"/>
          <w:lang w:val="en-US"/>
        </w:rPr>
      </w:pPr>
      <w:r>
        <w:rPr>
          <w:sz w:val="18"/>
          <w:lang w:val="en-US"/>
        </w:rPr>
        <w:t>5</w:t>
      </w:r>
      <w:r w:rsidRPr="000B2E61">
        <w:rPr>
          <w:sz w:val="18"/>
          <w:lang w:val="en-US"/>
        </w:rPr>
        <w:t>. HIV/HCV drug therapy guide. Drug interaction tables</w:t>
      </w:r>
      <w:r w:rsidRPr="003F3B0A">
        <w:rPr>
          <w:sz w:val="18"/>
          <w:lang w:val="en-US"/>
        </w:rPr>
        <w:t xml:space="preserve">. Immunodeficiency clinic, Toronto General Hospital. http://app.hivclinic.ca  </w:t>
      </w:r>
      <w:r w:rsidRPr="008403AB">
        <w:rPr>
          <w:sz w:val="18"/>
          <w:highlight w:val="yellow"/>
          <w:lang w:val="en-US"/>
        </w:rPr>
        <w:t xml:space="preserve">(Consultada el </w:t>
      </w:r>
      <w:r>
        <w:rPr>
          <w:sz w:val="18"/>
          <w:highlight w:val="yellow"/>
          <w:lang w:val="en-US"/>
        </w:rPr>
        <w:t>30.11</w:t>
      </w:r>
      <w:r w:rsidRPr="008403AB">
        <w:rPr>
          <w:sz w:val="18"/>
          <w:highlight w:val="yellow"/>
          <w:lang w:val="en-US"/>
        </w:rPr>
        <w:t>.2019).</w:t>
      </w:r>
      <w:r w:rsidRPr="003F3B0A">
        <w:rPr>
          <w:sz w:val="18"/>
          <w:lang w:val="en-US"/>
        </w:rPr>
        <w:t xml:space="preserve"> </w:t>
      </w:r>
    </w:p>
    <w:p w14:paraId="3EC35AD3" w14:textId="77777777" w:rsidR="00F4249F" w:rsidRPr="000B2E61" w:rsidRDefault="00F4249F" w:rsidP="00F4249F">
      <w:pPr>
        <w:pStyle w:val="EndNoteBibliography"/>
        <w:spacing w:before="120" w:after="120"/>
        <w:jc w:val="both"/>
        <w:rPr>
          <w:sz w:val="18"/>
          <w:lang w:val="en-US"/>
        </w:rPr>
      </w:pPr>
      <w:r>
        <w:rPr>
          <w:sz w:val="18"/>
          <w:lang w:val="en-US"/>
        </w:rPr>
        <w:t>6</w:t>
      </w:r>
      <w:r w:rsidRPr="000B2E61">
        <w:rPr>
          <w:sz w:val="18"/>
          <w:lang w:val="en-US"/>
        </w:rPr>
        <w:t>. HIV drug interactions website. University of Liverpool http://www.hiv-druginteractions.org (</w:t>
      </w:r>
      <w:r w:rsidRPr="008403AB">
        <w:rPr>
          <w:sz w:val="18"/>
          <w:highlight w:val="yellow"/>
          <w:lang w:val="en-US"/>
        </w:rPr>
        <w:t xml:space="preserve">Consultada el </w:t>
      </w:r>
      <w:r>
        <w:rPr>
          <w:sz w:val="18"/>
          <w:highlight w:val="yellow"/>
          <w:lang w:val="en-US"/>
        </w:rPr>
        <w:t>30.11</w:t>
      </w:r>
      <w:r w:rsidRPr="008403AB">
        <w:rPr>
          <w:sz w:val="18"/>
          <w:highlight w:val="yellow"/>
          <w:lang w:val="en-US"/>
        </w:rPr>
        <w:t>.2019).</w:t>
      </w:r>
      <w:r w:rsidRPr="000B2E61">
        <w:rPr>
          <w:sz w:val="18"/>
          <w:lang w:val="en-US"/>
        </w:rPr>
        <w:t xml:space="preserve"> </w:t>
      </w:r>
    </w:p>
    <w:p w14:paraId="67802B3D" w14:textId="77777777" w:rsidR="00F4249F" w:rsidRPr="003F3B0A" w:rsidRDefault="00F4249F" w:rsidP="00F4249F">
      <w:pPr>
        <w:pStyle w:val="EndNoteBibliography"/>
        <w:spacing w:before="120" w:after="120"/>
        <w:jc w:val="both"/>
        <w:rPr>
          <w:sz w:val="18"/>
        </w:rPr>
      </w:pPr>
      <w:r>
        <w:rPr>
          <w:sz w:val="18"/>
        </w:rPr>
        <w:t>7</w:t>
      </w:r>
      <w:r w:rsidRPr="000B2E61">
        <w:rPr>
          <w:sz w:val="18"/>
        </w:rPr>
        <w:t>. HIV Medication Guide. Centre Hospitalier de l’ Université</w:t>
      </w:r>
      <w:r w:rsidRPr="003F3B0A">
        <w:rPr>
          <w:sz w:val="18"/>
        </w:rPr>
        <w:t xml:space="preserve"> de Montreal http://www.hivmedicationguide.com (</w:t>
      </w:r>
      <w:r w:rsidRPr="008403AB">
        <w:rPr>
          <w:sz w:val="18"/>
          <w:highlight w:val="yellow"/>
        </w:rPr>
        <w:t xml:space="preserve">Consultada el </w:t>
      </w:r>
      <w:r>
        <w:rPr>
          <w:sz w:val="18"/>
          <w:highlight w:val="yellow"/>
        </w:rPr>
        <w:t>30.11</w:t>
      </w:r>
      <w:r w:rsidRPr="008403AB">
        <w:rPr>
          <w:sz w:val="18"/>
          <w:highlight w:val="yellow"/>
        </w:rPr>
        <w:t>.2019).</w:t>
      </w:r>
      <w:r w:rsidRPr="003F3B0A">
        <w:rPr>
          <w:sz w:val="18"/>
        </w:rPr>
        <w:t xml:space="preserve"> </w:t>
      </w:r>
    </w:p>
    <w:p w14:paraId="3B07B427" w14:textId="52C3F169" w:rsidR="00F4249F" w:rsidRPr="003F3B0A" w:rsidRDefault="00F4249F" w:rsidP="00F4249F">
      <w:pPr>
        <w:pStyle w:val="EndNoteBibliography"/>
        <w:spacing w:before="120" w:after="120"/>
        <w:jc w:val="both"/>
        <w:rPr>
          <w:sz w:val="18"/>
        </w:rPr>
      </w:pPr>
      <w:r>
        <w:rPr>
          <w:sz w:val="18"/>
        </w:rPr>
        <w:t>8</w:t>
      </w:r>
      <w:r w:rsidRPr="000B2E61">
        <w:rPr>
          <w:sz w:val="18"/>
        </w:rPr>
        <w:t>. Guía de interacciones farmacológicas en VIH. http://www.interaccionesvih.com (</w:t>
      </w:r>
      <w:r w:rsidRPr="00F4249F">
        <w:rPr>
          <w:sz w:val="18"/>
          <w:highlight w:val="yellow"/>
        </w:rPr>
        <w:t>Consultada 30.11.2019</w:t>
      </w:r>
      <w:r w:rsidRPr="003F3B0A">
        <w:rPr>
          <w:sz w:val="18"/>
        </w:rPr>
        <w:t xml:space="preserve">). </w:t>
      </w:r>
    </w:p>
    <w:p w14:paraId="0D04BBF7" w14:textId="77777777" w:rsidR="00176A61" w:rsidRPr="00095ECF" w:rsidRDefault="00176A61" w:rsidP="00176A61">
      <w:pPr>
        <w:jc w:val="both"/>
        <w:rPr>
          <w:rFonts w:ascii="Arial" w:hAnsi="Arial" w:cs="Arial"/>
          <w:color w:val="000000"/>
          <w:shd w:val="clear" w:color="auto" w:fill="FFFFFF"/>
        </w:rPr>
      </w:pPr>
    </w:p>
    <w:p w14:paraId="5D46EABD" w14:textId="77777777" w:rsidR="00B86678" w:rsidRDefault="00012AA6">
      <w:pPr>
        <w:rPr>
          <w:rFonts w:ascii="Arial" w:hAnsi="Arial" w:cs="Arial"/>
        </w:rPr>
        <w:sectPr w:rsidR="00B86678" w:rsidSect="00B86678">
          <w:footerReference w:type="default" r:id="rId46"/>
          <w:pgSz w:w="11906" w:h="16838"/>
          <w:pgMar w:top="1417" w:right="1701" w:bottom="1417" w:left="1701" w:header="708" w:footer="708" w:gutter="0"/>
          <w:cols w:num="2" w:space="708"/>
          <w:docGrid w:linePitch="360"/>
        </w:sectPr>
      </w:pPr>
      <w:r>
        <w:rPr>
          <w:rFonts w:ascii="Arial" w:hAnsi="Arial" w:cs="Arial"/>
        </w:rPr>
        <w:br w:type="page"/>
      </w:r>
    </w:p>
    <w:p w14:paraId="09ABA29D" w14:textId="5EC24110" w:rsidR="00012AA6" w:rsidRDefault="00012AA6">
      <w:pPr>
        <w:rPr>
          <w:rFonts w:ascii="Arial" w:hAnsi="Arial" w:cs="Arial"/>
        </w:rPr>
      </w:pPr>
    </w:p>
    <w:p w14:paraId="4903E5DA" w14:textId="77777777" w:rsidR="00176A61" w:rsidRPr="00095ECF" w:rsidRDefault="00176A61" w:rsidP="00176A61">
      <w:pPr>
        <w:jc w:val="both"/>
        <w:rPr>
          <w:rFonts w:ascii="Arial" w:hAnsi="Arial" w:cs="Arial"/>
        </w:rPr>
      </w:pPr>
    </w:p>
    <w:p w14:paraId="443BA851" w14:textId="77777777" w:rsidR="00F4249F" w:rsidRPr="003F3B0A" w:rsidRDefault="00F4249F" w:rsidP="00F4249F">
      <w:pPr>
        <w:spacing w:before="120" w:after="120" w:line="276" w:lineRule="auto"/>
        <w:jc w:val="both"/>
        <w:rPr>
          <w:rFonts w:ascii="Arial" w:hAnsi="Arial" w:cs="Arial"/>
          <w:b/>
          <w:snapToGrid w:val="0"/>
          <w:color w:val="AE1C1F"/>
          <w:lang w:val="es-ES_tradnl"/>
        </w:rPr>
      </w:pPr>
      <w:r w:rsidRPr="003F3B0A">
        <w:rPr>
          <w:rFonts w:ascii="Arial" w:hAnsi="Arial" w:cs="Arial"/>
          <w:b/>
          <w:snapToGrid w:val="0"/>
          <w:color w:val="AE1C1F"/>
          <w:lang w:val="es-ES_tradnl"/>
        </w:rPr>
        <w:t>7. SITUACIONES ESPECIALES</w:t>
      </w:r>
    </w:p>
    <w:p w14:paraId="3FB51467" w14:textId="77777777" w:rsidR="00F4249F" w:rsidRPr="003F3B0A" w:rsidRDefault="00F4249F" w:rsidP="00F4249F">
      <w:pPr>
        <w:spacing w:before="120" w:after="120" w:line="276" w:lineRule="auto"/>
        <w:jc w:val="both"/>
        <w:rPr>
          <w:rFonts w:ascii="Arial" w:hAnsi="Arial" w:cs="Arial"/>
          <w:b/>
          <w:snapToGrid w:val="0"/>
          <w:color w:val="0000CC"/>
          <w:lang w:val="es-ES_tradnl"/>
        </w:rPr>
      </w:pPr>
    </w:p>
    <w:p w14:paraId="20DC7941" w14:textId="77777777" w:rsidR="00F4249F" w:rsidRPr="003F3B0A" w:rsidRDefault="00F4249F" w:rsidP="00F4249F">
      <w:pPr>
        <w:spacing w:before="120" w:after="120" w:line="276" w:lineRule="auto"/>
        <w:jc w:val="both"/>
        <w:rPr>
          <w:rFonts w:ascii="Arial" w:hAnsi="Arial" w:cs="Arial"/>
          <w:b/>
          <w:snapToGrid w:val="0"/>
          <w:color w:val="AE1C1F"/>
          <w:lang w:val="es-ES_tradnl"/>
        </w:rPr>
      </w:pPr>
      <w:r w:rsidRPr="003F3B0A">
        <w:rPr>
          <w:rFonts w:ascii="Arial" w:hAnsi="Arial" w:cs="Arial"/>
          <w:b/>
          <w:snapToGrid w:val="0"/>
          <w:color w:val="AE1C1F"/>
          <w:lang w:val="es-ES_tradnl"/>
        </w:rPr>
        <w:t>7.1. Infección aguda por el VIH-1</w:t>
      </w:r>
    </w:p>
    <w:p w14:paraId="4524712E" w14:textId="77777777" w:rsidR="00F4249F" w:rsidRPr="003F3B0A" w:rsidRDefault="00F4249F" w:rsidP="00F4249F">
      <w:pPr>
        <w:spacing w:line="276" w:lineRule="auto"/>
        <w:jc w:val="both"/>
        <w:rPr>
          <w:rFonts w:ascii="Arial" w:hAnsi="Arial" w:cs="Arial"/>
        </w:rPr>
      </w:pPr>
      <w:r w:rsidRPr="003F3B0A">
        <w:rPr>
          <w:rFonts w:ascii="Arial" w:hAnsi="Arial" w:cs="Arial"/>
        </w:rPr>
        <w:t xml:space="preserve">La infección aguda por </w:t>
      </w:r>
      <w:r>
        <w:rPr>
          <w:rFonts w:ascii="Arial" w:hAnsi="Arial" w:cs="Arial"/>
        </w:rPr>
        <w:t xml:space="preserve">el </w:t>
      </w:r>
      <w:r w:rsidRPr="003F3B0A">
        <w:rPr>
          <w:rFonts w:ascii="Arial" w:hAnsi="Arial" w:cs="Arial"/>
        </w:rPr>
        <w:t>VIH-1 se asocia con síntomas inespecíficos (fiebre, dolor de cabeza y/o malestar general) y banales en la mayoría de casos, por lo que con frecuencia puede pasar desapercibida, aunque algunos pacientes pueden tener un cuadro similar al de la mononucleosis infecciosa</w:t>
      </w:r>
      <w:r w:rsidRPr="003F3B0A">
        <w:rPr>
          <w:rFonts w:ascii="Arial" w:hAnsi="Arial" w:cs="Arial"/>
          <w:noProof/>
          <w:vertAlign w:val="superscript"/>
        </w:rPr>
        <w:t>1,2</w:t>
      </w:r>
      <w:r w:rsidRPr="003F3B0A">
        <w:rPr>
          <w:rFonts w:ascii="Arial" w:hAnsi="Arial" w:cs="Arial"/>
        </w:rPr>
        <w:t xml:space="preserve">.  Las pruebas de ELISA de cuarta generación, </w:t>
      </w:r>
      <w:r w:rsidRPr="003F3B0A">
        <w:rPr>
          <w:rFonts w:ascii="Arial" w:hAnsi="Arial" w:cs="Arial"/>
          <w:color w:val="000000"/>
        </w:rPr>
        <w:t xml:space="preserve">que incluyen la determinación simultánea de anticuerpos y del antígeno p24 del VIH, acortan el periodo ventana y permiten el diagnóstico durante la infección aguda en el 80-90% de casos. </w:t>
      </w:r>
      <w:r w:rsidRPr="003F3B0A">
        <w:rPr>
          <w:rFonts w:ascii="Arial" w:hAnsi="Arial" w:cs="Arial"/>
        </w:rPr>
        <w:t>La infección aguda (primeros 30 días) no debe confundirse con la infección reciente, que hace referencia a pacientes diagnosticados en los primeros seis meses (180 días) de la infección</w:t>
      </w:r>
      <w:r w:rsidRPr="003F3B0A">
        <w:rPr>
          <w:rFonts w:ascii="Arial" w:hAnsi="Arial" w:cs="Arial"/>
          <w:noProof/>
          <w:vertAlign w:val="superscript"/>
        </w:rPr>
        <w:t>1,2</w:t>
      </w:r>
      <w:r w:rsidRPr="003F3B0A">
        <w:rPr>
          <w:rFonts w:ascii="Arial" w:hAnsi="Arial" w:cs="Arial"/>
        </w:rPr>
        <w:t>.</w:t>
      </w:r>
    </w:p>
    <w:p w14:paraId="2216BEE4" w14:textId="77777777" w:rsidR="00F4249F" w:rsidRPr="003F3B0A" w:rsidRDefault="00F4249F" w:rsidP="00F4249F">
      <w:pPr>
        <w:spacing w:line="276" w:lineRule="auto"/>
        <w:jc w:val="both"/>
        <w:rPr>
          <w:rFonts w:ascii="Arial" w:hAnsi="Arial" w:cs="Arial"/>
        </w:rPr>
      </w:pPr>
    </w:p>
    <w:p w14:paraId="5DA5E7C0" w14:textId="77777777" w:rsidR="00F4249F" w:rsidRPr="003F3B0A" w:rsidRDefault="00F4249F" w:rsidP="00F4249F">
      <w:pPr>
        <w:spacing w:line="276" w:lineRule="auto"/>
        <w:jc w:val="both"/>
        <w:rPr>
          <w:rFonts w:ascii="Arial" w:hAnsi="Arial" w:cs="Arial"/>
        </w:rPr>
      </w:pPr>
      <w:r w:rsidRPr="003F3B0A">
        <w:rPr>
          <w:rFonts w:ascii="Arial" w:hAnsi="Arial" w:cs="Arial"/>
        </w:rPr>
        <w:t>El inicio del TAR en la infección aguda tiene grandes ventajas</w:t>
      </w:r>
      <w:r w:rsidRPr="003F3B0A">
        <w:rPr>
          <w:rFonts w:ascii="Arial" w:hAnsi="Arial" w:cs="Arial"/>
          <w:noProof/>
          <w:vertAlign w:val="superscript"/>
        </w:rPr>
        <w:t>1,2</w:t>
      </w:r>
      <w:r w:rsidRPr="003F3B0A">
        <w:rPr>
          <w:rFonts w:ascii="Arial" w:hAnsi="Arial" w:cs="Arial"/>
        </w:rPr>
        <w:t xml:space="preserve"> como acortar la duración y gravedad de los síntomas, suprimir rápidamente la replicación viral, reducir la diversidad viral y el reservorio (ADN proviral), normalizar la cifra de linfocitos CD4 y el cociente CD4/CD8, reducir la activación inmunológica, preservar o restaurar la inmunidad específica frente al VIH-1 y reducir el riesgo de transmisión del VIH. Por el contrario, tiene la desventaja de tratar de forma innecesaria a individuos controladores de </w:t>
      </w:r>
      <w:r>
        <w:rPr>
          <w:rFonts w:ascii="Arial" w:hAnsi="Arial" w:cs="Arial"/>
        </w:rPr>
        <w:t>é</w:t>
      </w:r>
      <w:r w:rsidRPr="003F3B0A">
        <w:rPr>
          <w:rFonts w:ascii="Arial" w:hAnsi="Arial" w:cs="Arial"/>
        </w:rPr>
        <w:t xml:space="preserve">lite que por otra parte son muy infrecuentes (&lt;1%) y no se pueden identificar en esta fase de la infección. </w:t>
      </w:r>
    </w:p>
    <w:p w14:paraId="40B8900F" w14:textId="77777777" w:rsidR="00F4249F" w:rsidRPr="003F3B0A" w:rsidRDefault="00F4249F" w:rsidP="00F4249F">
      <w:pPr>
        <w:spacing w:line="276" w:lineRule="auto"/>
        <w:jc w:val="both"/>
        <w:rPr>
          <w:rFonts w:ascii="Arial" w:hAnsi="Arial" w:cs="Arial"/>
        </w:rPr>
      </w:pPr>
    </w:p>
    <w:p w14:paraId="037B6B17" w14:textId="77777777" w:rsidR="00F4249F" w:rsidRPr="003F3B0A" w:rsidRDefault="00F4249F" w:rsidP="00F4249F">
      <w:pPr>
        <w:spacing w:line="276" w:lineRule="auto"/>
        <w:jc w:val="both"/>
        <w:rPr>
          <w:rFonts w:ascii="Arial" w:hAnsi="Arial" w:cs="Arial"/>
          <w:bCs/>
        </w:rPr>
      </w:pPr>
      <w:r w:rsidRPr="003F3B0A">
        <w:rPr>
          <w:rFonts w:ascii="Arial" w:hAnsi="Arial" w:cs="Arial"/>
          <w:bCs/>
        </w:rPr>
        <w:t>Todas las estrategias terapéuticas que han tratado de evitar un TAR indefinido en los pacientes que lo han iniciado en la fase aguda e híper-aguda (Fiebig I)</w:t>
      </w:r>
      <w:r w:rsidRPr="003F3B0A">
        <w:rPr>
          <w:rFonts w:ascii="Arial" w:hAnsi="Arial" w:cs="Arial"/>
          <w:bCs/>
          <w:noProof/>
          <w:vertAlign w:val="superscript"/>
        </w:rPr>
        <w:t>3</w:t>
      </w:r>
      <w:r w:rsidRPr="003F3B0A">
        <w:rPr>
          <w:rFonts w:ascii="Arial" w:hAnsi="Arial" w:cs="Arial"/>
          <w:bCs/>
        </w:rPr>
        <w:t xml:space="preserve"> de la infección han fracasado</w:t>
      </w:r>
      <w:r w:rsidRPr="003F3B0A">
        <w:rPr>
          <w:rFonts w:ascii="Arial" w:hAnsi="Arial" w:cs="Arial"/>
          <w:bCs/>
          <w:noProof/>
          <w:vertAlign w:val="superscript"/>
        </w:rPr>
        <w:t>1</w:t>
      </w:r>
      <w:r w:rsidRPr="003F3B0A">
        <w:rPr>
          <w:rFonts w:ascii="Arial" w:hAnsi="Arial" w:cs="Arial"/>
        </w:rPr>
        <w:t xml:space="preserve">, </w:t>
      </w:r>
      <w:r w:rsidRPr="003F3B0A">
        <w:rPr>
          <w:rFonts w:ascii="Arial" w:hAnsi="Arial" w:cs="Arial"/>
          <w:noProof/>
        </w:rPr>
        <w:t>como</w:t>
      </w:r>
      <w:r w:rsidRPr="003F3B0A">
        <w:rPr>
          <w:rFonts w:ascii="Arial" w:hAnsi="Arial" w:cs="Arial"/>
          <w:bCs/>
        </w:rPr>
        <w:t>: 1) Administrar el TAR durante un periodo limitado de tiempo; 2) Administrarlo de forma intermitente, a fin de potenciar la respuesta VIH-específica y controlar la replicación viral sin FAR; 3) Combinar el TAR con inmunosupresores o citoquinas; y, 4) Asociarlo a vacunas terapéuticas. En la mayoría de pacientes ninguna de estas estrategias ha conseguido que el sistema inmune controle la replicación viral de forma sostenida sin TAR, pudiendo tener la retirada del TAR un impacto negativo en la recuperación inmunológica cuando este se reinicia posteriormente. En muy pocos pacientes que iniciaron el TAR precozmente (&lt;90 días) se observó un control virológico cuando lo pararon, pero paradójicamente las características virológicas, inmunológicas y genéticas de estos “controladores post-TAR” son completamente diferentes a los controladores de elite</w:t>
      </w:r>
      <w:r w:rsidRPr="003F3B0A">
        <w:rPr>
          <w:rFonts w:ascii="Arial" w:hAnsi="Arial" w:cs="Arial"/>
          <w:bCs/>
          <w:noProof/>
          <w:vertAlign w:val="superscript"/>
        </w:rPr>
        <w:t>4</w:t>
      </w:r>
      <w:r w:rsidRPr="003F3B0A">
        <w:rPr>
          <w:rFonts w:ascii="Arial" w:hAnsi="Arial" w:cs="Arial"/>
          <w:bCs/>
        </w:rPr>
        <w:t xml:space="preserve"> y además tampoco se pueden identificar basalmente. Por tanto, en la práctica clínica, </w:t>
      </w:r>
      <w:r w:rsidRPr="00D565F8">
        <w:rPr>
          <w:rFonts w:ascii="Arial" w:hAnsi="Arial" w:cs="Arial"/>
          <w:bCs/>
          <w:highlight w:val="yellow"/>
        </w:rPr>
        <w:t>se debe iniciar el</w:t>
      </w:r>
      <w:r w:rsidRPr="003F3B0A">
        <w:rPr>
          <w:rFonts w:ascii="Arial" w:hAnsi="Arial" w:cs="Arial"/>
          <w:bCs/>
        </w:rPr>
        <w:t xml:space="preserve"> TAR durante la infección aguda</w:t>
      </w:r>
      <w:r>
        <w:rPr>
          <w:rFonts w:ascii="Arial" w:hAnsi="Arial" w:cs="Arial"/>
          <w:bCs/>
        </w:rPr>
        <w:t xml:space="preserve"> </w:t>
      </w:r>
      <w:r w:rsidRPr="00D565F8">
        <w:rPr>
          <w:rFonts w:ascii="Arial" w:hAnsi="Arial" w:cs="Arial"/>
          <w:bCs/>
          <w:highlight w:val="yellow"/>
        </w:rPr>
        <w:t>y se debe</w:t>
      </w:r>
      <w:r w:rsidRPr="003F3B0A">
        <w:rPr>
          <w:rFonts w:ascii="Arial" w:hAnsi="Arial" w:cs="Arial"/>
          <w:bCs/>
        </w:rPr>
        <w:t xml:space="preserve"> mantener de forma indefinida como en la infección crónica. Las pautas de TAR deben ser las mismas que en la </w:t>
      </w:r>
      <w:r w:rsidRPr="003F3B0A">
        <w:rPr>
          <w:rFonts w:ascii="Arial" w:hAnsi="Arial" w:cs="Arial"/>
          <w:bCs/>
        </w:rPr>
        <w:lastRenderedPageBreak/>
        <w:t>infección crónica y la adición de más FAR (4 o 5) no está recomendada ya que no se ha acompañado de ningún beneficio adicional</w:t>
      </w:r>
      <w:r w:rsidRPr="003F3B0A">
        <w:rPr>
          <w:rFonts w:ascii="Arial" w:hAnsi="Arial" w:cs="Arial"/>
          <w:bCs/>
          <w:noProof/>
          <w:vertAlign w:val="superscript"/>
        </w:rPr>
        <w:t>5,6</w:t>
      </w:r>
      <w:r w:rsidRPr="003F3B0A">
        <w:rPr>
          <w:rFonts w:ascii="Arial" w:hAnsi="Arial" w:cs="Arial"/>
          <w:bCs/>
        </w:rPr>
        <w:t>.</w:t>
      </w:r>
      <w:r>
        <w:rPr>
          <w:rFonts w:ascii="Arial" w:hAnsi="Arial" w:cs="Arial"/>
          <w:bCs/>
        </w:rPr>
        <w:t xml:space="preserve"> </w:t>
      </w:r>
      <w:r w:rsidRPr="00D565F8">
        <w:rPr>
          <w:rFonts w:ascii="Arial" w:hAnsi="Arial" w:cs="Arial"/>
          <w:bCs/>
          <w:highlight w:val="yellow"/>
        </w:rPr>
        <w:t>No hay experiencia con biterapia.</w:t>
      </w:r>
      <w:r>
        <w:rPr>
          <w:rFonts w:ascii="Arial" w:hAnsi="Arial" w:cs="Arial"/>
          <w:bCs/>
        </w:rPr>
        <w:t xml:space="preserve"> </w:t>
      </w:r>
    </w:p>
    <w:p w14:paraId="30C80A74" w14:textId="77777777" w:rsidR="00F4249F" w:rsidRPr="003F3B0A" w:rsidRDefault="00F4249F" w:rsidP="00F4249F">
      <w:pPr>
        <w:spacing w:line="276" w:lineRule="auto"/>
        <w:jc w:val="both"/>
        <w:rPr>
          <w:rFonts w:ascii="Arial" w:hAnsi="Arial" w:cs="Arial"/>
          <w:bCs/>
        </w:rPr>
      </w:pPr>
    </w:p>
    <w:p w14:paraId="0545C75B" w14:textId="77777777" w:rsidR="00F4249F" w:rsidRPr="003F3B0A" w:rsidRDefault="00F4249F" w:rsidP="00F4249F">
      <w:pPr>
        <w:spacing w:line="276" w:lineRule="auto"/>
        <w:jc w:val="both"/>
        <w:rPr>
          <w:rFonts w:ascii="Arial" w:hAnsi="Arial" w:cs="Arial"/>
        </w:rPr>
      </w:pPr>
      <w:r w:rsidRPr="003F3B0A">
        <w:rPr>
          <w:rFonts w:ascii="Arial" w:hAnsi="Arial" w:cs="Arial"/>
        </w:rPr>
        <w:t>El TAR debe recomendarse en todos los pacientes con infección aguda. En los pacientes gravemente sintomáticos, el inicio del TAR debe realizarse de forma inmediata, ya que acorta la duración y gravedad de los síntomas. En el resto de pacientes debe iniciarse lo antes posible, ya que es cuando se puede conseguir el máximo beneficio inmunológico (alcanzar más de 900 linfocitos CD4/µL)</w:t>
      </w:r>
      <w:r w:rsidRPr="003F3B0A">
        <w:rPr>
          <w:rFonts w:ascii="Arial" w:hAnsi="Arial" w:cs="Arial"/>
          <w:noProof/>
          <w:vertAlign w:val="superscript"/>
        </w:rPr>
        <w:t>7</w:t>
      </w:r>
      <w:r w:rsidRPr="003F3B0A">
        <w:rPr>
          <w:rFonts w:ascii="Arial" w:hAnsi="Arial" w:cs="Arial"/>
        </w:rPr>
        <w:t>. En cada área se deben conocer las tasas de transmisión de virus resistentes. En los individuos que reciben PrEP con TDF/FTC y se infectan por el VIH, la tasa de resistencias es muy baja (&lt;1%)</w:t>
      </w:r>
      <w:r w:rsidRPr="003F3B0A">
        <w:rPr>
          <w:rFonts w:ascii="Arial" w:hAnsi="Arial" w:cs="Arial"/>
          <w:noProof/>
          <w:vertAlign w:val="superscript"/>
        </w:rPr>
        <w:t>8</w:t>
      </w:r>
      <w:r w:rsidRPr="003F3B0A">
        <w:rPr>
          <w:rFonts w:ascii="Arial" w:hAnsi="Arial" w:cs="Arial"/>
        </w:rPr>
        <w:t xml:space="preserve">. Sin embargo, cuando la PrEP se ha iniciado de forma inadvertida en la fase inicial de una infección aguda, </w:t>
      </w:r>
      <w:r w:rsidRPr="003F3B0A">
        <w:rPr>
          <w:rFonts w:ascii="Arial" w:eastAsia="Calibri" w:hAnsi="Arial" w:cs="Arial"/>
          <w:color w:val="000000"/>
          <w:lang w:eastAsia="es-ES"/>
        </w:rPr>
        <w:t xml:space="preserve">pueden modificarse las manifestaciones clínicas y </w:t>
      </w:r>
      <w:r w:rsidRPr="003F3B0A">
        <w:rPr>
          <w:rFonts w:ascii="Arial" w:hAnsi="Arial" w:cs="Arial"/>
        </w:rPr>
        <w:t xml:space="preserve">hasta en una tercera parte de los casos se desarrollarán </w:t>
      </w:r>
      <w:r>
        <w:rPr>
          <w:rFonts w:ascii="Arial" w:hAnsi="Arial" w:cs="Arial"/>
        </w:rPr>
        <w:t>MR</w:t>
      </w:r>
      <w:r w:rsidRPr="003F3B0A">
        <w:rPr>
          <w:rFonts w:ascii="Arial" w:hAnsi="Arial" w:cs="Arial"/>
        </w:rPr>
        <w:t xml:space="preserve"> al FTC y en menor medida al TDF</w:t>
      </w:r>
      <w:r w:rsidRPr="003F3B0A">
        <w:rPr>
          <w:rFonts w:ascii="Arial" w:hAnsi="Arial" w:cs="Arial"/>
          <w:noProof/>
          <w:vertAlign w:val="superscript"/>
        </w:rPr>
        <w:t>8</w:t>
      </w:r>
      <w:r w:rsidRPr="003F3B0A">
        <w:rPr>
          <w:rFonts w:ascii="Arial" w:hAnsi="Arial" w:cs="Arial"/>
        </w:rPr>
        <w:t>, lo que debería tenerse en cuenta en la elección del TAR inicial.</w:t>
      </w:r>
    </w:p>
    <w:p w14:paraId="60FD9EE9" w14:textId="77777777" w:rsidR="00F4249F" w:rsidRPr="003F3B0A" w:rsidRDefault="00F4249F" w:rsidP="00F4249F">
      <w:pPr>
        <w:spacing w:line="276" w:lineRule="auto"/>
        <w:jc w:val="both"/>
        <w:rPr>
          <w:rFonts w:ascii="Arial" w:hAnsi="Arial" w:cs="Arial"/>
        </w:rPr>
      </w:pPr>
    </w:p>
    <w:p w14:paraId="7CC63AF7" w14:textId="77777777" w:rsidR="00F4249F" w:rsidRPr="003F3B0A" w:rsidRDefault="00F4249F" w:rsidP="00F4249F">
      <w:pPr>
        <w:spacing w:line="276" w:lineRule="auto"/>
        <w:jc w:val="both"/>
        <w:rPr>
          <w:rFonts w:ascii="Arial" w:hAnsi="Arial" w:cs="Arial"/>
        </w:rPr>
      </w:pPr>
      <w:r w:rsidRPr="003F3B0A">
        <w:rPr>
          <w:rFonts w:ascii="Arial" w:hAnsi="Arial" w:cs="Arial"/>
        </w:rPr>
        <w:t>Finalmente, siempre debe valorarse la inclusión de estos pacientes y en especial de aquellos que llevan muy pocos días infectados (infección híper-aguda) en protocolos de investigación o ensayos clínicos que busquen la erradicación o la cura funcional del VIH.</w:t>
      </w:r>
    </w:p>
    <w:p w14:paraId="5BD10C44" w14:textId="77777777" w:rsidR="00F4249F" w:rsidRPr="003F3B0A" w:rsidRDefault="00F4249F" w:rsidP="00F4249F">
      <w:pPr>
        <w:spacing w:line="276" w:lineRule="auto"/>
        <w:rPr>
          <w:rFonts w:ascii="Arial" w:hAnsi="Arial" w:cs="Arial"/>
          <w:b/>
          <w:color w:val="AE1C1F"/>
        </w:rPr>
      </w:pPr>
    </w:p>
    <w:p w14:paraId="7DD07453" w14:textId="77777777" w:rsidR="00F4249F" w:rsidRPr="003F3B0A" w:rsidRDefault="00F4249F" w:rsidP="00F4249F">
      <w:pPr>
        <w:spacing w:line="276" w:lineRule="auto"/>
        <w:rPr>
          <w:rFonts w:ascii="Arial" w:hAnsi="Arial" w:cs="Arial"/>
          <w:b/>
          <w:color w:val="AE1C1F"/>
        </w:rPr>
      </w:pPr>
      <w:r w:rsidRPr="003F3B0A">
        <w:rPr>
          <w:rFonts w:ascii="Arial" w:hAnsi="Arial" w:cs="Arial"/>
          <w:b/>
          <w:color w:val="AE1C1F"/>
        </w:rPr>
        <w:t>Recomendaciones</w:t>
      </w:r>
    </w:p>
    <w:p w14:paraId="410B9C5F" w14:textId="77777777" w:rsidR="00F4249F" w:rsidRPr="003F3B0A" w:rsidRDefault="00F4249F" w:rsidP="00F4249F">
      <w:pPr>
        <w:spacing w:line="276" w:lineRule="auto"/>
        <w:rPr>
          <w:rFonts w:ascii="Arial" w:hAnsi="Arial" w:cs="Arial"/>
          <w:b/>
          <w:color w:val="AE1C1F"/>
        </w:rPr>
      </w:pPr>
    </w:p>
    <w:p w14:paraId="757ACB0A" w14:textId="77777777" w:rsidR="00F4249F" w:rsidRPr="003F3B0A" w:rsidRDefault="00F4249F" w:rsidP="00F4249F">
      <w:pPr>
        <w:numPr>
          <w:ilvl w:val="0"/>
          <w:numId w:val="15"/>
        </w:numPr>
        <w:spacing w:line="276" w:lineRule="auto"/>
        <w:ind w:left="714" w:hanging="357"/>
        <w:jc w:val="both"/>
        <w:rPr>
          <w:rFonts w:ascii="Arial" w:hAnsi="Arial" w:cs="Arial"/>
          <w:bCs/>
        </w:rPr>
      </w:pPr>
      <w:r w:rsidRPr="003F3B0A">
        <w:rPr>
          <w:rFonts w:ascii="Arial" w:hAnsi="Arial" w:cs="Arial"/>
          <w:bCs/>
          <w:lang w:eastAsia="en-US"/>
        </w:rPr>
        <w:t xml:space="preserve">El TAR debe recomendarse en todos los pacientes con infección aguda por el VIH-1 independientemente de los síntomas, gravedad y duración; </w:t>
      </w:r>
      <w:r w:rsidRPr="003F3B0A">
        <w:rPr>
          <w:rFonts w:ascii="Arial" w:hAnsi="Arial" w:cs="Arial"/>
        </w:rPr>
        <w:t>para obtener el máximo beneficio debe comenzarse tan pronto como sea posible</w:t>
      </w:r>
      <w:r w:rsidRPr="003F3B0A">
        <w:rPr>
          <w:rFonts w:ascii="Arial" w:hAnsi="Arial" w:cs="Arial"/>
          <w:b/>
        </w:rPr>
        <w:t xml:space="preserve"> </w:t>
      </w:r>
      <w:r w:rsidRPr="003F3B0A">
        <w:rPr>
          <w:rFonts w:ascii="Arial" w:hAnsi="Arial" w:cs="Arial"/>
          <w:b/>
          <w:bCs/>
          <w:i/>
          <w:lang w:eastAsia="en-US"/>
        </w:rPr>
        <w:t>(</w:t>
      </w:r>
      <w:r w:rsidRPr="003F3B0A">
        <w:rPr>
          <w:rFonts w:ascii="Arial" w:hAnsi="Arial" w:cs="Arial"/>
          <w:b/>
          <w:i/>
        </w:rPr>
        <w:t>A-II</w:t>
      </w:r>
      <w:r w:rsidRPr="003F3B0A">
        <w:rPr>
          <w:rFonts w:ascii="Arial" w:hAnsi="Arial" w:cs="Arial"/>
          <w:b/>
          <w:bCs/>
          <w:i/>
          <w:lang w:eastAsia="en-US"/>
        </w:rPr>
        <w:t>)</w:t>
      </w:r>
      <w:r>
        <w:rPr>
          <w:rFonts w:ascii="Arial" w:hAnsi="Arial" w:cs="Arial"/>
          <w:b/>
          <w:bCs/>
          <w:i/>
          <w:lang w:eastAsia="en-US"/>
        </w:rPr>
        <w:t>.</w:t>
      </w:r>
    </w:p>
    <w:p w14:paraId="02CC395F" w14:textId="77777777" w:rsidR="00F4249F" w:rsidRPr="003F3B0A" w:rsidRDefault="00F4249F" w:rsidP="00F4249F">
      <w:pPr>
        <w:numPr>
          <w:ilvl w:val="0"/>
          <w:numId w:val="15"/>
        </w:numPr>
        <w:spacing w:line="276" w:lineRule="auto"/>
        <w:ind w:left="714" w:hanging="357"/>
        <w:jc w:val="both"/>
        <w:rPr>
          <w:rFonts w:ascii="Arial" w:hAnsi="Arial" w:cs="Arial"/>
          <w:lang w:eastAsia="en-US"/>
        </w:rPr>
      </w:pPr>
      <w:r w:rsidRPr="003F3B0A">
        <w:rPr>
          <w:rFonts w:ascii="Arial" w:hAnsi="Arial" w:cs="Arial"/>
          <w:lang w:eastAsia="en-US"/>
        </w:rPr>
        <w:t xml:space="preserve">El tipo de TAR será el mismo que en la infección crónica </w:t>
      </w:r>
      <w:r w:rsidRPr="003F3B0A">
        <w:rPr>
          <w:rFonts w:ascii="Arial" w:hAnsi="Arial" w:cs="Arial"/>
          <w:b/>
          <w:bCs/>
          <w:i/>
          <w:lang w:eastAsia="en-US"/>
        </w:rPr>
        <w:t>(</w:t>
      </w:r>
      <w:r w:rsidRPr="003F3B0A">
        <w:rPr>
          <w:rFonts w:ascii="Arial" w:hAnsi="Arial" w:cs="Arial"/>
          <w:b/>
          <w:i/>
        </w:rPr>
        <w:t>A-I)</w:t>
      </w:r>
      <w:r w:rsidRPr="003F3B0A">
        <w:rPr>
          <w:rFonts w:ascii="Arial" w:hAnsi="Arial" w:cs="Arial"/>
          <w:b/>
        </w:rPr>
        <w:t xml:space="preserve"> </w:t>
      </w:r>
      <w:r w:rsidRPr="003F3B0A">
        <w:rPr>
          <w:rFonts w:ascii="Arial" w:hAnsi="Arial" w:cs="Arial"/>
        </w:rPr>
        <w:t>(Tabla 3</w:t>
      </w:r>
      <w:r w:rsidRPr="003F3B0A">
        <w:rPr>
          <w:rFonts w:ascii="Arial" w:hAnsi="Arial" w:cs="Arial"/>
          <w:bCs/>
          <w:lang w:eastAsia="en-US"/>
        </w:rPr>
        <w:t>)</w:t>
      </w:r>
      <w:r w:rsidRPr="003F3B0A">
        <w:rPr>
          <w:rFonts w:ascii="Arial" w:hAnsi="Arial" w:cs="Arial"/>
          <w:lang w:eastAsia="en-US"/>
        </w:rPr>
        <w:t>. Una pauta con dos ITIAN (preferentemente TDF o TAF/FTC) y un INI reducirá más rápidamente la CVP durante las primeras 4-8 semanas en comparación con los IP</w:t>
      </w:r>
      <w:r>
        <w:rPr>
          <w:rFonts w:ascii="Arial" w:hAnsi="Arial" w:cs="Arial"/>
          <w:lang w:eastAsia="en-US"/>
        </w:rPr>
        <w:t>/p</w:t>
      </w:r>
      <w:r w:rsidRPr="003F3B0A">
        <w:rPr>
          <w:rFonts w:ascii="Arial" w:hAnsi="Arial" w:cs="Arial"/>
          <w:lang w:eastAsia="en-US"/>
        </w:rPr>
        <w:t xml:space="preserve"> o ITINN </w:t>
      </w:r>
      <w:r w:rsidRPr="003F3B0A">
        <w:rPr>
          <w:rFonts w:ascii="Arial" w:hAnsi="Arial" w:cs="Arial"/>
          <w:b/>
          <w:i/>
          <w:lang w:eastAsia="en-US"/>
        </w:rPr>
        <w:t>(</w:t>
      </w:r>
      <w:r w:rsidRPr="003F3B0A">
        <w:rPr>
          <w:rFonts w:ascii="Arial" w:hAnsi="Arial" w:cs="Arial"/>
          <w:b/>
          <w:i/>
        </w:rPr>
        <w:t>A-I</w:t>
      </w:r>
      <w:r w:rsidRPr="003F3B0A">
        <w:rPr>
          <w:rFonts w:ascii="Arial" w:hAnsi="Arial" w:cs="Arial"/>
          <w:b/>
          <w:i/>
          <w:lang w:eastAsia="en-US"/>
        </w:rPr>
        <w:t>)</w:t>
      </w:r>
      <w:r w:rsidRPr="003F3B0A">
        <w:rPr>
          <w:rFonts w:ascii="Arial" w:hAnsi="Arial" w:cs="Arial"/>
          <w:lang w:eastAsia="en-US"/>
        </w:rPr>
        <w:t xml:space="preserve">, lo que </w:t>
      </w:r>
      <w:r w:rsidRPr="00382C7F">
        <w:rPr>
          <w:rFonts w:ascii="Arial" w:hAnsi="Arial" w:cs="Arial"/>
          <w:highlight w:val="yellow"/>
          <w:lang w:eastAsia="en-US"/>
        </w:rPr>
        <w:t>podría reducir</w:t>
      </w:r>
      <w:r w:rsidRPr="003F3B0A">
        <w:rPr>
          <w:rFonts w:ascii="Arial" w:hAnsi="Arial" w:cs="Arial"/>
          <w:lang w:eastAsia="en-US"/>
        </w:rPr>
        <w:t xml:space="preserve"> la transmisión del VIH-1 </w:t>
      </w:r>
      <w:r w:rsidRPr="003F3B0A">
        <w:rPr>
          <w:rFonts w:ascii="Arial" w:hAnsi="Arial" w:cs="Arial"/>
          <w:b/>
          <w:i/>
          <w:lang w:eastAsia="en-US"/>
        </w:rPr>
        <w:t>(B-III)</w:t>
      </w:r>
      <w:r>
        <w:rPr>
          <w:rFonts w:ascii="Arial" w:hAnsi="Arial" w:cs="Arial"/>
          <w:b/>
          <w:i/>
          <w:lang w:eastAsia="en-US"/>
        </w:rPr>
        <w:t>.</w:t>
      </w:r>
    </w:p>
    <w:p w14:paraId="6FC19301" w14:textId="77777777" w:rsidR="00F4249F" w:rsidRPr="003F3B0A" w:rsidRDefault="00F4249F" w:rsidP="00F4249F">
      <w:pPr>
        <w:numPr>
          <w:ilvl w:val="0"/>
          <w:numId w:val="15"/>
        </w:numPr>
        <w:spacing w:line="276" w:lineRule="auto"/>
        <w:ind w:left="714" w:hanging="357"/>
        <w:jc w:val="both"/>
        <w:rPr>
          <w:rFonts w:ascii="Arial" w:hAnsi="Arial" w:cs="Arial"/>
          <w:lang w:eastAsia="en-US"/>
        </w:rPr>
      </w:pPr>
      <w:r w:rsidRPr="003F3B0A">
        <w:rPr>
          <w:rFonts w:ascii="Arial" w:hAnsi="Arial" w:cs="Arial"/>
          <w:lang w:eastAsia="en-US"/>
        </w:rPr>
        <w:t>Si se inicia el TAR sin</w:t>
      </w:r>
      <w:r w:rsidRPr="003F3B0A">
        <w:rPr>
          <w:rFonts w:ascii="Arial" w:hAnsi="Arial" w:cs="Arial"/>
          <w:bCs/>
          <w:lang w:eastAsia="en-US"/>
        </w:rPr>
        <w:t xml:space="preserve"> disponer de prueba de resistencia, es preferible comenzar con una pauta basada en DTG</w:t>
      </w:r>
      <w:r>
        <w:rPr>
          <w:rFonts w:ascii="Arial" w:hAnsi="Arial" w:cs="Arial"/>
          <w:bCs/>
          <w:lang w:eastAsia="en-US"/>
        </w:rPr>
        <w:t xml:space="preserve">, </w:t>
      </w:r>
      <w:r w:rsidRPr="00BA1F3D">
        <w:rPr>
          <w:rFonts w:ascii="Arial" w:hAnsi="Arial" w:cs="Arial"/>
          <w:bCs/>
          <w:highlight w:val="yellow"/>
          <w:lang w:eastAsia="en-US"/>
        </w:rPr>
        <w:t>BIC</w:t>
      </w:r>
      <w:r w:rsidRPr="003F3B0A">
        <w:rPr>
          <w:rFonts w:ascii="Arial" w:hAnsi="Arial" w:cs="Arial"/>
          <w:bCs/>
          <w:lang w:eastAsia="en-US"/>
        </w:rPr>
        <w:t xml:space="preserve"> o DRV/c </w:t>
      </w:r>
      <w:r w:rsidRPr="00BA1F3D">
        <w:rPr>
          <w:rFonts w:ascii="Arial" w:hAnsi="Arial" w:cs="Arial"/>
          <w:bCs/>
          <w:highlight w:val="yellow"/>
          <w:lang w:eastAsia="en-US"/>
        </w:rPr>
        <w:t>(TAR de alta barrera genética)</w:t>
      </w:r>
      <w:r>
        <w:rPr>
          <w:rFonts w:ascii="Arial" w:hAnsi="Arial" w:cs="Arial"/>
          <w:bCs/>
          <w:lang w:eastAsia="en-US"/>
        </w:rPr>
        <w:t xml:space="preserve"> </w:t>
      </w:r>
      <w:r w:rsidRPr="003F3B0A">
        <w:rPr>
          <w:rFonts w:ascii="Arial" w:hAnsi="Arial" w:cs="Arial"/>
          <w:lang w:eastAsia="en-US"/>
        </w:rPr>
        <w:t xml:space="preserve">hasta tener los resultados </w:t>
      </w:r>
      <w:r w:rsidRPr="003F3B0A">
        <w:rPr>
          <w:rFonts w:ascii="Arial" w:hAnsi="Arial" w:cs="Arial"/>
          <w:b/>
          <w:bCs/>
          <w:i/>
          <w:lang w:eastAsia="en-US"/>
        </w:rPr>
        <w:t>(</w:t>
      </w:r>
      <w:r w:rsidRPr="003F3B0A">
        <w:rPr>
          <w:rFonts w:ascii="Arial" w:hAnsi="Arial" w:cs="Arial"/>
          <w:b/>
          <w:i/>
        </w:rPr>
        <w:t>A-II</w:t>
      </w:r>
      <w:r w:rsidRPr="003F3B0A">
        <w:rPr>
          <w:rFonts w:ascii="Arial" w:hAnsi="Arial" w:cs="Arial"/>
          <w:b/>
          <w:bCs/>
          <w:i/>
          <w:lang w:eastAsia="en-US"/>
        </w:rPr>
        <w:t xml:space="preserve">). </w:t>
      </w:r>
      <w:r w:rsidRPr="003F3B0A">
        <w:rPr>
          <w:rFonts w:ascii="Arial" w:hAnsi="Arial" w:cs="Arial"/>
          <w:bCs/>
          <w:lang w:eastAsia="en-US"/>
        </w:rPr>
        <w:t xml:space="preserve">Si el paciente había iniciado PrEP recientemente debería añadirse un cuarto fármaco hasta disponer del resultado del test de resistencias </w:t>
      </w:r>
      <w:r w:rsidRPr="00F4249F">
        <w:rPr>
          <w:rFonts w:ascii="Arial" w:hAnsi="Arial" w:cs="Arial"/>
          <w:bCs/>
          <w:i/>
          <w:highlight w:val="yellow"/>
          <w:lang w:eastAsia="en-US"/>
        </w:rPr>
        <w:t>(</w:t>
      </w:r>
      <w:r w:rsidRPr="00F4249F">
        <w:rPr>
          <w:rFonts w:ascii="Arial" w:hAnsi="Arial" w:cs="Arial"/>
          <w:b/>
          <w:bCs/>
          <w:i/>
          <w:highlight w:val="yellow"/>
          <w:lang w:eastAsia="en-US"/>
        </w:rPr>
        <w:t>A-III</w:t>
      </w:r>
      <w:r w:rsidRPr="00F4249F">
        <w:rPr>
          <w:rFonts w:ascii="Arial" w:hAnsi="Arial" w:cs="Arial"/>
          <w:bCs/>
          <w:i/>
          <w:highlight w:val="yellow"/>
          <w:lang w:eastAsia="en-US"/>
        </w:rPr>
        <w:t>).</w:t>
      </w:r>
    </w:p>
    <w:p w14:paraId="70316E9F" w14:textId="77777777" w:rsidR="00F4249F" w:rsidRPr="003F3B0A" w:rsidRDefault="00F4249F" w:rsidP="00F4249F">
      <w:pPr>
        <w:numPr>
          <w:ilvl w:val="0"/>
          <w:numId w:val="15"/>
        </w:numPr>
        <w:spacing w:line="276" w:lineRule="auto"/>
        <w:ind w:left="714" w:hanging="357"/>
        <w:jc w:val="both"/>
        <w:rPr>
          <w:rFonts w:ascii="Arial" w:hAnsi="Arial" w:cs="Arial"/>
        </w:rPr>
      </w:pPr>
      <w:r w:rsidRPr="003F3B0A">
        <w:rPr>
          <w:rFonts w:ascii="Arial" w:hAnsi="Arial" w:cs="Arial"/>
          <w:lang w:eastAsia="en-US"/>
        </w:rPr>
        <w:t xml:space="preserve">Una vez iniciado el TAR debe mantenerse indefinidamente </w:t>
      </w:r>
      <w:r w:rsidRPr="003F3B0A">
        <w:rPr>
          <w:rFonts w:ascii="Arial" w:hAnsi="Arial" w:cs="Arial"/>
          <w:b/>
          <w:bCs/>
          <w:i/>
          <w:lang w:eastAsia="en-US"/>
        </w:rPr>
        <w:t>(</w:t>
      </w:r>
      <w:r w:rsidRPr="003F3B0A">
        <w:rPr>
          <w:rFonts w:ascii="Arial" w:hAnsi="Arial" w:cs="Arial"/>
          <w:b/>
          <w:i/>
        </w:rPr>
        <w:t>A-I</w:t>
      </w:r>
      <w:r w:rsidRPr="003F3B0A">
        <w:rPr>
          <w:rFonts w:ascii="Arial" w:hAnsi="Arial" w:cs="Arial"/>
          <w:b/>
          <w:bCs/>
          <w:i/>
          <w:lang w:eastAsia="en-US"/>
        </w:rPr>
        <w:t>)</w:t>
      </w:r>
      <w:r>
        <w:rPr>
          <w:rFonts w:ascii="Arial" w:hAnsi="Arial" w:cs="Arial"/>
          <w:b/>
          <w:bCs/>
          <w:i/>
          <w:lang w:eastAsia="en-US"/>
        </w:rPr>
        <w:t>.</w:t>
      </w:r>
      <w:r w:rsidRPr="003F3B0A">
        <w:rPr>
          <w:rFonts w:ascii="Arial" w:hAnsi="Arial" w:cs="Arial"/>
          <w:b/>
          <w:bCs/>
          <w:lang w:eastAsia="en-US"/>
        </w:rPr>
        <w:t xml:space="preserve"> </w:t>
      </w:r>
    </w:p>
    <w:p w14:paraId="336DB1D7" w14:textId="77777777" w:rsidR="00F4249F" w:rsidRPr="003F3B0A" w:rsidRDefault="00F4249F" w:rsidP="00F4249F">
      <w:pPr>
        <w:spacing w:before="120" w:after="120" w:line="276" w:lineRule="auto"/>
        <w:jc w:val="both"/>
        <w:rPr>
          <w:rFonts w:ascii="Arial" w:hAnsi="Arial" w:cs="Arial"/>
        </w:rPr>
      </w:pPr>
    </w:p>
    <w:p w14:paraId="124C4420" w14:textId="77777777" w:rsidR="00F4249F" w:rsidRPr="003F3B0A" w:rsidRDefault="00F4249F" w:rsidP="00F4249F">
      <w:pPr>
        <w:spacing w:line="276" w:lineRule="auto"/>
        <w:jc w:val="center"/>
        <w:rPr>
          <w:rFonts w:ascii="Arial" w:hAnsi="Arial" w:cs="Arial"/>
          <w:b/>
          <w:noProof/>
          <w:color w:val="AE1C1F"/>
          <w:lang w:val="en-US"/>
        </w:rPr>
      </w:pPr>
      <w:r w:rsidRPr="003F3B0A">
        <w:rPr>
          <w:rFonts w:ascii="Arial" w:hAnsi="Arial" w:cs="Arial"/>
          <w:b/>
          <w:noProof/>
          <w:color w:val="AE1C1F"/>
          <w:lang w:val="en-US"/>
        </w:rPr>
        <w:t>Referencias bibliográficas</w:t>
      </w:r>
    </w:p>
    <w:p w14:paraId="12DE29E3" w14:textId="77777777" w:rsidR="00F4249F" w:rsidRPr="003F3B0A" w:rsidRDefault="00F4249F" w:rsidP="00F4249F">
      <w:pPr>
        <w:spacing w:line="276" w:lineRule="auto"/>
        <w:jc w:val="both"/>
        <w:rPr>
          <w:rFonts w:ascii="Arial" w:hAnsi="Arial" w:cs="Arial"/>
          <w:noProof/>
          <w:sz w:val="18"/>
          <w:szCs w:val="18"/>
          <w:lang w:val="en-US"/>
        </w:rPr>
      </w:pPr>
    </w:p>
    <w:p w14:paraId="6FF9AE06" w14:textId="77777777" w:rsidR="00F4249F" w:rsidRPr="003F3B0A" w:rsidRDefault="00F4249F" w:rsidP="00F4249F">
      <w:pPr>
        <w:spacing w:before="120" w:after="120" w:line="276" w:lineRule="auto"/>
        <w:jc w:val="both"/>
        <w:rPr>
          <w:rFonts w:ascii="Arial" w:hAnsi="Arial" w:cs="Arial"/>
          <w:noProof/>
          <w:sz w:val="18"/>
          <w:szCs w:val="18"/>
          <w:lang w:val="en-US"/>
        </w:rPr>
        <w:sectPr w:rsidR="00F4249F" w:rsidRPr="003F3B0A" w:rsidSect="00B86678">
          <w:type w:val="continuous"/>
          <w:pgSz w:w="11906" w:h="16838"/>
          <w:pgMar w:top="1417" w:right="1701" w:bottom="1417" w:left="1701" w:header="708" w:footer="708" w:gutter="0"/>
          <w:cols w:space="708"/>
          <w:docGrid w:linePitch="360"/>
        </w:sectPr>
      </w:pPr>
    </w:p>
    <w:p w14:paraId="5895FDBC" w14:textId="77777777" w:rsidR="00F4249F" w:rsidRPr="003F3B0A" w:rsidRDefault="00F4249F" w:rsidP="00F4249F">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lastRenderedPageBreak/>
        <w:t>1. Henn A, Flateau C, Gallien S. Primary HIV infection: clinical presentation, testing, and treatment. Curr Infect Dis Rep 2017;19:37.</w:t>
      </w:r>
    </w:p>
    <w:p w14:paraId="0D340252" w14:textId="77777777" w:rsidR="00F4249F" w:rsidRPr="003F3B0A" w:rsidRDefault="00F4249F" w:rsidP="00F4249F">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t>2. Robb ML, Eller LA, Kibuuka H, et al. Prospective study of acute HIV-1 infection in adults in east Africa and Thailand. N Engl J Med 2016;374:2120-30.</w:t>
      </w:r>
    </w:p>
    <w:p w14:paraId="1F49C248" w14:textId="77777777" w:rsidR="00F4249F" w:rsidRPr="003F3B0A" w:rsidRDefault="00F4249F" w:rsidP="00F4249F">
      <w:pPr>
        <w:pStyle w:val="Puesto1"/>
        <w:shd w:val="clear" w:color="auto" w:fill="FFFFFF"/>
        <w:spacing w:before="0" w:beforeAutospacing="0" w:after="0" w:afterAutospacing="0" w:line="276" w:lineRule="auto"/>
        <w:jc w:val="both"/>
        <w:rPr>
          <w:rFonts w:ascii="Arial" w:hAnsi="Arial" w:cs="Arial"/>
          <w:noProof/>
          <w:sz w:val="18"/>
          <w:szCs w:val="18"/>
          <w:lang w:val="en-US"/>
        </w:rPr>
      </w:pPr>
      <w:r w:rsidRPr="003F3B0A">
        <w:rPr>
          <w:rFonts w:ascii="Arial" w:hAnsi="Arial" w:cs="Arial"/>
          <w:noProof/>
          <w:sz w:val="18"/>
          <w:szCs w:val="18"/>
          <w:lang w:val="en-US"/>
        </w:rPr>
        <w:t xml:space="preserve">3. </w:t>
      </w:r>
      <w:r w:rsidRPr="003F3B0A">
        <w:rPr>
          <w:rFonts w:ascii="Arial" w:hAnsi="Arial" w:cs="Arial"/>
          <w:sz w:val="18"/>
          <w:szCs w:val="18"/>
          <w:lang w:val="en-US"/>
        </w:rPr>
        <w:t xml:space="preserve">Colby DJ, Trautmann L, Pinyakorn S, et al. Rapid HIV RNA rebound after antiretroviral treatment interruption in persons durably supressed in Fiebig I acute HIV infection. </w:t>
      </w:r>
      <w:r w:rsidRPr="003F3B0A">
        <w:rPr>
          <w:rStyle w:val="jrnl"/>
          <w:rFonts w:ascii="Arial" w:eastAsia="MS Mincho" w:hAnsi="Arial" w:cs="Arial"/>
          <w:sz w:val="18"/>
          <w:szCs w:val="18"/>
          <w:lang w:val="en-US"/>
        </w:rPr>
        <w:t>Nat Med</w:t>
      </w:r>
      <w:r>
        <w:rPr>
          <w:rFonts w:ascii="Arial" w:hAnsi="Arial" w:cs="Arial"/>
          <w:sz w:val="18"/>
          <w:szCs w:val="18"/>
          <w:lang w:val="en-US"/>
        </w:rPr>
        <w:t xml:space="preserve"> 2018;24:923-</w:t>
      </w:r>
      <w:r w:rsidRPr="003F3B0A">
        <w:rPr>
          <w:rFonts w:ascii="Arial" w:hAnsi="Arial" w:cs="Arial"/>
          <w:sz w:val="18"/>
          <w:szCs w:val="18"/>
          <w:lang w:val="en-US"/>
        </w:rPr>
        <w:t>6.</w:t>
      </w:r>
    </w:p>
    <w:p w14:paraId="6BAF0A5D" w14:textId="77777777" w:rsidR="00F4249F" w:rsidRPr="003F3B0A" w:rsidRDefault="00F4249F" w:rsidP="00F4249F">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t>4. Saez-Cirion A, Bacchus C, Hocqueloux L, et al. Post-treatment HIV-1 controllers with a long-term virological remission after the interruption of early initiated antiretroviral therapy ANRS VISCONTI Study. PLoS pathogens 2013;9:e1003211.</w:t>
      </w:r>
    </w:p>
    <w:p w14:paraId="352D7331" w14:textId="77777777" w:rsidR="00F4249F" w:rsidRPr="003F3B0A" w:rsidRDefault="00F4249F" w:rsidP="00F4249F">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t xml:space="preserve">5. Cheret A, Nembot G, Melard A, et al. Intensive five-drug antiretroviral therapy regimen versus </w:t>
      </w:r>
      <w:r w:rsidRPr="003F3B0A">
        <w:rPr>
          <w:rFonts w:ascii="Arial" w:hAnsi="Arial" w:cs="Arial"/>
          <w:noProof/>
          <w:sz w:val="18"/>
          <w:szCs w:val="18"/>
          <w:lang w:val="en-US"/>
        </w:rPr>
        <w:t>standard triple-drug therapy during primary HIV-1 infection (OPTIPRIM-ANRS 147): a randomised, open-label, phase 3 trial. Lancet Infect Dis 2015;15:387-96.</w:t>
      </w:r>
    </w:p>
    <w:p w14:paraId="2BA8FDBD" w14:textId="77777777" w:rsidR="00F4249F" w:rsidRPr="003F3B0A" w:rsidRDefault="00F4249F" w:rsidP="00F4249F">
      <w:pPr>
        <w:spacing w:before="120" w:after="120" w:line="276" w:lineRule="auto"/>
        <w:jc w:val="both"/>
        <w:rPr>
          <w:rFonts w:ascii="Arial" w:hAnsi="Arial" w:cs="Arial"/>
          <w:noProof/>
          <w:sz w:val="18"/>
          <w:szCs w:val="18"/>
          <w:lang w:val="en-US"/>
        </w:rPr>
      </w:pPr>
      <w:r w:rsidRPr="003F3B0A">
        <w:rPr>
          <w:rFonts w:ascii="Arial" w:hAnsi="Arial" w:cs="Arial"/>
          <w:noProof/>
          <w:sz w:val="18"/>
          <w:szCs w:val="18"/>
          <w:lang w:val="en-US"/>
        </w:rPr>
        <w:t>6. Markowitz M, Evering TH, Garmon D, et al. A randomized open-label study of 3- versus 5-drug combination antiretroviral therapy in newly HIV-1-infected individuals. J Acquir Immune Defic Syndr 2014;66:140-7.</w:t>
      </w:r>
    </w:p>
    <w:p w14:paraId="0D1AF476" w14:textId="77777777" w:rsidR="00F4249F" w:rsidRPr="00114254" w:rsidRDefault="00F4249F" w:rsidP="00F4249F">
      <w:pPr>
        <w:spacing w:before="120" w:after="120" w:line="276" w:lineRule="auto"/>
        <w:jc w:val="both"/>
        <w:rPr>
          <w:rFonts w:ascii="Arial" w:hAnsi="Arial" w:cs="Arial"/>
          <w:noProof/>
          <w:sz w:val="18"/>
          <w:szCs w:val="18"/>
          <w:lang w:val="en-US"/>
        </w:rPr>
      </w:pPr>
      <w:r w:rsidRPr="00114254">
        <w:rPr>
          <w:rFonts w:ascii="Arial" w:hAnsi="Arial" w:cs="Arial"/>
          <w:noProof/>
          <w:sz w:val="18"/>
          <w:szCs w:val="18"/>
          <w:lang w:val="en-US"/>
        </w:rPr>
        <w:t>7. Le T, Wright EJ, Smith DM, et al. Enhanced CD4+ T-cell recovery with earlier HIV-1 antiretroviral therapy. N Engl J Med 2013;368:218-30.</w:t>
      </w:r>
    </w:p>
    <w:p w14:paraId="5E20FA34" w14:textId="77777777" w:rsidR="00F4249F" w:rsidRPr="00FA5073" w:rsidRDefault="00F4249F" w:rsidP="00F4249F">
      <w:pPr>
        <w:spacing w:before="120" w:after="120" w:line="276" w:lineRule="auto"/>
        <w:jc w:val="both"/>
        <w:rPr>
          <w:rFonts w:ascii="Arial" w:hAnsi="Arial" w:cs="Arial"/>
          <w:noProof/>
          <w:sz w:val="18"/>
          <w:szCs w:val="18"/>
        </w:rPr>
      </w:pPr>
      <w:r w:rsidRPr="00114254">
        <w:rPr>
          <w:rFonts w:ascii="Arial" w:hAnsi="Arial" w:cs="Arial"/>
          <w:noProof/>
          <w:sz w:val="18"/>
          <w:szCs w:val="18"/>
          <w:highlight w:val="yellow"/>
          <w:lang w:val="en-US"/>
        </w:rPr>
        <w:t xml:space="preserve">8. Gibas KM, van den Berg P, Powell VE, Krakower DS. Drug </w:t>
      </w:r>
      <w:r>
        <w:rPr>
          <w:rFonts w:ascii="Arial" w:hAnsi="Arial" w:cs="Arial"/>
          <w:noProof/>
          <w:sz w:val="18"/>
          <w:szCs w:val="18"/>
          <w:highlight w:val="yellow"/>
          <w:lang w:val="en-US"/>
        </w:rPr>
        <w:t>r</w:t>
      </w:r>
      <w:r w:rsidRPr="00114254">
        <w:rPr>
          <w:rFonts w:ascii="Arial" w:hAnsi="Arial" w:cs="Arial"/>
          <w:noProof/>
          <w:sz w:val="18"/>
          <w:szCs w:val="18"/>
          <w:highlight w:val="yellow"/>
          <w:lang w:val="en-US"/>
        </w:rPr>
        <w:t xml:space="preserve">esistance </w:t>
      </w:r>
      <w:r>
        <w:rPr>
          <w:rFonts w:ascii="Arial" w:hAnsi="Arial" w:cs="Arial"/>
          <w:noProof/>
          <w:sz w:val="18"/>
          <w:szCs w:val="18"/>
          <w:highlight w:val="yellow"/>
          <w:lang w:val="en-US"/>
        </w:rPr>
        <w:t>d</w:t>
      </w:r>
      <w:r w:rsidRPr="00114254">
        <w:rPr>
          <w:rFonts w:ascii="Arial" w:hAnsi="Arial" w:cs="Arial"/>
          <w:noProof/>
          <w:sz w:val="18"/>
          <w:szCs w:val="18"/>
          <w:highlight w:val="yellow"/>
          <w:lang w:val="en-US"/>
        </w:rPr>
        <w:t xml:space="preserve">uring HIV </w:t>
      </w:r>
      <w:r>
        <w:rPr>
          <w:rFonts w:ascii="Arial" w:hAnsi="Arial" w:cs="Arial"/>
          <w:noProof/>
          <w:sz w:val="18"/>
          <w:szCs w:val="18"/>
          <w:highlight w:val="yellow"/>
          <w:lang w:val="en-US"/>
        </w:rPr>
        <w:t>p</w:t>
      </w:r>
      <w:r w:rsidRPr="00114254">
        <w:rPr>
          <w:rFonts w:ascii="Arial" w:hAnsi="Arial" w:cs="Arial"/>
          <w:noProof/>
          <w:sz w:val="18"/>
          <w:szCs w:val="18"/>
          <w:highlight w:val="yellow"/>
          <w:lang w:val="en-US"/>
        </w:rPr>
        <w:t>re-</w:t>
      </w:r>
      <w:r>
        <w:rPr>
          <w:rFonts w:ascii="Arial" w:hAnsi="Arial" w:cs="Arial"/>
          <w:noProof/>
          <w:sz w:val="18"/>
          <w:szCs w:val="18"/>
          <w:highlight w:val="yellow"/>
          <w:lang w:val="en-US"/>
        </w:rPr>
        <w:t>e</w:t>
      </w:r>
      <w:r w:rsidRPr="00114254">
        <w:rPr>
          <w:rFonts w:ascii="Arial" w:hAnsi="Arial" w:cs="Arial"/>
          <w:noProof/>
          <w:sz w:val="18"/>
          <w:szCs w:val="18"/>
          <w:highlight w:val="yellow"/>
          <w:lang w:val="en-US"/>
        </w:rPr>
        <w:t xml:space="preserve">xposure </w:t>
      </w:r>
      <w:r>
        <w:rPr>
          <w:rFonts w:ascii="Arial" w:hAnsi="Arial" w:cs="Arial"/>
          <w:noProof/>
          <w:sz w:val="18"/>
          <w:szCs w:val="18"/>
          <w:highlight w:val="yellow"/>
          <w:lang w:val="en-US"/>
        </w:rPr>
        <w:t xml:space="preserve">prophylaxis. </w:t>
      </w:r>
      <w:r w:rsidRPr="00FA5073">
        <w:rPr>
          <w:rFonts w:ascii="Arial" w:hAnsi="Arial" w:cs="Arial"/>
          <w:noProof/>
          <w:sz w:val="18"/>
          <w:szCs w:val="18"/>
          <w:highlight w:val="yellow"/>
        </w:rPr>
        <w:t>Drugs 2019;79:609-19.</w:t>
      </w:r>
    </w:p>
    <w:p w14:paraId="42ADDA71" w14:textId="77777777" w:rsidR="00B86678" w:rsidRDefault="00F4249F">
      <w:pPr>
        <w:rPr>
          <w:rFonts w:ascii="Arial" w:hAnsi="Arial" w:cs="Arial"/>
        </w:rPr>
        <w:sectPr w:rsidR="00B86678" w:rsidSect="00B86678">
          <w:headerReference w:type="default" r:id="rId47"/>
          <w:footerReference w:type="default" r:id="rId48"/>
          <w:pgSz w:w="11906" w:h="16838"/>
          <w:pgMar w:top="1417" w:right="1701" w:bottom="1417" w:left="1701" w:header="708" w:footer="708" w:gutter="0"/>
          <w:cols w:num="2" w:space="708"/>
          <w:docGrid w:linePitch="360"/>
        </w:sectPr>
      </w:pPr>
      <w:r>
        <w:rPr>
          <w:rFonts w:ascii="Arial" w:hAnsi="Arial" w:cs="Arial"/>
        </w:rPr>
        <w:br w:type="page"/>
      </w:r>
    </w:p>
    <w:p w14:paraId="614B9286" w14:textId="04A82C08" w:rsidR="00F4249F" w:rsidRDefault="00F4249F">
      <w:pPr>
        <w:rPr>
          <w:rFonts w:ascii="Arial" w:hAnsi="Arial" w:cs="Arial"/>
        </w:rPr>
      </w:pPr>
    </w:p>
    <w:p w14:paraId="07AF6D16" w14:textId="77777777" w:rsidR="002C1648" w:rsidRPr="00095ECF" w:rsidRDefault="002C1648" w:rsidP="002C1648">
      <w:pPr>
        <w:rPr>
          <w:rFonts w:ascii="Arial" w:hAnsi="Arial" w:cs="Arial"/>
        </w:rPr>
      </w:pPr>
    </w:p>
    <w:p w14:paraId="2E3EC4B1" w14:textId="77777777" w:rsidR="00F4249F" w:rsidRPr="003F3B0A" w:rsidRDefault="00F4249F" w:rsidP="00F4249F">
      <w:pPr>
        <w:spacing w:before="120" w:after="120" w:line="276" w:lineRule="auto"/>
        <w:jc w:val="both"/>
        <w:rPr>
          <w:rFonts w:ascii="Arial" w:hAnsi="Arial" w:cs="Arial"/>
          <w:b/>
          <w:snapToGrid w:val="0"/>
          <w:color w:val="AE1C1F"/>
        </w:rPr>
      </w:pPr>
      <w:r w:rsidRPr="003F3B0A">
        <w:rPr>
          <w:rFonts w:ascii="Arial" w:hAnsi="Arial" w:cs="Arial"/>
          <w:b/>
          <w:snapToGrid w:val="0"/>
          <w:color w:val="AE1C1F"/>
        </w:rPr>
        <w:t xml:space="preserve">7.2. Infección por VIH-2 </w:t>
      </w:r>
    </w:p>
    <w:p w14:paraId="390C8A40" w14:textId="77777777" w:rsidR="00F4249F" w:rsidRPr="00B078E3" w:rsidRDefault="00F4249F" w:rsidP="00F4249F">
      <w:pPr>
        <w:spacing w:before="120" w:after="120" w:line="276" w:lineRule="auto"/>
        <w:jc w:val="both"/>
        <w:rPr>
          <w:rFonts w:ascii="Arial" w:hAnsi="Arial" w:cs="Arial"/>
        </w:rPr>
      </w:pPr>
      <w:r w:rsidRPr="00022D2E">
        <w:rPr>
          <w:rFonts w:ascii="Arial" w:hAnsi="Arial" w:cs="Arial"/>
          <w:highlight w:val="yellow"/>
        </w:rPr>
        <w:t>Es endémica en África Occidental, con prevalencias superiores al 1% en algunas zonas de Guinea-Bissau y Costa de Marfil. A escala mundial, se estima que entre 1 y 2 millones de personas están infectadas por VIH-2, destacando Brasil e India fuera de África.</w:t>
      </w:r>
      <w:r w:rsidRPr="00B078E3">
        <w:rPr>
          <w:rFonts w:ascii="Arial" w:hAnsi="Arial" w:cs="Arial"/>
        </w:rPr>
        <w:t xml:space="preserve"> El VIH-2 se transmite por las mismas vías que el VIH-1. Se deben utilizar sistemas de cribado del VIH capaces de detectar tanto VIH-1 como VIH-2, sobre todo en pacientes procedentes de zonas endémicas (África Occidental) o que hayan sido parejas de personas de esas regiones</w:t>
      </w:r>
      <w:r w:rsidRPr="00B078E3">
        <w:rPr>
          <w:rFonts w:ascii="Arial" w:hAnsi="Arial" w:cs="Arial"/>
          <w:vertAlign w:val="superscript"/>
        </w:rPr>
        <w:t>1,2</w:t>
      </w:r>
      <w:r w:rsidRPr="00B078E3">
        <w:rPr>
          <w:rFonts w:ascii="Arial" w:hAnsi="Arial" w:cs="Arial"/>
        </w:rPr>
        <w:t xml:space="preserve">. </w:t>
      </w:r>
    </w:p>
    <w:p w14:paraId="31208BD2" w14:textId="77777777" w:rsidR="00F4249F" w:rsidRPr="00B078E3" w:rsidRDefault="00F4249F" w:rsidP="00F4249F">
      <w:pPr>
        <w:spacing w:line="276" w:lineRule="auto"/>
        <w:jc w:val="both"/>
        <w:rPr>
          <w:rFonts w:ascii="Arial" w:hAnsi="Arial" w:cs="Arial"/>
        </w:rPr>
      </w:pPr>
      <w:r w:rsidRPr="00B078E3">
        <w:rPr>
          <w:rFonts w:ascii="Arial" w:hAnsi="Arial" w:cs="Arial"/>
        </w:rPr>
        <w:t xml:space="preserve">Diversas circunstancias provocan que la toma de decisiones acerca del TAR en los pacientes con VIH-2 tenga una mayor dificultad: </w:t>
      </w:r>
      <w:r w:rsidRPr="00022D2E">
        <w:rPr>
          <w:rFonts w:ascii="Arial" w:hAnsi="Arial" w:cs="Arial"/>
          <w:highlight w:val="yellow"/>
        </w:rPr>
        <w:t xml:space="preserve">1) La infección por VIH-2 se caracteriza por un estadio asintomático más largo, con valores de CVP más bajos y a menudo indetectables. 2) En el momento actual no disponemos de pruebas comerciales para medir la CVP de VIH-2 ni para analizar las resistencias genotípicas en VIH-2, aunque algunos laboratorios han desarrollado procedimientos no comerciales que han sido suficientemente validados para determinar la CVP de VIH-2. 3) </w:t>
      </w:r>
      <w:r w:rsidRPr="00022D2E">
        <w:rPr>
          <w:rFonts w:ascii="Arial" w:hAnsi="Arial" w:cs="Arial"/>
        </w:rPr>
        <w:t>Los algoritmos genotípicos utilizados para predecir resistencias a FAR en el VIH-1 no son directamente aplicables al</w:t>
      </w:r>
      <w:r w:rsidRPr="00022D2E" w:rsidDel="00512CA2">
        <w:rPr>
          <w:rFonts w:ascii="Arial" w:hAnsi="Arial" w:cs="Arial"/>
        </w:rPr>
        <w:t xml:space="preserve"> </w:t>
      </w:r>
      <w:r w:rsidRPr="00022D2E">
        <w:rPr>
          <w:rFonts w:ascii="Arial" w:hAnsi="Arial" w:cs="Arial"/>
        </w:rPr>
        <w:t>VIH-2.</w:t>
      </w:r>
      <w:r w:rsidRPr="00022D2E">
        <w:rPr>
          <w:rFonts w:ascii="Arial" w:hAnsi="Arial" w:cs="Arial"/>
          <w:highlight w:val="yellow"/>
        </w:rPr>
        <w:t xml:space="preserve"> 4) </w:t>
      </w:r>
      <w:r w:rsidRPr="00022D2E">
        <w:rPr>
          <w:rFonts w:ascii="Arial" w:hAnsi="Arial" w:cs="Arial"/>
        </w:rPr>
        <w:t xml:space="preserve">Cuando la </w:t>
      </w:r>
      <w:r w:rsidRPr="00022D2E">
        <w:rPr>
          <w:rFonts w:ascii="Arial" w:hAnsi="Arial" w:cs="Arial"/>
          <w:highlight w:val="yellow"/>
        </w:rPr>
        <w:t xml:space="preserve">inmunodeficiencia </w:t>
      </w:r>
      <w:r w:rsidRPr="00022D2E">
        <w:rPr>
          <w:rFonts w:ascii="Arial" w:hAnsi="Arial" w:cs="Arial"/>
        </w:rPr>
        <w:t xml:space="preserve">avanza, los pacientes </w:t>
      </w:r>
      <w:r w:rsidRPr="00022D2E">
        <w:rPr>
          <w:rFonts w:ascii="Arial" w:hAnsi="Arial" w:cs="Arial"/>
          <w:highlight w:val="yellow"/>
        </w:rPr>
        <w:t xml:space="preserve">con infección por el VIH-2 se recuperan con más dificultad, </w:t>
      </w:r>
      <w:r w:rsidRPr="00022D2E">
        <w:rPr>
          <w:rFonts w:ascii="Arial" w:hAnsi="Arial" w:cs="Arial"/>
        </w:rPr>
        <w:t xml:space="preserve">con peor respuesta al TAR </w:t>
      </w:r>
      <w:r w:rsidRPr="00022D2E">
        <w:rPr>
          <w:rFonts w:ascii="Arial" w:hAnsi="Arial" w:cs="Arial"/>
          <w:highlight w:val="yellow"/>
        </w:rPr>
        <w:t xml:space="preserve">y normalización </w:t>
      </w:r>
      <w:r w:rsidRPr="00022D2E">
        <w:rPr>
          <w:rFonts w:ascii="Arial" w:hAnsi="Arial" w:cs="Arial"/>
        </w:rPr>
        <w:t>de linfocitos CD4+</w:t>
      </w:r>
      <w:r w:rsidRPr="00022D2E">
        <w:rPr>
          <w:rFonts w:ascii="Arial" w:hAnsi="Arial" w:cs="Arial"/>
          <w:noProof/>
          <w:highlight w:val="yellow"/>
          <w:vertAlign w:val="superscript"/>
        </w:rPr>
        <w:t>2-3</w:t>
      </w:r>
      <w:r w:rsidRPr="00022D2E">
        <w:rPr>
          <w:rFonts w:ascii="Arial" w:hAnsi="Arial" w:cs="Arial"/>
          <w:highlight w:val="yellow"/>
        </w:rPr>
        <w:t>.</w:t>
      </w:r>
      <w:r w:rsidRPr="00B078E3">
        <w:rPr>
          <w:rFonts w:ascii="Arial" w:hAnsi="Arial" w:cs="Arial"/>
        </w:rPr>
        <w:t xml:space="preserve"> </w:t>
      </w:r>
      <w:r w:rsidRPr="00022D2E">
        <w:rPr>
          <w:rFonts w:ascii="Arial" w:hAnsi="Arial" w:cs="Arial"/>
          <w:highlight w:val="yellow"/>
        </w:rPr>
        <w:t xml:space="preserve">Aunque no se conoce el momento óptimo de inicio del TAR en los pacientes infectados por el VIH-2, </w:t>
      </w:r>
      <w:r>
        <w:rPr>
          <w:rFonts w:ascii="Arial" w:hAnsi="Arial" w:cs="Arial"/>
          <w:highlight w:val="yellow"/>
        </w:rPr>
        <w:t xml:space="preserve">probablemente </w:t>
      </w:r>
      <w:r w:rsidRPr="00022D2E">
        <w:rPr>
          <w:rFonts w:ascii="Arial" w:hAnsi="Arial" w:cs="Arial"/>
          <w:highlight w:val="yellow"/>
        </w:rPr>
        <w:t>se</w:t>
      </w:r>
      <w:r>
        <w:rPr>
          <w:rFonts w:ascii="Arial" w:hAnsi="Arial" w:cs="Arial"/>
          <w:highlight w:val="yellow"/>
        </w:rPr>
        <w:t xml:space="preserve"> deba</w:t>
      </w:r>
      <w:r w:rsidRPr="00022D2E">
        <w:rPr>
          <w:rFonts w:ascii="Arial" w:hAnsi="Arial" w:cs="Arial"/>
          <w:highlight w:val="yellow"/>
        </w:rPr>
        <w:t xml:space="preserve"> comenzar tan pronto como sea posible tras el diagnóstico, para prevenir la progresión clínica y reducir la transmisión viral.</w:t>
      </w:r>
    </w:p>
    <w:p w14:paraId="48A0D792" w14:textId="77777777" w:rsidR="00F4249F" w:rsidRPr="00B078E3" w:rsidRDefault="00F4249F" w:rsidP="00F4249F">
      <w:pPr>
        <w:spacing w:before="120" w:after="120" w:line="276" w:lineRule="auto"/>
        <w:jc w:val="both"/>
        <w:rPr>
          <w:rFonts w:ascii="Arial" w:hAnsi="Arial" w:cs="Arial"/>
        </w:rPr>
      </w:pPr>
      <w:r w:rsidRPr="00022D2E">
        <w:rPr>
          <w:rFonts w:ascii="Arial" w:hAnsi="Arial" w:cs="Arial"/>
          <w:highlight w:val="yellow"/>
        </w:rPr>
        <w:t>El VIH-2 presenta</w:t>
      </w:r>
      <w:r w:rsidRPr="00B078E3">
        <w:rPr>
          <w:rFonts w:ascii="Arial" w:hAnsi="Arial" w:cs="Arial"/>
        </w:rPr>
        <w:t xml:space="preserve"> resistencia intrínseca a los ITINN y ENF. Además, el uso de MVC está desaconsejado por la no disponibilidad de una prueba de tropismo y por la capacidad del VIH-2 para utilizar otros correceptores</w:t>
      </w:r>
      <w:r w:rsidRPr="00B078E3">
        <w:rPr>
          <w:rFonts w:ascii="Arial" w:hAnsi="Arial" w:cs="Arial"/>
          <w:noProof/>
          <w:vertAlign w:val="superscript"/>
        </w:rPr>
        <w:t>1</w:t>
      </w:r>
      <w:r w:rsidRPr="00B078E3">
        <w:rPr>
          <w:rFonts w:ascii="Arial" w:hAnsi="Arial" w:cs="Arial"/>
        </w:rPr>
        <w:t>. En contraposición, es sensible a los ITIAN, aunque tiene una barrera genética más baja que el VIH-1</w:t>
      </w:r>
      <w:r w:rsidRPr="00022D2E">
        <w:rPr>
          <w:rFonts w:ascii="Arial" w:hAnsi="Arial" w:cs="Arial"/>
          <w:highlight w:val="yellow"/>
        </w:rPr>
        <w:t>. También</w:t>
      </w:r>
      <w:r w:rsidRPr="00B078E3">
        <w:rPr>
          <w:rFonts w:ascii="Arial" w:hAnsi="Arial" w:cs="Arial"/>
        </w:rPr>
        <w:t xml:space="preserve"> presenta una sensibilidad variable frente a los IP, siendo LPV, SQV y DRV los más activos</w:t>
      </w:r>
      <w:r w:rsidRPr="00B078E3">
        <w:rPr>
          <w:rFonts w:ascii="Arial" w:hAnsi="Arial" w:cs="Arial"/>
          <w:noProof/>
          <w:vertAlign w:val="superscript"/>
        </w:rPr>
        <w:t>2-3</w:t>
      </w:r>
      <w:r w:rsidRPr="00B078E3">
        <w:rPr>
          <w:rFonts w:ascii="Arial" w:hAnsi="Arial" w:cs="Arial"/>
        </w:rPr>
        <w:t>. Los INI EVG, RAL</w:t>
      </w:r>
      <w:r>
        <w:rPr>
          <w:rFonts w:ascii="Arial" w:hAnsi="Arial" w:cs="Arial"/>
        </w:rPr>
        <w:t xml:space="preserve">, </w:t>
      </w:r>
      <w:r w:rsidRPr="00B078E3">
        <w:rPr>
          <w:rFonts w:ascii="Arial" w:hAnsi="Arial" w:cs="Arial"/>
        </w:rPr>
        <w:t>DTG</w:t>
      </w:r>
      <w:r>
        <w:rPr>
          <w:rFonts w:ascii="Arial" w:hAnsi="Arial" w:cs="Arial"/>
        </w:rPr>
        <w:t xml:space="preserve"> </w:t>
      </w:r>
      <w:r w:rsidRPr="00022D2E">
        <w:rPr>
          <w:rFonts w:ascii="Arial" w:hAnsi="Arial" w:cs="Arial"/>
          <w:highlight w:val="yellow"/>
        </w:rPr>
        <w:t>y BIC</w:t>
      </w:r>
      <w:r w:rsidRPr="00B078E3">
        <w:rPr>
          <w:rFonts w:ascii="Arial" w:hAnsi="Arial" w:cs="Arial"/>
        </w:rPr>
        <w:t xml:space="preserve"> son activos</w:t>
      </w:r>
      <w:r w:rsidRPr="00B078E3">
        <w:rPr>
          <w:rFonts w:ascii="Arial" w:hAnsi="Arial" w:cs="Arial"/>
          <w:i/>
        </w:rPr>
        <w:t xml:space="preserve"> </w:t>
      </w:r>
      <w:r w:rsidRPr="00B078E3">
        <w:rPr>
          <w:rFonts w:ascii="Arial" w:hAnsi="Arial" w:cs="Arial"/>
        </w:rPr>
        <w:t>frente al VIH-2</w:t>
      </w:r>
      <w:r>
        <w:rPr>
          <w:rFonts w:ascii="Arial" w:hAnsi="Arial" w:cs="Arial"/>
        </w:rPr>
        <w:t xml:space="preserve"> y han demostrado su eficacia en diferentes estudios clínicos que apoyan su uso dentro de las pautas preferentes ermiten</w:t>
      </w:r>
      <w:r w:rsidRPr="00022D2E">
        <w:rPr>
          <w:rFonts w:ascii="Arial" w:hAnsi="Arial" w:cs="Arial"/>
          <w:noProof/>
          <w:highlight w:val="yellow"/>
          <w:vertAlign w:val="superscript"/>
        </w:rPr>
        <w:t>4-</w:t>
      </w:r>
      <w:r>
        <w:rPr>
          <w:rFonts w:ascii="Arial" w:hAnsi="Arial" w:cs="Arial"/>
          <w:noProof/>
          <w:highlight w:val="yellow"/>
          <w:vertAlign w:val="superscript"/>
        </w:rPr>
        <w:t>8</w:t>
      </w:r>
      <w:r w:rsidRPr="00B078E3">
        <w:rPr>
          <w:rFonts w:ascii="Arial" w:hAnsi="Arial" w:cs="Arial"/>
        </w:rPr>
        <w:t xml:space="preserve">. </w:t>
      </w:r>
    </w:p>
    <w:p w14:paraId="5D7AE589" w14:textId="77777777" w:rsidR="00F4249F" w:rsidRDefault="00F4249F" w:rsidP="00F4249F">
      <w:pPr>
        <w:pStyle w:val="Textoindependiente"/>
        <w:spacing w:before="120" w:line="276" w:lineRule="auto"/>
        <w:jc w:val="both"/>
        <w:outlineLvl w:val="0"/>
        <w:rPr>
          <w:rFonts w:ascii="Arial" w:hAnsi="Arial" w:cs="Arial"/>
          <w:b/>
          <w:color w:val="006600"/>
        </w:rPr>
      </w:pPr>
    </w:p>
    <w:p w14:paraId="4EC4AF61" w14:textId="77777777" w:rsidR="00F4249F" w:rsidRPr="00EE3AD7" w:rsidRDefault="00F4249F" w:rsidP="00F4249F">
      <w:pPr>
        <w:pStyle w:val="Textoindependiente"/>
        <w:spacing w:before="120" w:line="276" w:lineRule="auto"/>
        <w:jc w:val="both"/>
        <w:outlineLvl w:val="0"/>
        <w:rPr>
          <w:rFonts w:ascii="Arial" w:hAnsi="Arial" w:cs="Arial"/>
          <w:b/>
          <w:color w:val="AE1C1F"/>
        </w:rPr>
      </w:pPr>
      <w:r w:rsidRPr="00EE3AD7">
        <w:rPr>
          <w:rFonts w:ascii="Arial" w:hAnsi="Arial" w:cs="Arial"/>
          <w:b/>
          <w:color w:val="AE1C1F"/>
        </w:rPr>
        <w:t>Recomendaciones</w:t>
      </w:r>
    </w:p>
    <w:p w14:paraId="6A890AAE" w14:textId="141662B1" w:rsidR="00F4249F" w:rsidRPr="00B078E3" w:rsidRDefault="00F4249F" w:rsidP="00F4249F">
      <w:pPr>
        <w:pStyle w:val="Prrafodelista"/>
        <w:numPr>
          <w:ilvl w:val="0"/>
          <w:numId w:val="16"/>
        </w:numPr>
        <w:spacing w:before="120" w:after="120" w:line="276" w:lineRule="auto"/>
        <w:contextualSpacing w:val="0"/>
        <w:jc w:val="both"/>
        <w:rPr>
          <w:rFonts w:ascii="Arial" w:hAnsi="Arial" w:cs="Arial"/>
          <w:b/>
        </w:rPr>
      </w:pPr>
      <w:r w:rsidRPr="00B078E3">
        <w:rPr>
          <w:rFonts w:ascii="Arial" w:hAnsi="Arial" w:cs="Arial"/>
        </w:rPr>
        <w:t xml:space="preserve">Los principios generales del TAR en pacientes con infección por </w:t>
      </w:r>
      <w:r>
        <w:rPr>
          <w:rFonts w:ascii="Arial" w:hAnsi="Arial" w:cs="Arial"/>
        </w:rPr>
        <w:t xml:space="preserve">el </w:t>
      </w:r>
      <w:r w:rsidRPr="00B078E3">
        <w:rPr>
          <w:rFonts w:ascii="Arial" w:hAnsi="Arial" w:cs="Arial"/>
        </w:rPr>
        <w:t xml:space="preserve">VIH-2 deben ser los mismos que para la infección por VIH-1 </w:t>
      </w:r>
      <w:r w:rsidRPr="00B078E3">
        <w:rPr>
          <w:rFonts w:ascii="Arial" w:hAnsi="Arial" w:cs="Arial"/>
          <w:b/>
          <w:i/>
        </w:rPr>
        <w:t>(A-III)</w:t>
      </w:r>
      <w:r w:rsidRPr="00B078E3">
        <w:rPr>
          <w:rFonts w:ascii="Arial" w:hAnsi="Arial" w:cs="Arial"/>
        </w:rPr>
        <w:t xml:space="preserve">. </w:t>
      </w:r>
      <w:r w:rsidRPr="007923E7">
        <w:rPr>
          <w:rFonts w:ascii="Arial" w:hAnsi="Arial" w:cs="Arial"/>
          <w:highlight w:val="yellow"/>
        </w:rPr>
        <w:t>Se debe ini</w:t>
      </w:r>
      <w:r w:rsidR="00227394">
        <w:rPr>
          <w:rFonts w:ascii="Arial" w:hAnsi="Arial" w:cs="Arial"/>
          <w:highlight w:val="yellow"/>
        </w:rPr>
        <w:t>ciar el TAR tan pronto como sea</w:t>
      </w:r>
      <w:r w:rsidRPr="007923E7">
        <w:rPr>
          <w:rFonts w:ascii="Arial" w:hAnsi="Arial" w:cs="Arial"/>
          <w:highlight w:val="yellow"/>
        </w:rPr>
        <w:t xml:space="preserve"> posible y se</w:t>
      </w:r>
      <w:r w:rsidRPr="00B078E3">
        <w:rPr>
          <w:rFonts w:ascii="Arial" w:hAnsi="Arial" w:cs="Arial"/>
        </w:rPr>
        <w:t xml:space="preserve"> aconseja monitorizar clínica y CD4 cada 6-12 meses y, si está disponible, la CVP de VIH-2</w:t>
      </w:r>
      <w:r w:rsidRPr="007923E7">
        <w:rPr>
          <w:rFonts w:ascii="Arial" w:hAnsi="Arial" w:cs="Arial"/>
          <w:b/>
          <w:i/>
          <w:highlight w:val="yellow"/>
        </w:rPr>
        <w:t>(A-III)</w:t>
      </w:r>
      <w:r w:rsidRPr="007923E7">
        <w:rPr>
          <w:rFonts w:ascii="Arial" w:hAnsi="Arial" w:cs="Arial"/>
          <w:highlight w:val="yellow"/>
        </w:rPr>
        <w:t>.</w:t>
      </w:r>
    </w:p>
    <w:p w14:paraId="266BAB60" w14:textId="77777777" w:rsidR="00F4249F" w:rsidRPr="00B078E3" w:rsidRDefault="00F4249F" w:rsidP="00F4249F">
      <w:pPr>
        <w:pStyle w:val="Prrafodelista"/>
        <w:numPr>
          <w:ilvl w:val="0"/>
          <w:numId w:val="16"/>
        </w:numPr>
        <w:spacing w:before="120" w:after="120" w:line="276" w:lineRule="auto"/>
        <w:contextualSpacing w:val="0"/>
        <w:jc w:val="both"/>
        <w:rPr>
          <w:rFonts w:ascii="Arial" w:hAnsi="Arial" w:cs="Arial"/>
          <w:i/>
        </w:rPr>
      </w:pPr>
      <w:r w:rsidRPr="00B078E3">
        <w:rPr>
          <w:rFonts w:ascii="Arial" w:hAnsi="Arial" w:cs="Arial"/>
        </w:rPr>
        <w:t>El uso de ITINN, MVC o ENF está contraindicado en el tratamiento de la infección por VIH-2 (</w:t>
      </w:r>
      <w:r w:rsidRPr="00B078E3">
        <w:rPr>
          <w:rFonts w:ascii="Arial" w:hAnsi="Arial" w:cs="Arial"/>
          <w:b/>
          <w:i/>
        </w:rPr>
        <w:t>A-I</w:t>
      </w:r>
      <w:r w:rsidRPr="00B078E3">
        <w:rPr>
          <w:rFonts w:ascii="Arial" w:hAnsi="Arial" w:cs="Arial"/>
        </w:rPr>
        <w:t>)</w:t>
      </w:r>
      <w:r>
        <w:rPr>
          <w:rFonts w:ascii="Arial" w:hAnsi="Arial" w:cs="Arial"/>
        </w:rPr>
        <w:t>.</w:t>
      </w:r>
    </w:p>
    <w:p w14:paraId="0B9A4683" w14:textId="77777777" w:rsidR="00F4249F" w:rsidRPr="007923E7" w:rsidRDefault="00F4249F" w:rsidP="00F4249F">
      <w:pPr>
        <w:pStyle w:val="Prrafodelista"/>
        <w:numPr>
          <w:ilvl w:val="0"/>
          <w:numId w:val="16"/>
        </w:numPr>
        <w:spacing w:before="120" w:after="120" w:line="276" w:lineRule="auto"/>
        <w:contextualSpacing w:val="0"/>
        <w:jc w:val="both"/>
        <w:rPr>
          <w:rFonts w:ascii="Arial" w:hAnsi="Arial" w:cs="Arial"/>
          <w:highlight w:val="yellow"/>
        </w:rPr>
      </w:pPr>
      <w:r w:rsidRPr="00B078E3">
        <w:rPr>
          <w:rFonts w:ascii="Arial" w:hAnsi="Arial" w:cs="Arial"/>
        </w:rPr>
        <w:lastRenderedPageBreak/>
        <w:t xml:space="preserve">El régimen de TAR </w:t>
      </w:r>
      <w:r w:rsidRPr="007923E7">
        <w:rPr>
          <w:rFonts w:ascii="Arial" w:hAnsi="Arial" w:cs="Arial"/>
          <w:highlight w:val="yellow"/>
        </w:rPr>
        <w:t xml:space="preserve">preferente de inicio en estos pacientes es la combinación de 2 ITIAN + 1 INI </w:t>
      </w:r>
      <w:r w:rsidRPr="007923E7">
        <w:rPr>
          <w:rFonts w:ascii="Arial" w:hAnsi="Arial" w:cs="Arial"/>
          <w:b/>
          <w:i/>
          <w:highlight w:val="yellow"/>
        </w:rPr>
        <w:t>(A-II).</w:t>
      </w:r>
      <w:r w:rsidRPr="007923E7">
        <w:rPr>
          <w:rFonts w:ascii="Arial" w:hAnsi="Arial" w:cs="Arial"/>
          <w:highlight w:val="yellow"/>
        </w:rPr>
        <w:t xml:space="preserve"> Como alternativa a los INI, puede aconsejarse un IP/p de los activos frente a VIH-2 (LPV, DRV o SQV)</w:t>
      </w:r>
      <w:r>
        <w:rPr>
          <w:rFonts w:ascii="Arial" w:hAnsi="Arial" w:cs="Arial"/>
          <w:b/>
          <w:i/>
          <w:highlight w:val="yellow"/>
        </w:rPr>
        <w:t xml:space="preserve"> (</w:t>
      </w:r>
      <w:r w:rsidRPr="007923E7">
        <w:rPr>
          <w:rFonts w:ascii="Arial" w:hAnsi="Arial" w:cs="Arial"/>
          <w:b/>
          <w:i/>
          <w:highlight w:val="yellow"/>
        </w:rPr>
        <w:t>C-II</w:t>
      </w:r>
      <w:r>
        <w:rPr>
          <w:rFonts w:ascii="Arial" w:hAnsi="Arial" w:cs="Arial"/>
          <w:b/>
          <w:i/>
          <w:highlight w:val="yellow"/>
        </w:rPr>
        <w:t>)</w:t>
      </w:r>
      <w:r w:rsidRPr="007923E7">
        <w:rPr>
          <w:rFonts w:ascii="Arial" w:hAnsi="Arial" w:cs="Arial"/>
          <w:highlight w:val="yellow"/>
        </w:rPr>
        <w:t>.</w:t>
      </w:r>
    </w:p>
    <w:p w14:paraId="388FD1C1" w14:textId="77777777" w:rsidR="00F4249F" w:rsidRPr="007923E7" w:rsidRDefault="00F4249F" w:rsidP="00F4249F">
      <w:pPr>
        <w:pStyle w:val="Prrafodelista"/>
        <w:numPr>
          <w:ilvl w:val="0"/>
          <w:numId w:val="16"/>
        </w:numPr>
        <w:spacing w:before="120" w:after="120" w:line="276" w:lineRule="auto"/>
        <w:contextualSpacing w:val="0"/>
        <w:jc w:val="both"/>
        <w:rPr>
          <w:rFonts w:ascii="Arial" w:hAnsi="Arial" w:cs="Arial"/>
          <w:i/>
          <w:highlight w:val="yellow"/>
        </w:rPr>
      </w:pPr>
      <w:r w:rsidRPr="007923E7">
        <w:rPr>
          <w:rFonts w:ascii="Arial" w:hAnsi="Arial" w:cs="Arial"/>
          <w:highlight w:val="yellow"/>
        </w:rPr>
        <w:t>En pacientes con infección dual VIH-1/VIH-2 el TAR debe seguir las recomendaciones del VIH-2 (</w:t>
      </w:r>
      <w:r w:rsidRPr="007923E7">
        <w:rPr>
          <w:rFonts w:ascii="Arial" w:hAnsi="Arial" w:cs="Arial"/>
          <w:b/>
          <w:i/>
          <w:highlight w:val="yellow"/>
        </w:rPr>
        <w:t>A-III</w:t>
      </w:r>
      <w:r w:rsidRPr="007923E7">
        <w:rPr>
          <w:rFonts w:ascii="Arial" w:hAnsi="Arial" w:cs="Arial"/>
          <w:highlight w:val="yellow"/>
        </w:rPr>
        <w:t>).</w:t>
      </w:r>
    </w:p>
    <w:p w14:paraId="006E9B81" w14:textId="77777777" w:rsidR="00F4249F" w:rsidRPr="003F3B0A" w:rsidRDefault="00F4249F" w:rsidP="00F4249F">
      <w:pPr>
        <w:spacing w:before="120" w:after="120" w:line="276" w:lineRule="auto"/>
        <w:rPr>
          <w:rFonts w:ascii="Arial" w:hAnsi="Arial" w:cs="Arial"/>
        </w:rPr>
      </w:pPr>
    </w:p>
    <w:p w14:paraId="2E5054CB" w14:textId="77777777" w:rsidR="00F4249F" w:rsidRPr="00D67018" w:rsidRDefault="00F4249F" w:rsidP="00F4249F">
      <w:pPr>
        <w:pStyle w:val="EndNoteBibliographyTitle"/>
        <w:spacing w:line="276" w:lineRule="auto"/>
        <w:rPr>
          <w:color w:val="AE1C1F"/>
          <w:lang w:val="en-US"/>
        </w:rPr>
      </w:pPr>
      <w:r w:rsidRPr="00D67018">
        <w:rPr>
          <w:b/>
          <w:color w:val="AE1C1F"/>
          <w:lang w:val="en-US"/>
        </w:rPr>
        <w:t>Referencias bibliográficas</w:t>
      </w:r>
    </w:p>
    <w:p w14:paraId="5AD1BAAD" w14:textId="77777777" w:rsidR="00F4249F" w:rsidRPr="00D67018" w:rsidRDefault="00F4249F" w:rsidP="00F4249F">
      <w:pPr>
        <w:spacing w:line="276" w:lineRule="auto"/>
        <w:rPr>
          <w:rFonts w:ascii="Arial" w:hAnsi="Arial" w:cs="Arial"/>
          <w:lang w:val="en-US"/>
        </w:rPr>
      </w:pPr>
    </w:p>
    <w:p w14:paraId="3AF35667" w14:textId="77777777" w:rsidR="00F4249F" w:rsidRPr="00D67018" w:rsidRDefault="00F4249F" w:rsidP="00F4249F">
      <w:pPr>
        <w:pStyle w:val="EndNoteBibliography"/>
        <w:spacing w:before="120" w:after="120" w:line="276" w:lineRule="auto"/>
        <w:jc w:val="both"/>
        <w:rPr>
          <w:lang w:val="en-US"/>
        </w:rPr>
        <w:sectPr w:rsidR="00F4249F" w:rsidRPr="00D67018" w:rsidSect="00B86678">
          <w:type w:val="continuous"/>
          <w:pgSz w:w="11906" w:h="16838"/>
          <w:pgMar w:top="1417" w:right="1701" w:bottom="1417" w:left="1701" w:header="708" w:footer="708" w:gutter="0"/>
          <w:cols w:space="708"/>
          <w:docGrid w:linePitch="360"/>
        </w:sectPr>
      </w:pPr>
    </w:p>
    <w:p w14:paraId="24467D98" w14:textId="77777777" w:rsidR="00F4249F" w:rsidRPr="003F3B0A" w:rsidRDefault="00F4249F" w:rsidP="00F4249F">
      <w:pPr>
        <w:pStyle w:val="EndNoteBibliography"/>
        <w:spacing w:before="120" w:after="120"/>
        <w:jc w:val="both"/>
        <w:rPr>
          <w:sz w:val="18"/>
          <w:szCs w:val="18"/>
        </w:rPr>
      </w:pPr>
      <w:r w:rsidRPr="007923E7">
        <w:rPr>
          <w:sz w:val="18"/>
          <w:szCs w:val="18"/>
          <w:highlight w:val="yellow"/>
          <w:lang w:val="en-US"/>
        </w:rPr>
        <w:t xml:space="preserve">1. Gottlieb G, Raugi D, Smith R. 90-90-90 for HIV-2? Ending the HIV-2 epidemic by enhancing care and clinical management of patients infected with HIV-2. </w:t>
      </w:r>
      <w:r w:rsidRPr="007923E7">
        <w:rPr>
          <w:sz w:val="18"/>
          <w:szCs w:val="18"/>
          <w:highlight w:val="yellow"/>
        </w:rPr>
        <w:t>Lancet HIV 2018;5:e390-e399.</w:t>
      </w:r>
    </w:p>
    <w:p w14:paraId="3F4CF155" w14:textId="77777777" w:rsidR="00F4249F" w:rsidRPr="003F3B0A" w:rsidRDefault="00F4249F" w:rsidP="00F4249F">
      <w:pPr>
        <w:pStyle w:val="EndNoteBibliography"/>
        <w:spacing w:before="120" w:after="120"/>
        <w:jc w:val="both"/>
        <w:rPr>
          <w:sz w:val="18"/>
          <w:szCs w:val="18"/>
          <w:lang w:val="en-US"/>
        </w:rPr>
      </w:pPr>
      <w:r w:rsidRPr="003F3B0A">
        <w:rPr>
          <w:sz w:val="18"/>
          <w:szCs w:val="18"/>
        </w:rPr>
        <w:t xml:space="preserve">2. de Mendoza C, Cabezas T, Caballero E, et al. </w:t>
      </w:r>
      <w:r w:rsidRPr="003F3B0A">
        <w:rPr>
          <w:sz w:val="18"/>
          <w:szCs w:val="18"/>
          <w:lang w:val="en-US"/>
        </w:rPr>
        <w:t>HIV type 2 epidemic in Spain: challenges and mi</w:t>
      </w:r>
      <w:r>
        <w:rPr>
          <w:sz w:val="18"/>
          <w:szCs w:val="18"/>
          <w:lang w:val="en-US"/>
        </w:rPr>
        <w:t>ssing opportunities. AIDS 2017;</w:t>
      </w:r>
      <w:r w:rsidRPr="003F3B0A">
        <w:rPr>
          <w:sz w:val="18"/>
          <w:szCs w:val="18"/>
          <w:lang w:val="en-US"/>
        </w:rPr>
        <w:t>31:1353-64.</w:t>
      </w:r>
    </w:p>
    <w:p w14:paraId="05D31DCD" w14:textId="77777777" w:rsidR="00F4249F" w:rsidRPr="00D67018" w:rsidRDefault="00F4249F" w:rsidP="00F4249F">
      <w:pPr>
        <w:pStyle w:val="HTMLconformatoprevio"/>
        <w:jc w:val="both"/>
        <w:rPr>
          <w:rFonts w:ascii="Arial" w:hAnsi="Arial" w:cs="Arial"/>
          <w:sz w:val="18"/>
          <w:szCs w:val="18"/>
          <w:lang w:val="es-ES"/>
        </w:rPr>
      </w:pPr>
      <w:r w:rsidRPr="003F3B0A">
        <w:rPr>
          <w:rFonts w:ascii="Arial" w:hAnsi="Arial" w:cs="Arial"/>
          <w:sz w:val="18"/>
          <w:szCs w:val="18"/>
          <w:lang w:val="en-US"/>
        </w:rPr>
        <w:t xml:space="preserve">3. </w:t>
      </w:r>
      <w:r w:rsidRPr="003F3B0A">
        <w:rPr>
          <w:rFonts w:ascii="Arial" w:hAnsi="Arial" w:cs="Arial"/>
          <w:color w:val="000000"/>
          <w:sz w:val="18"/>
          <w:szCs w:val="18"/>
          <w:lang w:val="en-US"/>
        </w:rPr>
        <w:t xml:space="preserve">Wittkop L, Arsandaux J, Trevino A, et al; COHERE in EuroCoord and ACHIeV2e Study Group. CD4 cell count response to first-line combination ART in HIV-2+ patients compared with HIV-1+ patients: a multinational, multicohort European study. </w:t>
      </w:r>
      <w:r w:rsidRPr="00D67018">
        <w:rPr>
          <w:rFonts w:ascii="Arial" w:hAnsi="Arial" w:cs="Arial"/>
          <w:color w:val="000000"/>
          <w:sz w:val="18"/>
          <w:szCs w:val="18"/>
          <w:lang w:val="es-ES"/>
        </w:rPr>
        <w:t>J Antim</w:t>
      </w:r>
      <w:r>
        <w:rPr>
          <w:rFonts w:ascii="Arial" w:hAnsi="Arial" w:cs="Arial"/>
          <w:color w:val="000000"/>
          <w:sz w:val="18"/>
          <w:szCs w:val="18"/>
          <w:lang w:val="es-ES"/>
        </w:rPr>
        <w:t>icrob Chemother 2017; 72:2869-</w:t>
      </w:r>
      <w:r w:rsidRPr="00D67018">
        <w:rPr>
          <w:rFonts w:ascii="Arial" w:hAnsi="Arial" w:cs="Arial"/>
          <w:color w:val="000000"/>
          <w:sz w:val="18"/>
          <w:szCs w:val="18"/>
          <w:lang w:val="es-ES"/>
        </w:rPr>
        <w:t>78.</w:t>
      </w:r>
    </w:p>
    <w:p w14:paraId="0F2B05BC" w14:textId="77777777" w:rsidR="00F4249F" w:rsidRPr="003F3B0A" w:rsidRDefault="00F4249F" w:rsidP="00F4249F">
      <w:pPr>
        <w:pStyle w:val="EndNoteBibliography"/>
        <w:spacing w:before="120" w:after="120"/>
        <w:jc w:val="both"/>
        <w:rPr>
          <w:sz w:val="18"/>
          <w:szCs w:val="18"/>
          <w:lang w:val="en-US"/>
        </w:rPr>
      </w:pPr>
      <w:r w:rsidRPr="007923E7">
        <w:rPr>
          <w:sz w:val="18"/>
          <w:szCs w:val="18"/>
          <w:highlight w:val="yellow"/>
        </w:rPr>
        <w:t xml:space="preserve">4. Requena S, Lozano A, Caballero E, et al. </w:t>
      </w:r>
      <w:r w:rsidRPr="007923E7">
        <w:rPr>
          <w:sz w:val="18"/>
          <w:szCs w:val="18"/>
          <w:highlight w:val="yellow"/>
          <w:lang w:val="en-US"/>
        </w:rPr>
        <w:t>Clinical experience with integrase inhibitors in HIV-2 infected individuals in Spain. J Antimicrob Chemother 2019;74:1357-62.</w:t>
      </w:r>
    </w:p>
    <w:p w14:paraId="0087C2FC" w14:textId="77777777" w:rsidR="00F4249F" w:rsidRPr="003F3B0A" w:rsidRDefault="00F4249F" w:rsidP="00F4249F">
      <w:pPr>
        <w:jc w:val="both"/>
        <w:rPr>
          <w:rFonts w:ascii="Arial" w:hAnsi="Arial" w:cs="Arial"/>
          <w:color w:val="000000"/>
          <w:sz w:val="18"/>
          <w:szCs w:val="18"/>
          <w:shd w:val="clear" w:color="auto" w:fill="FFFFFF"/>
          <w:lang w:val="en-US"/>
        </w:rPr>
      </w:pPr>
      <w:r w:rsidRPr="007923E7">
        <w:rPr>
          <w:rFonts w:ascii="Arial" w:hAnsi="Arial" w:cs="Arial"/>
          <w:color w:val="000000"/>
          <w:sz w:val="18"/>
          <w:szCs w:val="18"/>
          <w:highlight w:val="yellow"/>
          <w:lang w:val="en-US"/>
        </w:rPr>
        <w:t>5.</w:t>
      </w:r>
      <w:r w:rsidRPr="003F3B0A">
        <w:rPr>
          <w:rFonts w:ascii="Arial" w:hAnsi="Arial" w:cs="Arial"/>
          <w:color w:val="000000"/>
          <w:sz w:val="18"/>
          <w:szCs w:val="18"/>
          <w:lang w:val="en-US"/>
        </w:rPr>
        <w:t xml:space="preserve"> Ba S, Raugi D, Smith R, et al. A </w:t>
      </w:r>
      <w:r>
        <w:rPr>
          <w:rFonts w:ascii="Arial" w:hAnsi="Arial" w:cs="Arial"/>
          <w:color w:val="000000"/>
          <w:sz w:val="18"/>
          <w:szCs w:val="18"/>
          <w:lang w:val="en-US"/>
        </w:rPr>
        <w:t>t</w:t>
      </w:r>
      <w:r w:rsidRPr="003F3B0A">
        <w:rPr>
          <w:rFonts w:ascii="Arial" w:hAnsi="Arial" w:cs="Arial"/>
          <w:color w:val="000000"/>
          <w:sz w:val="18"/>
          <w:szCs w:val="18"/>
          <w:lang w:val="en-US"/>
        </w:rPr>
        <w:t>rial of a single tablet regimen of elvitegravir, cobicistat, emtricitabine, and tenofovir disoproxil fumarate for the initial treatment of HIV-2 infection in a resource-limited setting: 48</w:t>
      </w:r>
      <w:r>
        <w:rPr>
          <w:rFonts w:ascii="Arial" w:hAnsi="Arial" w:cs="Arial"/>
          <w:color w:val="000000"/>
          <w:sz w:val="18"/>
          <w:szCs w:val="18"/>
          <w:lang w:val="en-US"/>
        </w:rPr>
        <w:t>-</w:t>
      </w:r>
      <w:r w:rsidRPr="003F3B0A">
        <w:rPr>
          <w:rFonts w:ascii="Arial" w:hAnsi="Arial" w:cs="Arial"/>
          <w:color w:val="000000"/>
          <w:sz w:val="18"/>
          <w:szCs w:val="18"/>
          <w:lang w:val="en-US"/>
        </w:rPr>
        <w:t>week results from Senegal, West Africa. Clin Infect Dis 2018</w:t>
      </w:r>
      <w:r>
        <w:rPr>
          <w:rFonts w:ascii="Arial" w:hAnsi="Arial" w:cs="Arial"/>
          <w:color w:val="000000"/>
          <w:sz w:val="18"/>
          <w:szCs w:val="18"/>
          <w:lang w:val="en-US"/>
        </w:rPr>
        <w:t>; 67:1588-94</w:t>
      </w:r>
      <w:r w:rsidRPr="003F3B0A">
        <w:rPr>
          <w:rFonts w:ascii="Arial" w:hAnsi="Arial" w:cs="Arial"/>
          <w:color w:val="000000"/>
          <w:sz w:val="18"/>
          <w:szCs w:val="18"/>
          <w:shd w:val="clear" w:color="auto" w:fill="FFFFFF"/>
          <w:lang w:val="en-US"/>
        </w:rPr>
        <w:t>.</w:t>
      </w:r>
    </w:p>
    <w:p w14:paraId="734FEE2C" w14:textId="77777777" w:rsidR="00F4249F" w:rsidRPr="00234F32" w:rsidRDefault="00F4249F" w:rsidP="00F4249F">
      <w:pPr>
        <w:spacing w:before="120" w:after="120"/>
        <w:jc w:val="both"/>
        <w:rPr>
          <w:rFonts w:ascii="Arial" w:hAnsi="Arial" w:cs="Arial"/>
          <w:color w:val="000000"/>
          <w:sz w:val="18"/>
          <w:szCs w:val="18"/>
          <w:shd w:val="clear" w:color="auto" w:fill="FFFFFF"/>
          <w:lang w:val="en-US"/>
        </w:rPr>
      </w:pPr>
      <w:r w:rsidRPr="007923E7">
        <w:rPr>
          <w:rFonts w:ascii="Arial" w:hAnsi="Arial" w:cs="Arial"/>
          <w:color w:val="000000"/>
          <w:sz w:val="18"/>
          <w:szCs w:val="18"/>
          <w:highlight w:val="yellow"/>
          <w:lang w:val="en-US"/>
        </w:rPr>
        <w:t>6.</w:t>
      </w:r>
      <w:r w:rsidRPr="003F3B0A">
        <w:rPr>
          <w:rFonts w:ascii="Arial" w:hAnsi="Arial" w:cs="Arial"/>
          <w:color w:val="000000"/>
          <w:sz w:val="18"/>
          <w:szCs w:val="18"/>
          <w:lang w:val="en-US"/>
        </w:rPr>
        <w:t xml:space="preserve"> Matheron S, Descamps D, Gallien S, et al. First line raltegravir/emtricitabine/tenofovir combination in HIV-2 infection: phase 2 non-comparative trial (ANRS 159 HIV-2). </w:t>
      </w:r>
      <w:r w:rsidRPr="00234F32">
        <w:rPr>
          <w:rFonts w:ascii="Arial" w:hAnsi="Arial" w:cs="Arial"/>
          <w:color w:val="000000"/>
          <w:sz w:val="18"/>
          <w:szCs w:val="18"/>
          <w:lang w:val="en-US"/>
        </w:rPr>
        <w:t xml:space="preserve">Clin Infect Dis 2018 </w:t>
      </w:r>
      <w:r>
        <w:rPr>
          <w:rFonts w:ascii="Arial" w:hAnsi="Arial" w:cs="Arial"/>
          <w:color w:val="000000"/>
          <w:sz w:val="18"/>
          <w:szCs w:val="18"/>
          <w:shd w:val="clear" w:color="auto" w:fill="FFFFFF"/>
          <w:lang w:val="en-US"/>
        </w:rPr>
        <w:t>67:1161-</w:t>
      </w:r>
      <w:r w:rsidRPr="00234F32">
        <w:rPr>
          <w:rFonts w:ascii="Arial" w:hAnsi="Arial" w:cs="Arial"/>
          <w:color w:val="000000"/>
          <w:sz w:val="18"/>
          <w:szCs w:val="18"/>
          <w:shd w:val="clear" w:color="auto" w:fill="FFFFFF"/>
          <w:lang w:val="en-US"/>
        </w:rPr>
        <w:t>67.</w:t>
      </w:r>
    </w:p>
    <w:p w14:paraId="5C7109C4" w14:textId="77777777" w:rsidR="00F4249F" w:rsidRPr="007923E7" w:rsidRDefault="00F4249F" w:rsidP="00F4249F">
      <w:pPr>
        <w:pStyle w:val="EndNoteBibliography"/>
        <w:spacing w:before="120" w:after="120"/>
        <w:jc w:val="both"/>
        <w:rPr>
          <w:sz w:val="18"/>
          <w:szCs w:val="18"/>
          <w:highlight w:val="yellow"/>
        </w:rPr>
      </w:pPr>
      <w:r w:rsidRPr="007923E7">
        <w:rPr>
          <w:rFonts w:cs="Arial"/>
          <w:color w:val="000000"/>
          <w:sz w:val="18"/>
          <w:szCs w:val="18"/>
          <w:highlight w:val="yellow"/>
          <w:shd w:val="clear" w:color="auto" w:fill="FFFFFF"/>
          <w:lang w:val="en-US"/>
        </w:rPr>
        <w:t xml:space="preserve">7. </w:t>
      </w:r>
      <w:r w:rsidRPr="007923E7">
        <w:rPr>
          <w:sz w:val="18"/>
          <w:szCs w:val="18"/>
          <w:highlight w:val="yellow"/>
          <w:lang w:val="en-US"/>
        </w:rPr>
        <w:t xml:space="preserve">Smith RA, Raugi DN, Wu VH, et al. Comparison of the antiviral activity of bictegravir against HIV-1 and HIV-2 isolates and integrase inhibitor-resistant HIV-2 mutants. </w:t>
      </w:r>
      <w:r w:rsidRPr="007923E7">
        <w:rPr>
          <w:sz w:val="18"/>
          <w:szCs w:val="18"/>
          <w:highlight w:val="yellow"/>
        </w:rPr>
        <w:t>Antimicrob Agents Chemother 2019;63:e00014-19.</w:t>
      </w:r>
    </w:p>
    <w:p w14:paraId="77908C47" w14:textId="77777777" w:rsidR="00F4249F" w:rsidRPr="00F4249F" w:rsidRDefault="00F4249F" w:rsidP="00F4249F">
      <w:pPr>
        <w:pStyle w:val="EndNoteBibliography"/>
        <w:spacing w:before="120" w:after="120"/>
        <w:jc w:val="both"/>
        <w:rPr>
          <w:sz w:val="18"/>
          <w:szCs w:val="18"/>
        </w:rPr>
      </w:pPr>
      <w:r w:rsidRPr="007923E7">
        <w:rPr>
          <w:sz w:val="18"/>
          <w:szCs w:val="18"/>
          <w:highlight w:val="yellow"/>
        </w:rPr>
        <w:t xml:space="preserve">8. Requena S, Caballero E, Lozano A, et al. </w:t>
      </w:r>
      <w:r w:rsidRPr="007923E7">
        <w:rPr>
          <w:sz w:val="18"/>
          <w:szCs w:val="18"/>
          <w:highlight w:val="yellow"/>
          <w:lang w:val="en-US"/>
        </w:rPr>
        <w:t xml:space="preserve">Treatment outcome in dually HIV-1 and HIV-2 coinfected patients living in Spain. </w:t>
      </w:r>
      <w:r w:rsidRPr="00F4249F">
        <w:rPr>
          <w:sz w:val="18"/>
          <w:szCs w:val="18"/>
          <w:highlight w:val="yellow"/>
        </w:rPr>
        <w:t>AIDS 2019;33: 2167-72.</w:t>
      </w:r>
    </w:p>
    <w:p w14:paraId="7F626518" w14:textId="77777777" w:rsidR="00F4249F" w:rsidRPr="00F4249F" w:rsidRDefault="00F4249F" w:rsidP="00F4249F">
      <w:pPr>
        <w:pStyle w:val="EndNoteBibliography"/>
        <w:spacing w:before="120" w:after="120"/>
        <w:jc w:val="both"/>
        <w:rPr>
          <w:sz w:val="18"/>
          <w:szCs w:val="18"/>
        </w:rPr>
        <w:sectPr w:rsidR="00F4249F" w:rsidRPr="00F4249F">
          <w:type w:val="continuous"/>
          <w:pgSz w:w="11906" w:h="16838"/>
          <w:pgMar w:top="1417" w:right="1701" w:bottom="1417" w:left="1701" w:header="708" w:footer="708" w:gutter="0"/>
          <w:cols w:num="2" w:sep="1" w:space="397"/>
          <w:docGrid w:linePitch="360"/>
        </w:sectPr>
      </w:pPr>
    </w:p>
    <w:p w14:paraId="7CCD39BC" w14:textId="77777777" w:rsidR="00F4249F" w:rsidRPr="00F4249F" w:rsidRDefault="00F4249F" w:rsidP="00F4249F">
      <w:pPr>
        <w:jc w:val="both"/>
        <w:rPr>
          <w:rFonts w:ascii="Arial" w:hAnsi="Arial" w:cs="Arial"/>
          <w:noProof/>
          <w:sz w:val="18"/>
        </w:rPr>
        <w:sectPr w:rsidR="00F4249F" w:rsidRPr="00F4249F">
          <w:headerReference w:type="default" r:id="rId49"/>
          <w:footerReference w:type="default" r:id="rId50"/>
          <w:type w:val="continuous"/>
          <w:pgSz w:w="11906" w:h="16838"/>
          <w:pgMar w:top="1417" w:right="1701" w:bottom="1417" w:left="1701" w:header="708" w:footer="708" w:gutter="0"/>
          <w:cols w:num="2" w:sep="1" w:space="340"/>
          <w:docGrid w:linePitch="360"/>
        </w:sectPr>
      </w:pPr>
    </w:p>
    <w:p w14:paraId="758E956A" w14:textId="77777777" w:rsidR="002C1648" w:rsidRPr="00095ECF" w:rsidRDefault="002C1648" w:rsidP="002C1648">
      <w:pPr>
        <w:pStyle w:val="EndNoteBibliography"/>
        <w:spacing w:before="120" w:after="120"/>
        <w:jc w:val="both"/>
        <w:rPr>
          <w:rFonts w:cs="Arial"/>
          <w:sz w:val="18"/>
          <w:szCs w:val="18"/>
        </w:rPr>
        <w:sectPr w:rsidR="002C1648" w:rsidRPr="00095ECF">
          <w:headerReference w:type="default" r:id="rId51"/>
          <w:footerReference w:type="default" r:id="rId52"/>
          <w:type w:val="continuous"/>
          <w:pgSz w:w="11906" w:h="16838"/>
          <w:pgMar w:top="1417" w:right="1701" w:bottom="1417" w:left="1701" w:header="708" w:footer="708" w:gutter="0"/>
          <w:cols w:num="2" w:sep="1" w:space="397"/>
          <w:docGrid w:linePitch="360"/>
        </w:sectPr>
      </w:pPr>
    </w:p>
    <w:p w14:paraId="7A070B20" w14:textId="77777777" w:rsidR="002C1648" w:rsidRPr="00095ECF" w:rsidRDefault="002C1648" w:rsidP="002C1648">
      <w:pPr>
        <w:jc w:val="both"/>
        <w:rPr>
          <w:rFonts w:ascii="Arial" w:hAnsi="Arial" w:cs="Arial"/>
          <w:noProof/>
          <w:sz w:val="18"/>
        </w:rPr>
        <w:sectPr w:rsidR="002C1648" w:rsidRPr="00095ECF">
          <w:headerReference w:type="default" r:id="rId53"/>
          <w:footerReference w:type="default" r:id="rId54"/>
          <w:type w:val="continuous"/>
          <w:pgSz w:w="11906" w:h="16838"/>
          <w:pgMar w:top="1417" w:right="1701" w:bottom="1417" w:left="1701" w:header="708" w:footer="708" w:gutter="0"/>
          <w:cols w:num="2" w:sep="1" w:space="340"/>
          <w:docGrid w:linePitch="360"/>
        </w:sectPr>
      </w:pPr>
    </w:p>
    <w:p w14:paraId="7B42C222" w14:textId="77777777" w:rsidR="002C1648" w:rsidRPr="00095ECF" w:rsidRDefault="002C1648" w:rsidP="002C1648">
      <w:pPr>
        <w:rPr>
          <w:rFonts w:ascii="Arial" w:hAnsi="Arial" w:cs="Arial"/>
        </w:rPr>
      </w:pPr>
    </w:p>
    <w:p w14:paraId="38FBF9C3" w14:textId="77777777" w:rsidR="00177A8A" w:rsidRPr="003F3B0A" w:rsidRDefault="00177A8A" w:rsidP="00177A8A">
      <w:pPr>
        <w:autoSpaceDE w:val="0"/>
        <w:autoSpaceDN w:val="0"/>
        <w:adjustRightInd w:val="0"/>
        <w:snapToGrid w:val="0"/>
        <w:spacing w:before="120" w:after="120" w:line="276" w:lineRule="auto"/>
        <w:rPr>
          <w:rFonts w:ascii="Arial" w:hAnsi="Arial" w:cs="Arial"/>
          <w:b/>
          <w:bCs/>
          <w:color w:val="AE1C1F"/>
          <w:lang w:eastAsia="en-US"/>
        </w:rPr>
      </w:pPr>
      <w:r w:rsidRPr="003F3B0A">
        <w:rPr>
          <w:rFonts w:ascii="Arial" w:hAnsi="Arial" w:cs="Arial"/>
          <w:b/>
          <w:bCs/>
          <w:color w:val="AE1C1F"/>
          <w:lang w:eastAsia="en-US"/>
        </w:rPr>
        <w:t xml:space="preserve">7.3. Embarazo </w:t>
      </w:r>
    </w:p>
    <w:p w14:paraId="35A97BEB" w14:textId="77777777" w:rsidR="00177A8A" w:rsidRDefault="00177A8A" w:rsidP="00177A8A">
      <w:pPr>
        <w:autoSpaceDE w:val="0"/>
        <w:autoSpaceDN w:val="0"/>
        <w:adjustRightInd w:val="0"/>
        <w:snapToGrid w:val="0"/>
        <w:spacing w:before="120" w:after="120" w:line="276" w:lineRule="auto"/>
        <w:jc w:val="both"/>
        <w:rPr>
          <w:rFonts w:ascii="Arial" w:hAnsi="Arial" w:cs="Arial"/>
          <w:color w:val="000000"/>
          <w:lang w:eastAsia="en-US"/>
        </w:rPr>
      </w:pPr>
      <w:r w:rsidRPr="003F3B0A">
        <w:rPr>
          <w:rFonts w:ascii="Arial" w:hAnsi="Arial" w:cs="Arial"/>
          <w:color w:val="000000"/>
          <w:lang w:eastAsia="en-US"/>
        </w:rPr>
        <w:t>El TAR en el embarazo se discute en un documento de consenso elaborado por el PNS en colaboración con GeSIDA y otras sociedades. Se recomienda su lectura y la de otra guía internacional sobre el tema</w:t>
      </w:r>
      <w:r w:rsidRPr="003F3B0A">
        <w:rPr>
          <w:rFonts w:ascii="Arial" w:hAnsi="Arial" w:cs="Arial"/>
          <w:noProof/>
          <w:color w:val="000000"/>
          <w:vertAlign w:val="superscript"/>
          <w:lang w:eastAsia="en-US"/>
        </w:rPr>
        <w:t>2</w:t>
      </w:r>
      <w:r w:rsidRPr="003F3B0A">
        <w:rPr>
          <w:rFonts w:ascii="Arial" w:hAnsi="Arial" w:cs="Arial"/>
          <w:noProof/>
          <w:color w:val="000000"/>
          <w:lang w:eastAsia="en-US"/>
        </w:rPr>
        <w:t xml:space="preserve"> </w:t>
      </w:r>
      <w:r w:rsidRPr="003F3B0A">
        <w:rPr>
          <w:rFonts w:ascii="Arial" w:hAnsi="Arial" w:cs="Arial"/>
          <w:color w:val="000000"/>
          <w:lang w:eastAsia="en-US"/>
        </w:rPr>
        <w:t>así como la de otras aportaciones</w:t>
      </w:r>
      <w:r w:rsidRPr="003F3B0A">
        <w:rPr>
          <w:rFonts w:ascii="Arial" w:hAnsi="Arial" w:cs="Arial"/>
          <w:noProof/>
          <w:color w:val="000000"/>
          <w:vertAlign w:val="superscript"/>
          <w:lang w:eastAsia="en-US"/>
        </w:rPr>
        <w:t>3-8</w:t>
      </w:r>
      <w:r w:rsidRPr="003F3B0A">
        <w:rPr>
          <w:rFonts w:ascii="Arial" w:hAnsi="Arial" w:cs="Arial"/>
          <w:color w:val="000000"/>
          <w:lang w:eastAsia="en-US"/>
        </w:rPr>
        <w:t xml:space="preserve"> para cualquier duda al respecto. </w:t>
      </w:r>
    </w:p>
    <w:p w14:paraId="4203A430" w14:textId="77777777" w:rsidR="00177A8A" w:rsidRDefault="00177A8A" w:rsidP="00177A8A">
      <w:pPr>
        <w:autoSpaceDE w:val="0"/>
        <w:autoSpaceDN w:val="0"/>
        <w:adjustRightInd w:val="0"/>
        <w:snapToGrid w:val="0"/>
        <w:spacing w:before="120" w:after="120" w:line="276" w:lineRule="auto"/>
        <w:jc w:val="both"/>
        <w:rPr>
          <w:rFonts w:ascii="Arial" w:hAnsi="Arial" w:cs="Arial"/>
          <w:color w:val="000000"/>
        </w:rPr>
      </w:pPr>
      <w:r w:rsidRPr="00AF120C">
        <w:rPr>
          <w:rFonts w:ascii="Arial" w:hAnsi="Arial" w:cs="Arial"/>
          <w:color w:val="000000"/>
          <w:highlight w:val="yellow"/>
        </w:rPr>
        <w:t>El objetivo del TAR es conseguir y mantener CVP indetectable durante el mayor tiempo de gestación posible, especialmente en el tercer trimestre y en el momento del parto</w:t>
      </w:r>
    </w:p>
    <w:p w14:paraId="20BE99A9" w14:textId="77777777" w:rsidR="00177A8A" w:rsidRPr="003F3B0A" w:rsidRDefault="00177A8A" w:rsidP="00177A8A">
      <w:pPr>
        <w:autoSpaceDE w:val="0"/>
        <w:autoSpaceDN w:val="0"/>
        <w:adjustRightInd w:val="0"/>
        <w:snapToGrid w:val="0"/>
        <w:spacing w:before="120" w:after="120" w:line="276" w:lineRule="auto"/>
        <w:jc w:val="both"/>
        <w:rPr>
          <w:rFonts w:ascii="Arial" w:hAnsi="Arial" w:cs="Arial"/>
          <w:color w:val="000000"/>
          <w:lang w:eastAsia="en-US"/>
        </w:rPr>
      </w:pPr>
      <w:r w:rsidRPr="003F3B0A">
        <w:rPr>
          <w:rFonts w:ascii="Arial" w:hAnsi="Arial" w:cs="Arial"/>
        </w:rPr>
        <w:t xml:space="preserve">En las Tablas 10 y 11 se recoge la actitud recomendada ante diferentes situaciones. </w:t>
      </w:r>
    </w:p>
    <w:p w14:paraId="4B19A22A" w14:textId="77777777" w:rsidR="00177A8A" w:rsidRPr="003F3B0A" w:rsidRDefault="00177A8A" w:rsidP="00177A8A">
      <w:pPr>
        <w:autoSpaceDE w:val="0"/>
        <w:autoSpaceDN w:val="0"/>
        <w:adjustRightInd w:val="0"/>
        <w:snapToGrid w:val="0"/>
        <w:spacing w:before="120" w:after="120" w:line="276" w:lineRule="auto"/>
        <w:jc w:val="both"/>
        <w:rPr>
          <w:rFonts w:ascii="Arial" w:hAnsi="Arial" w:cs="Arial"/>
          <w:b/>
          <w:bCs/>
          <w:color w:val="AE1C1F"/>
          <w:lang w:eastAsia="en-US"/>
        </w:rPr>
      </w:pPr>
    </w:p>
    <w:p w14:paraId="316F00D2" w14:textId="77777777" w:rsidR="00177A8A" w:rsidRPr="003F3B0A" w:rsidRDefault="00177A8A" w:rsidP="00177A8A">
      <w:pPr>
        <w:autoSpaceDE w:val="0"/>
        <w:autoSpaceDN w:val="0"/>
        <w:adjustRightInd w:val="0"/>
        <w:snapToGrid w:val="0"/>
        <w:spacing w:before="120" w:after="120" w:line="276" w:lineRule="auto"/>
        <w:jc w:val="both"/>
        <w:rPr>
          <w:rFonts w:ascii="Arial" w:hAnsi="Arial" w:cs="Arial"/>
          <w:b/>
          <w:color w:val="AE1C1F"/>
          <w:lang w:eastAsia="en-US"/>
        </w:rPr>
      </w:pPr>
      <w:r w:rsidRPr="003F3B0A">
        <w:rPr>
          <w:rFonts w:ascii="Arial" w:hAnsi="Arial" w:cs="Arial"/>
          <w:b/>
          <w:bCs/>
          <w:color w:val="AE1C1F"/>
          <w:lang w:eastAsia="en-US"/>
        </w:rPr>
        <w:t>Recomendaciones</w:t>
      </w:r>
    </w:p>
    <w:p w14:paraId="0A7F50C8" w14:textId="77777777" w:rsidR="00177A8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rPr>
        <w:t>El consejo pre-concepcional debe formar parte de la asistencia a la mujer con infección por el VIH-1 en edad reproductiva</w:t>
      </w:r>
      <w:r>
        <w:rPr>
          <w:rFonts w:ascii="Arial" w:hAnsi="Arial" w:cs="Arial"/>
        </w:rPr>
        <w:t xml:space="preserve"> (</w:t>
      </w:r>
      <w:r w:rsidRPr="00AF120C">
        <w:rPr>
          <w:rFonts w:ascii="Arial" w:hAnsi="Arial" w:cs="Arial"/>
          <w:b/>
          <w:i/>
          <w:highlight w:val="yellow"/>
        </w:rPr>
        <w:t>A-III)</w:t>
      </w:r>
      <w:r>
        <w:rPr>
          <w:rFonts w:ascii="Arial" w:hAnsi="Arial" w:cs="Arial"/>
          <w:b/>
          <w:i/>
          <w:highlight w:val="yellow"/>
        </w:rPr>
        <w:t>.</w:t>
      </w:r>
    </w:p>
    <w:p w14:paraId="514ACFFD" w14:textId="77777777" w:rsidR="00177A8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color w:val="000000"/>
        </w:rPr>
        <w:t xml:space="preserve">Es imprescindible realizar una serología de VIH-1 en toda mujer embarazada </w:t>
      </w:r>
      <w:r w:rsidRPr="003F3B0A">
        <w:rPr>
          <w:rFonts w:ascii="Arial" w:hAnsi="Arial" w:cs="Arial"/>
          <w:b/>
          <w:i/>
          <w:color w:val="000000"/>
        </w:rPr>
        <w:t>(A-I)</w:t>
      </w:r>
      <w:r w:rsidRPr="003F3B0A">
        <w:rPr>
          <w:rFonts w:ascii="Arial" w:hAnsi="Arial" w:cs="Arial"/>
          <w:color w:val="000000"/>
        </w:rPr>
        <w:t xml:space="preserve"> y, si fuera negativa, repetirla en el tercer trimestre </w:t>
      </w:r>
      <w:r w:rsidRPr="003F3B0A">
        <w:rPr>
          <w:rFonts w:ascii="Arial" w:hAnsi="Arial" w:cs="Arial"/>
          <w:b/>
          <w:i/>
          <w:color w:val="000000"/>
        </w:rPr>
        <w:t>(</w:t>
      </w:r>
      <w:r w:rsidRPr="003F3B0A">
        <w:rPr>
          <w:rFonts w:ascii="Arial" w:hAnsi="Arial" w:cs="Arial"/>
          <w:b/>
          <w:bCs/>
          <w:i/>
          <w:iCs/>
          <w:color w:val="000000"/>
        </w:rPr>
        <w:t>A-II)</w:t>
      </w:r>
      <w:r>
        <w:rPr>
          <w:rFonts w:ascii="Arial" w:hAnsi="Arial" w:cs="Arial"/>
          <w:color w:val="000000"/>
        </w:rPr>
        <w:t xml:space="preserve">, </w:t>
      </w:r>
      <w:r w:rsidRPr="00AD0767">
        <w:rPr>
          <w:rFonts w:ascii="Arial" w:hAnsi="Arial" w:cs="Arial"/>
          <w:color w:val="000000"/>
          <w:highlight w:val="yellow"/>
        </w:rPr>
        <w:t>especialmente si existen factores de riesgo</w:t>
      </w:r>
      <w:r>
        <w:rPr>
          <w:rFonts w:ascii="Arial" w:hAnsi="Arial" w:cs="Arial"/>
          <w:color w:val="000000"/>
        </w:rPr>
        <w:t xml:space="preserve">. </w:t>
      </w:r>
    </w:p>
    <w:p w14:paraId="3E19F3C1" w14:textId="77777777" w:rsidR="00177A8A" w:rsidRPr="00A65CBB"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5A11AB">
        <w:rPr>
          <w:rFonts w:ascii="Arial" w:hAnsi="Arial" w:cs="Arial"/>
          <w:color w:val="000000"/>
          <w:highlight w:val="yellow"/>
        </w:rPr>
        <w:t xml:space="preserve">Si el diagnóstico se realiza durante el embarazo, el TAR se recomienda lo más precozmente posible, dada la posibilidad de transmisión intrauterina </w:t>
      </w:r>
      <w:r w:rsidRPr="005A11AB">
        <w:rPr>
          <w:rFonts w:ascii="Arial" w:hAnsi="Arial" w:cs="Arial"/>
          <w:b/>
          <w:i/>
          <w:color w:val="000000"/>
          <w:highlight w:val="yellow"/>
        </w:rPr>
        <w:t>(A-</w:t>
      </w:r>
      <w:r>
        <w:rPr>
          <w:rFonts w:ascii="Arial" w:hAnsi="Arial" w:cs="Arial"/>
          <w:b/>
          <w:i/>
          <w:color w:val="000000"/>
          <w:highlight w:val="yellow"/>
        </w:rPr>
        <w:t>I)</w:t>
      </w:r>
    </w:p>
    <w:p w14:paraId="04A8FA99" w14:textId="77777777" w:rsidR="00177A8A" w:rsidRPr="003F3B0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color w:val="000000"/>
        </w:rPr>
        <w:t xml:space="preserve">La elección de los FAR concretos se basará en el estudio de resistencias y en la seguridad de los mismos (véanse las Tablas 10 y 11). Si no hay resistencias, el TAR de elección es </w:t>
      </w:r>
      <w:r w:rsidRPr="009072A0">
        <w:rPr>
          <w:rFonts w:ascii="Arial" w:hAnsi="Arial" w:cs="Arial"/>
          <w:color w:val="000000"/>
          <w:highlight w:val="yellow"/>
        </w:rPr>
        <w:t>tenofovir en forma de sal</w:t>
      </w:r>
      <w:r w:rsidRPr="00BF1138">
        <w:rPr>
          <w:rFonts w:ascii="Arial" w:hAnsi="Arial" w:cs="Arial"/>
          <w:color w:val="000000"/>
          <w:highlight w:val="yellow"/>
        </w:rPr>
        <w:t>-de marca o genérico</w:t>
      </w:r>
      <w:r>
        <w:rPr>
          <w:rFonts w:ascii="Arial" w:hAnsi="Arial" w:cs="Arial"/>
          <w:color w:val="000000"/>
        </w:rPr>
        <w:t>-</w:t>
      </w:r>
      <w:r w:rsidRPr="003F3B0A">
        <w:rPr>
          <w:rFonts w:ascii="Arial" w:hAnsi="Arial" w:cs="Arial"/>
          <w:color w:val="000000"/>
        </w:rPr>
        <w:t xml:space="preserve"> o ABC + 3TC o FTC + RAL (</w:t>
      </w:r>
      <w:r w:rsidRPr="003F3B0A">
        <w:rPr>
          <w:rFonts w:ascii="Arial" w:hAnsi="Arial" w:cs="Arial"/>
          <w:b/>
          <w:i/>
          <w:color w:val="000000"/>
        </w:rPr>
        <w:t>A</w:t>
      </w:r>
      <w:r>
        <w:rPr>
          <w:rFonts w:ascii="Arial" w:hAnsi="Arial" w:cs="Arial"/>
          <w:b/>
          <w:i/>
          <w:color w:val="000000"/>
        </w:rPr>
        <w:t>-</w:t>
      </w:r>
      <w:r w:rsidRPr="003F3B0A">
        <w:rPr>
          <w:rFonts w:ascii="Arial" w:hAnsi="Arial" w:cs="Arial"/>
          <w:b/>
          <w:i/>
          <w:color w:val="000000"/>
        </w:rPr>
        <w:t>I)</w:t>
      </w:r>
      <w:r w:rsidRPr="003F3B0A">
        <w:rPr>
          <w:rFonts w:ascii="Arial" w:hAnsi="Arial" w:cs="Arial"/>
          <w:color w:val="000000"/>
        </w:rPr>
        <w:t xml:space="preserve"> o ATV/r</w:t>
      </w:r>
      <w:r w:rsidRPr="003F3B0A">
        <w:rPr>
          <w:rFonts w:ascii="Arial" w:hAnsi="Arial" w:cs="Arial"/>
          <w:color w:val="FF0000"/>
        </w:rPr>
        <w:t xml:space="preserve"> </w:t>
      </w:r>
      <w:r w:rsidRPr="003F3B0A">
        <w:rPr>
          <w:rFonts w:ascii="Arial" w:hAnsi="Arial" w:cs="Arial"/>
          <w:b/>
          <w:i/>
          <w:color w:val="000000"/>
        </w:rPr>
        <w:t xml:space="preserve">(A-I) </w:t>
      </w:r>
      <w:r w:rsidRPr="003F3B0A">
        <w:rPr>
          <w:rFonts w:ascii="Arial" w:hAnsi="Arial" w:cs="Arial"/>
        </w:rPr>
        <w:t xml:space="preserve">o DRV/r </w:t>
      </w:r>
      <w:r w:rsidRPr="003F3B0A">
        <w:rPr>
          <w:rFonts w:ascii="Arial" w:hAnsi="Arial" w:cs="Arial"/>
          <w:b/>
          <w:i/>
        </w:rPr>
        <w:t>(A-II)</w:t>
      </w:r>
      <w:r w:rsidRPr="003F3B0A">
        <w:rPr>
          <w:rFonts w:ascii="Arial" w:hAnsi="Arial" w:cs="Arial"/>
        </w:rPr>
        <w:t xml:space="preserve">; </w:t>
      </w:r>
      <w:r w:rsidRPr="003F3B0A">
        <w:rPr>
          <w:rFonts w:ascii="Arial" w:hAnsi="Arial" w:cs="Arial"/>
          <w:color w:val="000000"/>
        </w:rPr>
        <w:t xml:space="preserve">en caso contrario podrán recibir cualquiera de los FAR “recomendados” o “alternativos” tras una valoración individualizada </w:t>
      </w:r>
      <w:r w:rsidRPr="003F3B0A">
        <w:rPr>
          <w:rFonts w:ascii="Arial" w:hAnsi="Arial" w:cs="Arial"/>
          <w:b/>
          <w:i/>
          <w:color w:val="000000"/>
        </w:rPr>
        <w:t xml:space="preserve">(A-III).  </w:t>
      </w:r>
    </w:p>
    <w:p w14:paraId="61A27DFF" w14:textId="77777777" w:rsidR="00177A8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color w:val="000000"/>
        </w:rPr>
        <w:t>No se recomienda la combinación TDF/FTC + LPV/r (</w:t>
      </w:r>
      <w:r w:rsidRPr="003F3B0A">
        <w:rPr>
          <w:rFonts w:ascii="Arial" w:hAnsi="Arial" w:cs="Arial"/>
          <w:b/>
          <w:bCs/>
          <w:i/>
          <w:iCs/>
          <w:color w:val="000000"/>
        </w:rPr>
        <w:t>A-I)</w:t>
      </w:r>
      <w:r w:rsidRPr="003F3B0A">
        <w:rPr>
          <w:rFonts w:ascii="Arial" w:hAnsi="Arial" w:cs="Arial"/>
          <w:color w:val="000000"/>
        </w:rPr>
        <w:t>.</w:t>
      </w:r>
    </w:p>
    <w:p w14:paraId="31C8853E" w14:textId="77777777" w:rsidR="00177A8A" w:rsidRPr="003F3B0A" w:rsidRDefault="00177A8A" w:rsidP="00177A8A">
      <w:pPr>
        <w:pStyle w:val="Prrafodelista"/>
        <w:numPr>
          <w:ilvl w:val="0"/>
          <w:numId w:val="17"/>
        </w:numPr>
        <w:spacing w:line="276" w:lineRule="auto"/>
        <w:contextualSpacing w:val="0"/>
        <w:jc w:val="both"/>
        <w:rPr>
          <w:rFonts w:ascii="Arial" w:hAnsi="Arial" w:cs="Arial"/>
          <w:lang w:eastAsia="es-ES"/>
        </w:rPr>
      </w:pPr>
      <w:r w:rsidRPr="003F051C">
        <w:rPr>
          <w:rFonts w:ascii="Arial" w:hAnsi="Arial" w:cs="Arial"/>
          <w:color w:val="000000"/>
          <w:highlight w:val="yellow"/>
          <w:lang w:eastAsia="es-ES"/>
        </w:rPr>
        <w:t>En nuestro medio</w:t>
      </w:r>
      <w:r>
        <w:rPr>
          <w:rFonts w:ascii="Arial" w:hAnsi="Arial" w:cs="Arial"/>
          <w:color w:val="000000"/>
          <w:lang w:eastAsia="es-ES"/>
        </w:rPr>
        <w:t>, e</w:t>
      </w:r>
      <w:r w:rsidRPr="003F3B0A">
        <w:rPr>
          <w:rFonts w:ascii="Arial" w:hAnsi="Arial" w:cs="Arial"/>
          <w:color w:val="000000"/>
          <w:lang w:eastAsia="es-ES"/>
        </w:rPr>
        <w:t xml:space="preserve">l uso de DTG </w:t>
      </w:r>
      <w:r w:rsidRPr="00AD0767">
        <w:rPr>
          <w:rFonts w:ascii="Arial" w:hAnsi="Arial" w:cs="Arial"/>
          <w:highlight w:val="yellow"/>
          <w:lang w:eastAsia="es-ES"/>
        </w:rPr>
        <w:t>no se recomienda</w:t>
      </w:r>
      <w:r w:rsidRPr="00AD0767">
        <w:rPr>
          <w:rFonts w:ascii="Arial" w:hAnsi="Arial" w:cs="Arial"/>
          <w:lang w:eastAsia="es-ES"/>
        </w:rPr>
        <w:t xml:space="preserve"> </w:t>
      </w:r>
      <w:r w:rsidRPr="003F3B0A">
        <w:rPr>
          <w:rFonts w:ascii="Arial" w:hAnsi="Arial" w:cs="Arial"/>
          <w:color w:val="000000"/>
          <w:lang w:eastAsia="es-ES"/>
        </w:rPr>
        <w:t xml:space="preserve">en el primer trimestre del embarazo </w:t>
      </w:r>
      <w:r w:rsidRPr="00A90454">
        <w:rPr>
          <w:rFonts w:ascii="Arial" w:hAnsi="Arial" w:cs="Arial"/>
          <w:color w:val="000000"/>
          <w:highlight w:val="yellow"/>
          <w:lang w:eastAsia="es-ES"/>
        </w:rPr>
        <w:t>ni en</w:t>
      </w:r>
      <w:r>
        <w:rPr>
          <w:rFonts w:ascii="Arial" w:hAnsi="Arial" w:cs="Arial"/>
          <w:color w:val="000000"/>
          <w:lang w:eastAsia="es-ES"/>
        </w:rPr>
        <w:t xml:space="preserve"> </w:t>
      </w:r>
      <w:r w:rsidRPr="003F3B0A">
        <w:rPr>
          <w:rFonts w:ascii="Arial" w:hAnsi="Arial" w:cs="Arial"/>
          <w:color w:val="000000"/>
          <w:lang w:eastAsia="es-ES"/>
        </w:rPr>
        <w:t>mujeres que deseen quedarse embarazadas o mujeres en edad fértil que no utilicen medidas anticonceptivas eficaces (</w:t>
      </w:r>
      <w:r w:rsidRPr="003F3B0A">
        <w:rPr>
          <w:rFonts w:ascii="Arial" w:hAnsi="Arial" w:cs="Arial"/>
          <w:b/>
          <w:i/>
          <w:color w:val="000000"/>
          <w:lang w:eastAsia="es-ES"/>
        </w:rPr>
        <w:t>A-II</w:t>
      </w:r>
      <w:r w:rsidRPr="003F3B0A">
        <w:rPr>
          <w:rFonts w:ascii="Arial" w:hAnsi="Arial" w:cs="Arial"/>
          <w:color w:val="000000"/>
          <w:lang w:eastAsia="es-ES"/>
        </w:rPr>
        <w:t>).</w:t>
      </w:r>
    </w:p>
    <w:p w14:paraId="74AC5AAF" w14:textId="77777777" w:rsidR="00177A8A" w:rsidRPr="003F3B0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color w:val="000000"/>
        </w:rPr>
        <w:t xml:space="preserve">El tratamiento intraparto con ZDV por vía intravenosa estará indicado, independientemente del TAR que llevase o hubiese llevado si la CVP es &gt;1000 copias/mL o desconocida en el momento del parto </w:t>
      </w:r>
      <w:r w:rsidRPr="003F3B0A">
        <w:rPr>
          <w:rFonts w:ascii="Arial" w:hAnsi="Arial" w:cs="Arial"/>
          <w:b/>
          <w:i/>
          <w:color w:val="000000"/>
        </w:rPr>
        <w:t xml:space="preserve">(A-I); </w:t>
      </w:r>
      <w:r w:rsidRPr="003F3B0A">
        <w:rPr>
          <w:rFonts w:ascii="Arial" w:hAnsi="Arial" w:cs="Arial"/>
          <w:color w:val="000000"/>
        </w:rPr>
        <w:t>o está entre 50 y 999 copias/mL</w:t>
      </w:r>
      <w:r w:rsidRPr="003F3B0A">
        <w:rPr>
          <w:rFonts w:ascii="Arial" w:hAnsi="Arial" w:cs="Arial"/>
          <w:b/>
          <w:i/>
          <w:color w:val="000000"/>
        </w:rPr>
        <w:t xml:space="preserve"> (B-III)</w:t>
      </w:r>
      <w:r w:rsidRPr="003F3B0A">
        <w:rPr>
          <w:rFonts w:ascii="Arial" w:hAnsi="Arial" w:cs="Arial"/>
          <w:color w:val="000000"/>
        </w:rPr>
        <w:t xml:space="preserve"> </w:t>
      </w:r>
    </w:p>
    <w:p w14:paraId="131FF080" w14:textId="77777777" w:rsidR="00177A8A" w:rsidRPr="003F3B0A" w:rsidRDefault="00177A8A" w:rsidP="00177A8A">
      <w:pPr>
        <w:pStyle w:val="Prrafodelista"/>
        <w:numPr>
          <w:ilvl w:val="0"/>
          <w:numId w:val="17"/>
        </w:numPr>
        <w:autoSpaceDE w:val="0"/>
        <w:autoSpaceDN w:val="0"/>
        <w:adjustRightInd w:val="0"/>
        <w:snapToGrid w:val="0"/>
        <w:spacing w:before="120" w:after="120" w:line="276" w:lineRule="auto"/>
        <w:contextualSpacing w:val="0"/>
        <w:jc w:val="both"/>
        <w:rPr>
          <w:rFonts w:ascii="Arial" w:hAnsi="Arial" w:cs="Arial"/>
          <w:color w:val="000000"/>
        </w:rPr>
      </w:pPr>
      <w:r w:rsidRPr="003F3B0A">
        <w:rPr>
          <w:rFonts w:ascii="Arial" w:hAnsi="Arial" w:cs="Arial"/>
          <w:color w:val="000000"/>
        </w:rPr>
        <w:t xml:space="preserve">La cesárea electiva está indicada, en la semana 38, en mujeres cuya CVP previa al parto es &gt;1000 copias/mL </w:t>
      </w:r>
      <w:r w:rsidRPr="003F3B0A">
        <w:rPr>
          <w:rFonts w:ascii="Arial" w:hAnsi="Arial" w:cs="Arial"/>
          <w:b/>
          <w:i/>
          <w:color w:val="000000"/>
        </w:rPr>
        <w:t>(A-II).</w:t>
      </w:r>
    </w:p>
    <w:p w14:paraId="4B5A1AF7" w14:textId="77777777" w:rsidR="00177A8A" w:rsidRPr="003F3B0A" w:rsidRDefault="00177A8A" w:rsidP="00177A8A">
      <w:pPr>
        <w:pStyle w:val="Prrafodelista"/>
        <w:numPr>
          <w:ilvl w:val="0"/>
          <w:numId w:val="17"/>
        </w:numPr>
        <w:autoSpaceDE w:val="0"/>
        <w:autoSpaceDN w:val="0"/>
        <w:adjustRightInd w:val="0"/>
        <w:snapToGrid w:val="0"/>
        <w:spacing w:before="120" w:after="120" w:line="276" w:lineRule="auto"/>
        <w:contextualSpacing w:val="0"/>
        <w:rPr>
          <w:rFonts w:ascii="Arial" w:hAnsi="Arial" w:cs="Arial"/>
        </w:rPr>
      </w:pPr>
      <w:r w:rsidRPr="003F3B0A">
        <w:rPr>
          <w:rFonts w:ascii="Arial" w:hAnsi="Arial" w:cs="Arial"/>
        </w:rPr>
        <w:lastRenderedPageBreak/>
        <w:t>En nuestro medio</w:t>
      </w:r>
      <w:r w:rsidRPr="003F3B0A">
        <w:rPr>
          <w:rFonts w:ascii="Arial" w:hAnsi="Arial" w:cs="Arial"/>
          <w:color w:val="FF0000"/>
        </w:rPr>
        <w:t xml:space="preserve"> </w:t>
      </w:r>
      <w:r w:rsidRPr="003F3B0A">
        <w:rPr>
          <w:rFonts w:ascii="Arial" w:hAnsi="Arial" w:cs="Arial"/>
        </w:rPr>
        <w:t xml:space="preserve">las madres deben abstenerse de forma absoluta de lactar a sus hijos y deberán alimentarlos con una fórmula adaptada </w:t>
      </w:r>
      <w:r w:rsidRPr="003F3B0A">
        <w:rPr>
          <w:rFonts w:ascii="Arial" w:hAnsi="Arial" w:cs="Arial"/>
          <w:b/>
          <w:i/>
        </w:rPr>
        <w:t xml:space="preserve">(A-I). </w:t>
      </w:r>
    </w:p>
    <w:p w14:paraId="5AC965F9" w14:textId="77777777" w:rsidR="00177A8A" w:rsidRPr="003F3B0A" w:rsidRDefault="00177A8A" w:rsidP="00177A8A"/>
    <w:p w14:paraId="7B59DF0A" w14:textId="77777777" w:rsidR="00177A8A" w:rsidRPr="003F3B0A" w:rsidRDefault="00177A8A" w:rsidP="00177A8A">
      <w:pPr>
        <w:pStyle w:val="EndNoteBibliographyTitle"/>
        <w:rPr>
          <w:b/>
          <w:color w:val="AE1C1F"/>
        </w:rPr>
      </w:pPr>
      <w:r w:rsidRPr="003F3B0A">
        <w:rPr>
          <w:b/>
          <w:color w:val="AE1C1F"/>
        </w:rPr>
        <w:t>Referencias bibliográficas</w:t>
      </w:r>
    </w:p>
    <w:p w14:paraId="41CE7DD1" w14:textId="77777777" w:rsidR="00177A8A" w:rsidRPr="003F3B0A" w:rsidRDefault="00177A8A" w:rsidP="00177A8A"/>
    <w:p w14:paraId="29BD8615" w14:textId="77777777" w:rsidR="00177A8A" w:rsidRPr="003F3B0A" w:rsidRDefault="00177A8A" w:rsidP="00177A8A">
      <w:pPr>
        <w:pStyle w:val="EndNoteBibliography"/>
        <w:spacing w:before="120" w:after="120"/>
        <w:jc w:val="both"/>
        <w:rPr>
          <w:sz w:val="18"/>
          <w:szCs w:val="18"/>
        </w:rPr>
        <w:sectPr w:rsidR="00177A8A" w:rsidRPr="003F3B0A" w:rsidSect="003A2FA5">
          <w:headerReference w:type="default" r:id="rId55"/>
          <w:footerReference w:type="default" r:id="rId56"/>
          <w:pgSz w:w="11906" w:h="16838"/>
          <w:pgMar w:top="1417" w:right="1701" w:bottom="1417" w:left="1701" w:header="708" w:footer="708" w:gutter="0"/>
          <w:cols w:space="708"/>
          <w:docGrid w:linePitch="360"/>
        </w:sectPr>
      </w:pPr>
    </w:p>
    <w:p w14:paraId="66CD8E39" w14:textId="77777777" w:rsidR="00177A8A" w:rsidRPr="003F3B0A" w:rsidRDefault="00177A8A" w:rsidP="00177A8A">
      <w:pPr>
        <w:pStyle w:val="EndNoteBibliography"/>
        <w:spacing w:before="120" w:after="120"/>
        <w:jc w:val="both"/>
        <w:rPr>
          <w:sz w:val="18"/>
          <w:szCs w:val="18"/>
        </w:rPr>
      </w:pPr>
      <w:r w:rsidRPr="003F3B0A">
        <w:rPr>
          <w:sz w:val="18"/>
          <w:szCs w:val="18"/>
        </w:rPr>
        <w:t>1. Grupo de expertos de la Secretaría del Plan Nacional sobre el Sida (SPNS), Grupo de Estudio de Sida (GeSIDA)/Sociedad Española de Ginecología y Obstetricia (SEGO) y Sociedad Española de Infectología Pediátrica (SEIP). Documento de consenso para el seguimiento de la infección por el VIH en relacion con la reproducción, embarazo, parto y profilaxis de la transmisión vertical del niño expuesto. Marzo,</w:t>
      </w:r>
      <w:r>
        <w:rPr>
          <w:sz w:val="18"/>
          <w:szCs w:val="18"/>
        </w:rPr>
        <w:t xml:space="preserve"> </w:t>
      </w:r>
      <w:r w:rsidRPr="003F3B0A">
        <w:rPr>
          <w:sz w:val="18"/>
          <w:szCs w:val="18"/>
        </w:rPr>
        <w:t>2018. Accesible en:http://gesidaseimc.org/wpcontent/uploads/2018/05/gesida_VIH_embarazo.pdf. (Consultado el 01.09.18).</w:t>
      </w:r>
    </w:p>
    <w:p w14:paraId="76D5FC31" w14:textId="2C041B04" w:rsidR="00177A8A" w:rsidRPr="003F3B0A" w:rsidRDefault="00177A8A" w:rsidP="00177A8A">
      <w:pPr>
        <w:pStyle w:val="EndNoteBibliography"/>
        <w:spacing w:before="120" w:after="120"/>
        <w:jc w:val="both"/>
        <w:rPr>
          <w:sz w:val="18"/>
          <w:szCs w:val="18"/>
        </w:rPr>
      </w:pPr>
      <w:r w:rsidRPr="003F3B0A">
        <w:rPr>
          <w:sz w:val="18"/>
          <w:szCs w:val="18"/>
          <w:lang w:val="en-US"/>
        </w:rPr>
        <w:t xml:space="preserve">2. Recommendations for use of antiretroviral drugs in pregnant HIV-1- infected women for maternal health and interventions to reduce perinatal HIV transmission in the United States. </w:t>
      </w:r>
      <w:r w:rsidRPr="003F051C">
        <w:rPr>
          <w:sz w:val="18"/>
          <w:szCs w:val="18"/>
          <w:highlight w:val="yellow"/>
        </w:rPr>
        <w:t>Last updated: December 7, 2018</w:t>
      </w:r>
      <w:r>
        <w:rPr>
          <w:sz w:val="18"/>
          <w:szCs w:val="18"/>
        </w:rPr>
        <w:t xml:space="preserve">. </w:t>
      </w:r>
      <w:r w:rsidRPr="003F3B0A">
        <w:rPr>
          <w:sz w:val="18"/>
          <w:szCs w:val="18"/>
        </w:rPr>
        <w:t>Accesible en http://aidsinfo.nih.gov/contentfiles/lvguidelines/PerinatalGL.pdf (</w:t>
      </w:r>
      <w:r w:rsidRPr="003F051C">
        <w:rPr>
          <w:sz w:val="18"/>
          <w:szCs w:val="18"/>
          <w:highlight w:val="yellow"/>
        </w:rPr>
        <w:t xml:space="preserve">Consultado el </w:t>
      </w:r>
      <w:r>
        <w:rPr>
          <w:sz w:val="18"/>
          <w:szCs w:val="18"/>
          <w:highlight w:val="yellow"/>
        </w:rPr>
        <w:t>30</w:t>
      </w:r>
      <w:r w:rsidRPr="003F051C">
        <w:rPr>
          <w:sz w:val="18"/>
          <w:szCs w:val="18"/>
          <w:highlight w:val="yellow"/>
        </w:rPr>
        <w:t>.</w:t>
      </w:r>
      <w:r>
        <w:rPr>
          <w:sz w:val="18"/>
          <w:szCs w:val="18"/>
          <w:highlight w:val="yellow"/>
        </w:rPr>
        <w:t>11</w:t>
      </w:r>
      <w:r w:rsidRPr="003F051C">
        <w:rPr>
          <w:sz w:val="18"/>
          <w:szCs w:val="18"/>
          <w:highlight w:val="yellow"/>
        </w:rPr>
        <w:t>.</w:t>
      </w:r>
      <w:r>
        <w:rPr>
          <w:sz w:val="18"/>
          <w:szCs w:val="18"/>
          <w:highlight w:val="yellow"/>
        </w:rPr>
        <w:t xml:space="preserve"> 20</w:t>
      </w:r>
      <w:r w:rsidRPr="003F051C">
        <w:rPr>
          <w:sz w:val="18"/>
          <w:szCs w:val="18"/>
          <w:highlight w:val="yellow"/>
        </w:rPr>
        <w:t>19).</w:t>
      </w:r>
      <w:r w:rsidRPr="003F3B0A">
        <w:rPr>
          <w:sz w:val="18"/>
          <w:szCs w:val="18"/>
        </w:rPr>
        <w:t xml:space="preserve"> </w:t>
      </w:r>
    </w:p>
    <w:p w14:paraId="0A38DBB1" w14:textId="77777777" w:rsidR="00177A8A" w:rsidRPr="003F3B0A" w:rsidRDefault="00177A8A" w:rsidP="00177A8A">
      <w:pPr>
        <w:pStyle w:val="EndNoteBibliography"/>
        <w:spacing w:before="120" w:after="120"/>
        <w:jc w:val="both"/>
        <w:rPr>
          <w:sz w:val="18"/>
          <w:szCs w:val="18"/>
          <w:lang w:val="fr-FR"/>
        </w:rPr>
      </w:pPr>
      <w:r w:rsidRPr="003F3B0A">
        <w:rPr>
          <w:sz w:val="18"/>
          <w:szCs w:val="18"/>
        </w:rPr>
        <w:t>3.</w:t>
      </w:r>
      <w:r>
        <w:rPr>
          <w:sz w:val="18"/>
          <w:szCs w:val="18"/>
        </w:rPr>
        <w:t xml:space="preserve"> </w:t>
      </w:r>
      <w:r w:rsidRPr="003F3B0A">
        <w:rPr>
          <w:sz w:val="18"/>
          <w:szCs w:val="18"/>
        </w:rPr>
        <w:t xml:space="preserve">Blonk MI, Colbers AP, Hidalgo-Tenorio C, et al. </w:t>
      </w:r>
      <w:r w:rsidRPr="003F3B0A">
        <w:rPr>
          <w:sz w:val="18"/>
          <w:szCs w:val="18"/>
          <w:lang w:val="en-US"/>
        </w:rPr>
        <w:t xml:space="preserve">Raltegravir in HIV-1-infected pregnant women: pharmacokinetics, safety, and efficacy. </w:t>
      </w:r>
      <w:r w:rsidRPr="003F3B0A">
        <w:rPr>
          <w:sz w:val="18"/>
          <w:szCs w:val="18"/>
          <w:lang w:val="fr-FR"/>
        </w:rPr>
        <w:t>Clin Infect Dis 2015;61:809-16.</w:t>
      </w:r>
    </w:p>
    <w:p w14:paraId="4250BA64" w14:textId="77777777" w:rsidR="00177A8A" w:rsidRPr="003F3B0A" w:rsidRDefault="00177A8A" w:rsidP="00177A8A">
      <w:pPr>
        <w:pStyle w:val="EndNoteBibliography"/>
        <w:spacing w:before="120" w:after="120"/>
        <w:jc w:val="both"/>
        <w:rPr>
          <w:sz w:val="18"/>
          <w:szCs w:val="18"/>
          <w:lang w:val="fr-FR"/>
        </w:rPr>
      </w:pPr>
      <w:r w:rsidRPr="003F3B0A">
        <w:rPr>
          <w:sz w:val="18"/>
          <w:szCs w:val="18"/>
          <w:lang w:val="fr-FR"/>
        </w:rPr>
        <w:t xml:space="preserve">4. Mandelbrot L, Tubiana R, Le Chenadec J, et al. </w:t>
      </w:r>
      <w:r w:rsidRPr="003F3B0A">
        <w:rPr>
          <w:sz w:val="18"/>
          <w:szCs w:val="18"/>
          <w:lang w:val="en-US"/>
        </w:rPr>
        <w:t xml:space="preserve">No perinatal HIV-1 transmission from women with effective antiretroviral therapy starting before conception. </w:t>
      </w:r>
      <w:r w:rsidRPr="003F3B0A">
        <w:rPr>
          <w:sz w:val="18"/>
          <w:szCs w:val="18"/>
          <w:lang w:val="fr-FR"/>
        </w:rPr>
        <w:t>C</w:t>
      </w:r>
      <w:r>
        <w:rPr>
          <w:sz w:val="18"/>
          <w:szCs w:val="18"/>
          <w:lang w:val="fr-FR"/>
        </w:rPr>
        <w:t>lin Infect Dis 2015;61:1715-25.</w:t>
      </w:r>
    </w:p>
    <w:p w14:paraId="2E0B64CC" w14:textId="77777777" w:rsidR="00177A8A" w:rsidRPr="003F3B0A" w:rsidRDefault="00177A8A" w:rsidP="00177A8A">
      <w:pPr>
        <w:pStyle w:val="EndNoteBibliography"/>
        <w:spacing w:before="120" w:after="120"/>
        <w:jc w:val="both"/>
        <w:rPr>
          <w:sz w:val="18"/>
          <w:szCs w:val="18"/>
          <w:lang w:val="en-US"/>
        </w:rPr>
      </w:pPr>
      <w:r w:rsidRPr="003F3B0A">
        <w:rPr>
          <w:sz w:val="18"/>
          <w:szCs w:val="18"/>
          <w:lang w:val="fr-FR"/>
        </w:rPr>
        <w:t xml:space="preserve">5. Uthman OA, Nachega JB, Anderson J, et al. </w:t>
      </w:r>
      <w:r w:rsidRPr="003F3B0A">
        <w:rPr>
          <w:sz w:val="18"/>
          <w:szCs w:val="18"/>
          <w:lang w:val="en-US"/>
        </w:rPr>
        <w:t>Timing of initiation of antiretroviral therapy and adverse pregnancy outcomes: a systematic review and met</w:t>
      </w:r>
      <w:r>
        <w:rPr>
          <w:sz w:val="18"/>
          <w:szCs w:val="18"/>
          <w:lang w:val="en-US"/>
        </w:rPr>
        <w:t>a-analysis. L</w:t>
      </w:r>
      <w:r w:rsidRPr="003F3B0A">
        <w:rPr>
          <w:sz w:val="18"/>
          <w:szCs w:val="18"/>
          <w:lang w:val="en-US"/>
        </w:rPr>
        <w:t>ancet HIV 2017;4:e21-e30.</w:t>
      </w:r>
    </w:p>
    <w:p w14:paraId="0626B11E" w14:textId="29065534" w:rsidR="00177A8A" w:rsidRPr="003F3B0A" w:rsidRDefault="00177A8A" w:rsidP="00177A8A">
      <w:pPr>
        <w:pStyle w:val="EndNoteBibliography"/>
        <w:spacing w:before="120" w:after="120"/>
        <w:jc w:val="both"/>
        <w:rPr>
          <w:sz w:val="18"/>
          <w:szCs w:val="18"/>
          <w:lang w:val="en-US"/>
        </w:rPr>
      </w:pPr>
      <w:r w:rsidRPr="003F3B0A">
        <w:rPr>
          <w:sz w:val="18"/>
          <w:szCs w:val="18"/>
          <w:lang w:val="en-US"/>
        </w:rPr>
        <w:t>6</w:t>
      </w:r>
      <w:r>
        <w:rPr>
          <w:sz w:val="18"/>
          <w:szCs w:val="18"/>
          <w:lang w:val="en-US"/>
        </w:rPr>
        <w:t>.</w:t>
      </w:r>
      <w:r w:rsidRPr="003F3B0A">
        <w:rPr>
          <w:sz w:val="18"/>
          <w:szCs w:val="18"/>
          <w:lang w:val="en-US"/>
        </w:rPr>
        <w:t xml:space="preserve"> Antiretroviral Pregnancy Registry Steering Committee. Antiretroviral pregnancy registry international interim report for 1 January 1989</w:t>
      </w:r>
      <w:r w:rsidRPr="003F3B0A">
        <w:rPr>
          <w:strike/>
          <w:sz w:val="18"/>
          <w:szCs w:val="18"/>
          <w:lang w:val="en-US"/>
        </w:rPr>
        <w:t xml:space="preserve"> </w:t>
      </w:r>
      <w:r w:rsidRPr="003F3B0A">
        <w:rPr>
          <w:sz w:val="18"/>
          <w:szCs w:val="18"/>
          <w:lang w:val="en-US"/>
        </w:rPr>
        <w:t xml:space="preserve">through 31 January </w:t>
      </w:r>
      <w:r w:rsidRPr="00004F0F">
        <w:rPr>
          <w:sz w:val="18"/>
          <w:szCs w:val="18"/>
          <w:highlight w:val="yellow"/>
          <w:lang w:val="en-US"/>
        </w:rPr>
        <w:t>2019</w:t>
      </w:r>
      <w:r w:rsidRPr="003F3B0A">
        <w:rPr>
          <w:sz w:val="18"/>
          <w:szCs w:val="18"/>
          <w:lang w:val="en-US"/>
        </w:rPr>
        <w:t xml:space="preserve"> Wilmington, NC: Registry Coordinating Center. www.APRegistry.com </w:t>
      </w:r>
      <w:r w:rsidRPr="00004F0F">
        <w:rPr>
          <w:sz w:val="18"/>
          <w:szCs w:val="18"/>
          <w:highlight w:val="yellow"/>
          <w:lang w:val="en-US"/>
        </w:rPr>
        <w:t xml:space="preserve">(consultado </w:t>
      </w:r>
      <w:r>
        <w:rPr>
          <w:sz w:val="18"/>
          <w:szCs w:val="18"/>
          <w:highlight w:val="yellow"/>
          <w:lang w:val="en-US"/>
        </w:rPr>
        <w:t>30</w:t>
      </w:r>
      <w:r w:rsidRPr="00004F0F">
        <w:rPr>
          <w:sz w:val="18"/>
          <w:szCs w:val="18"/>
          <w:highlight w:val="yellow"/>
          <w:lang w:val="en-US"/>
        </w:rPr>
        <w:t>.1</w:t>
      </w:r>
      <w:r>
        <w:rPr>
          <w:sz w:val="18"/>
          <w:szCs w:val="18"/>
          <w:highlight w:val="yellow"/>
          <w:lang w:val="en-US"/>
        </w:rPr>
        <w:t>1</w:t>
      </w:r>
      <w:r w:rsidRPr="00004F0F">
        <w:rPr>
          <w:sz w:val="18"/>
          <w:szCs w:val="18"/>
          <w:highlight w:val="yellow"/>
          <w:lang w:val="en-US"/>
        </w:rPr>
        <w:t xml:space="preserve"> .2019).</w:t>
      </w:r>
      <w:r w:rsidRPr="003F3B0A">
        <w:rPr>
          <w:sz w:val="18"/>
          <w:szCs w:val="18"/>
          <w:lang w:val="en-US"/>
        </w:rPr>
        <w:t xml:space="preserve"> </w:t>
      </w:r>
    </w:p>
    <w:p w14:paraId="70CEC350" w14:textId="59AA3D97" w:rsidR="00177A8A" w:rsidRPr="00177A8A" w:rsidRDefault="00177A8A" w:rsidP="00177A8A">
      <w:pPr>
        <w:pStyle w:val="EndNoteBibliography"/>
        <w:spacing w:before="120" w:after="120"/>
        <w:jc w:val="both"/>
        <w:rPr>
          <w:sz w:val="18"/>
          <w:szCs w:val="18"/>
          <w:lang w:val="en-US"/>
        </w:rPr>
      </w:pPr>
      <w:r w:rsidRPr="00AD0767">
        <w:rPr>
          <w:sz w:val="18"/>
          <w:szCs w:val="18"/>
          <w:lang w:val="fr-FR"/>
        </w:rPr>
        <w:t xml:space="preserve">7. Siemieniuk RA, Foroutan F, Mirza R, et al. </w:t>
      </w:r>
      <w:r w:rsidRPr="003F3B0A">
        <w:rPr>
          <w:sz w:val="18"/>
          <w:szCs w:val="18"/>
          <w:lang w:val="en-US"/>
        </w:rPr>
        <w:t>Antiretroviral therapy for pregnant women living with HIV or hepatitis B: a systematic review and meta-analysis. BMJ open 2017;7:e019022.</w:t>
      </w:r>
    </w:p>
    <w:p w14:paraId="4727CB33" w14:textId="77777777" w:rsidR="00177A8A" w:rsidRPr="00A90454" w:rsidRDefault="00177A8A" w:rsidP="00177A8A">
      <w:pPr>
        <w:pStyle w:val="EndNoteBibliography"/>
        <w:spacing w:before="120" w:after="120"/>
        <w:jc w:val="both"/>
        <w:rPr>
          <w:sz w:val="18"/>
          <w:szCs w:val="18"/>
        </w:rPr>
      </w:pPr>
      <w:r w:rsidRPr="003F051C">
        <w:rPr>
          <w:sz w:val="18"/>
          <w:szCs w:val="18"/>
          <w:highlight w:val="yellow"/>
          <w:lang w:val="en-US"/>
        </w:rPr>
        <w:t>8. Zash R, Holmes L, Diseko M, et al</w:t>
      </w:r>
      <w:r w:rsidRPr="003F051C">
        <w:rPr>
          <w:highlight w:val="yellow"/>
          <w:lang w:val="en-US"/>
        </w:rPr>
        <w:t xml:space="preserve"> </w:t>
      </w:r>
      <w:r w:rsidRPr="003F051C">
        <w:rPr>
          <w:sz w:val="18"/>
          <w:szCs w:val="18"/>
          <w:highlight w:val="yellow"/>
          <w:lang w:val="en-US"/>
        </w:rPr>
        <w:t>Neural-</w:t>
      </w:r>
      <w:r>
        <w:rPr>
          <w:sz w:val="18"/>
          <w:szCs w:val="18"/>
          <w:highlight w:val="yellow"/>
          <w:lang w:val="en-US"/>
        </w:rPr>
        <w:t>t</w:t>
      </w:r>
      <w:r w:rsidRPr="003F051C">
        <w:rPr>
          <w:sz w:val="18"/>
          <w:szCs w:val="18"/>
          <w:highlight w:val="yellow"/>
          <w:lang w:val="en-US"/>
        </w:rPr>
        <w:t xml:space="preserve">ube </w:t>
      </w:r>
      <w:r>
        <w:rPr>
          <w:sz w:val="18"/>
          <w:szCs w:val="18"/>
          <w:highlight w:val="yellow"/>
          <w:lang w:val="en-US"/>
        </w:rPr>
        <w:t>d</w:t>
      </w:r>
      <w:r w:rsidRPr="003F051C">
        <w:rPr>
          <w:sz w:val="18"/>
          <w:szCs w:val="18"/>
          <w:highlight w:val="yellow"/>
          <w:lang w:val="en-US"/>
        </w:rPr>
        <w:t xml:space="preserve">efects and </w:t>
      </w:r>
      <w:r>
        <w:rPr>
          <w:sz w:val="18"/>
          <w:szCs w:val="18"/>
          <w:highlight w:val="yellow"/>
          <w:lang w:val="en-US"/>
        </w:rPr>
        <w:t>a</w:t>
      </w:r>
      <w:r w:rsidRPr="003F051C">
        <w:rPr>
          <w:sz w:val="18"/>
          <w:szCs w:val="18"/>
          <w:highlight w:val="yellow"/>
          <w:lang w:val="en-US"/>
        </w:rPr>
        <w:t xml:space="preserve">ntiretroviral </w:t>
      </w:r>
      <w:r>
        <w:rPr>
          <w:sz w:val="18"/>
          <w:szCs w:val="18"/>
          <w:highlight w:val="yellow"/>
          <w:lang w:val="en-US"/>
        </w:rPr>
        <w:t>t</w:t>
      </w:r>
      <w:r w:rsidRPr="003F051C">
        <w:rPr>
          <w:sz w:val="18"/>
          <w:szCs w:val="18"/>
          <w:highlight w:val="yellow"/>
          <w:lang w:val="en-US"/>
        </w:rPr>
        <w:t xml:space="preserve">reatment </w:t>
      </w:r>
      <w:r>
        <w:rPr>
          <w:sz w:val="18"/>
          <w:szCs w:val="18"/>
          <w:highlight w:val="yellow"/>
          <w:lang w:val="en-US"/>
        </w:rPr>
        <w:t>r</w:t>
      </w:r>
      <w:r w:rsidRPr="003F051C">
        <w:rPr>
          <w:sz w:val="18"/>
          <w:szCs w:val="18"/>
          <w:highlight w:val="yellow"/>
          <w:lang w:val="en-US"/>
        </w:rPr>
        <w:t>egimens</w:t>
      </w:r>
      <w:r>
        <w:rPr>
          <w:sz w:val="18"/>
          <w:szCs w:val="18"/>
          <w:highlight w:val="yellow"/>
          <w:lang w:val="en-US"/>
        </w:rPr>
        <w:t xml:space="preserve"> </w:t>
      </w:r>
      <w:r w:rsidRPr="003F051C">
        <w:rPr>
          <w:sz w:val="18"/>
          <w:szCs w:val="18"/>
          <w:highlight w:val="yellow"/>
          <w:lang w:val="en-US"/>
        </w:rPr>
        <w:t xml:space="preserve">in Bostwana. </w:t>
      </w:r>
      <w:r w:rsidRPr="00A90454">
        <w:rPr>
          <w:sz w:val="18"/>
          <w:szCs w:val="18"/>
          <w:highlight w:val="yellow"/>
        </w:rPr>
        <w:t>N Engl J Med 2019;381: 827-40</w:t>
      </w:r>
      <w:r w:rsidRPr="00A90454">
        <w:rPr>
          <w:sz w:val="18"/>
          <w:szCs w:val="18"/>
        </w:rPr>
        <w:t>.</w:t>
      </w:r>
    </w:p>
    <w:p w14:paraId="5CAB362C" w14:textId="616A5933" w:rsidR="00177A8A" w:rsidRPr="00177A8A" w:rsidRDefault="00177A8A" w:rsidP="00177A8A">
      <w:pPr>
        <w:jc w:val="both"/>
        <w:rPr>
          <w:rFonts w:ascii="Arial" w:hAnsi="Arial" w:cs="Arial"/>
          <w:color w:val="000000" w:themeColor="text1"/>
          <w:sz w:val="18"/>
          <w:szCs w:val="18"/>
        </w:rPr>
      </w:pPr>
      <w:r w:rsidRPr="003F3B0A">
        <w:rPr>
          <w:rFonts w:ascii="Arial" w:hAnsi="Arial" w:cs="Arial"/>
          <w:sz w:val="18"/>
          <w:szCs w:val="18"/>
        </w:rPr>
        <w:t>9.</w:t>
      </w:r>
      <w:r w:rsidRPr="003F3B0A">
        <w:rPr>
          <w:rFonts w:ascii="Arial" w:hAnsi="Arial" w:cs="Arial"/>
        </w:rPr>
        <w:t xml:space="preserve"> </w:t>
      </w:r>
      <w:r w:rsidRPr="003F3B0A">
        <w:rPr>
          <w:rFonts w:ascii="Arial" w:hAnsi="Arial" w:cs="Arial"/>
          <w:sz w:val="18"/>
          <w:szCs w:val="18"/>
        </w:rPr>
        <w:t xml:space="preserve">FDA. Prezcobix pregnancy label update. (05 June 2018). Accesible en:. </w:t>
      </w:r>
      <w:hyperlink r:id="rId57" w:history="1">
        <w:r w:rsidRPr="003F3B0A">
          <w:rPr>
            <w:rStyle w:val="Hipervnculo"/>
            <w:rFonts w:ascii="Arial" w:hAnsi="Arial" w:cs="Arial"/>
            <w:sz w:val="18"/>
            <w:szCs w:val="18"/>
          </w:rPr>
          <w:t>https://www.accessdata.fda.gov/scripts/cder/safetylabelingchanges/index.cfm?event=searchdetail.page&amp;DrugNameID=94</w:t>
        </w:r>
      </w:hyperlink>
      <w:r w:rsidRPr="003F3B0A">
        <w:rPr>
          <w:rStyle w:val="Hipervnculo"/>
          <w:rFonts w:ascii="Arial" w:hAnsi="Arial" w:cs="Arial"/>
          <w:sz w:val="18"/>
          <w:szCs w:val="18"/>
        </w:rPr>
        <w:t xml:space="preserve"> </w:t>
      </w:r>
      <w:r w:rsidRPr="00177A8A">
        <w:rPr>
          <w:rStyle w:val="Hipervnculo"/>
          <w:rFonts w:ascii="Arial" w:hAnsi="Arial" w:cs="Arial"/>
          <w:color w:val="000000" w:themeColor="text1"/>
          <w:sz w:val="18"/>
          <w:szCs w:val="18"/>
          <w:highlight w:val="yellow"/>
        </w:rPr>
        <w:t xml:space="preserve">(Consultado el </w:t>
      </w:r>
      <w:r>
        <w:rPr>
          <w:rStyle w:val="Hipervnculo"/>
          <w:rFonts w:ascii="Arial" w:hAnsi="Arial" w:cs="Arial"/>
          <w:color w:val="000000" w:themeColor="text1"/>
          <w:sz w:val="18"/>
          <w:szCs w:val="18"/>
          <w:highlight w:val="yellow"/>
        </w:rPr>
        <w:t>30</w:t>
      </w:r>
      <w:r w:rsidRPr="00177A8A">
        <w:rPr>
          <w:rStyle w:val="Hipervnculo"/>
          <w:rFonts w:ascii="Arial" w:hAnsi="Arial" w:cs="Arial"/>
          <w:color w:val="000000" w:themeColor="text1"/>
          <w:sz w:val="18"/>
          <w:szCs w:val="18"/>
          <w:highlight w:val="yellow"/>
        </w:rPr>
        <w:t>.</w:t>
      </w:r>
      <w:r>
        <w:rPr>
          <w:rStyle w:val="Hipervnculo"/>
          <w:rFonts w:ascii="Arial" w:hAnsi="Arial" w:cs="Arial"/>
          <w:color w:val="000000" w:themeColor="text1"/>
          <w:sz w:val="18"/>
          <w:szCs w:val="18"/>
          <w:highlight w:val="yellow"/>
        </w:rPr>
        <w:t>11.</w:t>
      </w:r>
      <w:r w:rsidRPr="00177A8A">
        <w:rPr>
          <w:rStyle w:val="Hipervnculo"/>
          <w:rFonts w:ascii="Arial" w:hAnsi="Arial" w:cs="Arial"/>
          <w:color w:val="000000" w:themeColor="text1"/>
          <w:sz w:val="18"/>
          <w:szCs w:val="18"/>
          <w:highlight w:val="yellow"/>
        </w:rPr>
        <w:t>201</w:t>
      </w:r>
      <w:r>
        <w:rPr>
          <w:rStyle w:val="Hipervnculo"/>
          <w:rFonts w:ascii="Arial" w:hAnsi="Arial" w:cs="Arial"/>
          <w:color w:val="000000" w:themeColor="text1"/>
          <w:sz w:val="18"/>
          <w:szCs w:val="18"/>
          <w:highlight w:val="yellow"/>
        </w:rPr>
        <w:t>9</w:t>
      </w:r>
      <w:r w:rsidRPr="00177A8A">
        <w:rPr>
          <w:rStyle w:val="Hipervnculo"/>
          <w:rFonts w:ascii="Arial" w:hAnsi="Arial" w:cs="Arial"/>
          <w:color w:val="000000" w:themeColor="text1"/>
          <w:sz w:val="18"/>
          <w:szCs w:val="18"/>
          <w:highlight w:val="yellow"/>
        </w:rPr>
        <w:t>).</w:t>
      </w:r>
    </w:p>
    <w:p w14:paraId="2F4A1D3D" w14:textId="77777777" w:rsidR="00177A8A" w:rsidRPr="003F3B0A" w:rsidRDefault="00177A8A" w:rsidP="00177A8A">
      <w:pPr>
        <w:jc w:val="both"/>
        <w:rPr>
          <w:rFonts w:ascii="Arial" w:hAnsi="Arial" w:cs="Arial"/>
          <w:color w:val="FF0000"/>
          <w:sz w:val="18"/>
          <w:szCs w:val="18"/>
        </w:rPr>
      </w:pPr>
    </w:p>
    <w:p w14:paraId="49506C2D" w14:textId="77777777" w:rsidR="00177A8A" w:rsidRDefault="00177A8A" w:rsidP="00177A8A">
      <w:pPr>
        <w:jc w:val="both"/>
        <w:rPr>
          <w:rFonts w:ascii="Arial" w:hAnsi="Arial" w:cs="Arial"/>
          <w:sz w:val="18"/>
          <w:szCs w:val="18"/>
        </w:rPr>
      </w:pPr>
      <w:r w:rsidRPr="003F3B0A">
        <w:rPr>
          <w:rFonts w:ascii="Arial" w:hAnsi="Arial" w:cs="Arial"/>
          <w:sz w:val="18"/>
          <w:szCs w:val="18"/>
          <w:lang w:val="en-US"/>
        </w:rPr>
        <w:t xml:space="preserve">10. Waitt C, Low R, can de Perre P, et al. Does U=U for breastfeeding mothers and infants? Breastfeeding by mothers on effective treatment for HIV infection in high-income settings. </w:t>
      </w:r>
      <w:r>
        <w:rPr>
          <w:rFonts w:ascii="Arial" w:hAnsi="Arial" w:cs="Arial"/>
          <w:sz w:val="18"/>
          <w:szCs w:val="18"/>
        </w:rPr>
        <w:t>Lancet HIV 2018;</w:t>
      </w:r>
      <w:r w:rsidRPr="003F3B0A">
        <w:rPr>
          <w:rFonts w:ascii="Arial" w:hAnsi="Arial" w:cs="Arial"/>
          <w:sz w:val="18"/>
          <w:szCs w:val="18"/>
        </w:rPr>
        <w:t>5:e531-e536.</w:t>
      </w:r>
    </w:p>
    <w:p w14:paraId="2D52CAF9" w14:textId="77777777" w:rsidR="00177A8A" w:rsidRDefault="00177A8A" w:rsidP="00177A8A">
      <w:pPr>
        <w:jc w:val="both"/>
        <w:rPr>
          <w:rFonts w:ascii="Arial" w:hAnsi="Arial" w:cs="Arial"/>
          <w:sz w:val="18"/>
          <w:szCs w:val="18"/>
        </w:rPr>
      </w:pPr>
    </w:p>
    <w:p w14:paraId="5C417704" w14:textId="6A049F02" w:rsidR="00177A8A" w:rsidRPr="003F3B0A" w:rsidRDefault="00177A8A" w:rsidP="00177A8A">
      <w:pPr>
        <w:jc w:val="both"/>
        <w:rPr>
          <w:rFonts w:ascii="Arial" w:hAnsi="Arial" w:cs="Arial"/>
          <w:sz w:val="18"/>
          <w:szCs w:val="18"/>
        </w:rPr>
        <w:sectPr w:rsidR="00177A8A" w:rsidRPr="003F3B0A">
          <w:headerReference w:type="default" r:id="rId58"/>
          <w:footerReference w:type="default" r:id="rId59"/>
          <w:type w:val="continuous"/>
          <w:pgSz w:w="11906" w:h="16838"/>
          <w:pgMar w:top="1417" w:right="1701" w:bottom="1417" w:left="1701" w:header="708" w:footer="708" w:gutter="0"/>
          <w:cols w:num="2" w:sep="1" w:space="709"/>
          <w:docGrid w:linePitch="360"/>
        </w:sectPr>
      </w:pPr>
      <w:r w:rsidRPr="00BE6A1B">
        <w:rPr>
          <w:rFonts w:ascii="Arial" w:hAnsi="Arial" w:cs="Arial"/>
          <w:sz w:val="18"/>
          <w:szCs w:val="18"/>
          <w:highlight w:val="yellow"/>
        </w:rPr>
        <w:t xml:space="preserve">11. Descovy. Ficha técnica  o resumen de las características del producto. Accesible en: </w:t>
      </w:r>
      <w:hyperlink r:id="rId60" w:history="1">
        <w:r w:rsidRPr="00BE6A1B">
          <w:rPr>
            <w:rStyle w:val="Hipervnculo"/>
            <w:rFonts w:ascii="Arial" w:hAnsi="Arial" w:cs="Arial"/>
            <w:sz w:val="18"/>
            <w:szCs w:val="18"/>
            <w:highlight w:val="yellow"/>
          </w:rPr>
          <w:t>https://www.ema.europa.eu/en/documents/product-information/descovy-epar-product-information_es.pdf</w:t>
        </w:r>
      </w:hyperlink>
      <w:r w:rsidRPr="00BE6A1B">
        <w:rPr>
          <w:rFonts w:ascii="Arial" w:hAnsi="Arial" w:cs="Arial"/>
          <w:sz w:val="18"/>
          <w:szCs w:val="18"/>
          <w:highlight w:val="yellow"/>
        </w:rPr>
        <w:t xml:space="preserve">.  (consultado el </w:t>
      </w:r>
      <w:r>
        <w:rPr>
          <w:rFonts w:ascii="Arial" w:hAnsi="Arial" w:cs="Arial"/>
          <w:sz w:val="18"/>
          <w:szCs w:val="18"/>
          <w:highlight w:val="yellow"/>
        </w:rPr>
        <w:t>30</w:t>
      </w:r>
      <w:r w:rsidRPr="00BE6A1B">
        <w:rPr>
          <w:rFonts w:ascii="Arial" w:hAnsi="Arial" w:cs="Arial"/>
          <w:sz w:val="18"/>
          <w:szCs w:val="18"/>
          <w:highlight w:val="yellow"/>
        </w:rPr>
        <w:t>.</w:t>
      </w:r>
      <w:r>
        <w:rPr>
          <w:rFonts w:ascii="Arial" w:hAnsi="Arial" w:cs="Arial"/>
          <w:sz w:val="18"/>
          <w:szCs w:val="18"/>
          <w:highlight w:val="yellow"/>
        </w:rPr>
        <w:t>11</w:t>
      </w:r>
      <w:r w:rsidRPr="00BE6A1B">
        <w:rPr>
          <w:rFonts w:ascii="Arial" w:hAnsi="Arial" w:cs="Arial"/>
          <w:sz w:val="18"/>
          <w:szCs w:val="18"/>
          <w:highlight w:val="yellow"/>
        </w:rPr>
        <w:t>. 2019).</w:t>
      </w:r>
    </w:p>
    <w:p w14:paraId="567FB602" w14:textId="77777777" w:rsidR="00177A8A" w:rsidRPr="003F3B0A" w:rsidRDefault="00177A8A" w:rsidP="00177A8A">
      <w:pPr>
        <w:jc w:val="both"/>
        <w:rPr>
          <w:rFonts w:ascii="Arial" w:hAnsi="Arial" w:cs="Arial"/>
          <w:sz w:val="18"/>
          <w:szCs w:val="18"/>
        </w:rPr>
        <w:sectPr w:rsidR="00177A8A" w:rsidRPr="003F3B0A">
          <w:type w:val="continuous"/>
          <w:pgSz w:w="11906" w:h="16838"/>
          <w:pgMar w:top="1417" w:right="1701" w:bottom="1417" w:left="1701" w:header="708" w:footer="708" w:gutter="0"/>
          <w:cols w:num="2" w:space="708"/>
          <w:docGrid w:linePitch="360"/>
        </w:sectPr>
      </w:pPr>
    </w:p>
    <w:p w14:paraId="6ABF7F43" w14:textId="77777777" w:rsidR="00020FE2" w:rsidRDefault="00020FE2" w:rsidP="00F4249F"/>
    <w:p w14:paraId="4F8211AB" w14:textId="77777777" w:rsidR="00020FE2" w:rsidRDefault="00020FE2" w:rsidP="00F4249F"/>
    <w:p w14:paraId="7902C5CF" w14:textId="77777777" w:rsidR="008C0072" w:rsidRPr="003F3B0A" w:rsidRDefault="008C0072" w:rsidP="008C0072">
      <w:pPr>
        <w:spacing w:before="120" w:after="120" w:line="276" w:lineRule="auto"/>
        <w:rPr>
          <w:rFonts w:ascii="Arial" w:hAnsi="Arial" w:cs="Arial"/>
          <w:b/>
          <w:color w:val="AE1C1F"/>
        </w:rPr>
      </w:pPr>
      <w:r w:rsidRPr="003F3B0A">
        <w:rPr>
          <w:rFonts w:ascii="Arial" w:hAnsi="Arial" w:cs="Arial"/>
          <w:b/>
          <w:color w:val="AE1C1F"/>
        </w:rPr>
        <w:t>7.4 Comorbilidades</w:t>
      </w:r>
    </w:p>
    <w:p w14:paraId="7A6B938D" w14:textId="77777777" w:rsidR="008C0072" w:rsidRPr="003F3B0A" w:rsidRDefault="008C0072" w:rsidP="008C0072">
      <w:pPr>
        <w:spacing w:before="120" w:after="120" w:line="276" w:lineRule="auto"/>
        <w:jc w:val="both"/>
        <w:rPr>
          <w:rFonts w:ascii="Arial" w:hAnsi="Arial" w:cs="Arial"/>
          <w:bCs/>
          <w:i/>
          <w:iCs/>
          <w:snapToGrid w:val="0"/>
          <w:color w:val="AE1C1F"/>
          <w:lang w:val="es-ES_tradnl"/>
        </w:rPr>
      </w:pPr>
      <w:r w:rsidRPr="003F3B0A">
        <w:rPr>
          <w:rFonts w:ascii="Arial" w:hAnsi="Arial" w:cs="Arial"/>
          <w:bCs/>
          <w:i/>
          <w:iCs/>
          <w:snapToGrid w:val="0"/>
          <w:color w:val="AE1C1F"/>
          <w:lang w:val="es-ES_tradnl"/>
        </w:rPr>
        <w:t>7.4.1. Tratamiento antirretroviral de inicio en pacientes con infecciones oportunistas (IO) distintas a la tuberculosis (TB)</w:t>
      </w:r>
    </w:p>
    <w:p w14:paraId="0C088415" w14:textId="77777777" w:rsidR="008C0072" w:rsidRPr="003F3B0A" w:rsidRDefault="008C0072" w:rsidP="008C0072">
      <w:pPr>
        <w:spacing w:before="120" w:after="120" w:line="276" w:lineRule="auto"/>
        <w:jc w:val="both"/>
        <w:rPr>
          <w:rFonts w:ascii="Arial" w:hAnsi="Arial" w:cs="Arial"/>
          <w:lang w:val="es-ES_tradnl"/>
        </w:rPr>
      </w:pPr>
      <w:r w:rsidRPr="003F3B0A">
        <w:rPr>
          <w:rFonts w:ascii="Arial" w:hAnsi="Arial" w:cs="Arial"/>
          <w:lang w:val="es-ES_tradnl"/>
        </w:rPr>
        <w:t>El momento idóneo para iniciar el TAR en un paciente con una IO es motivo de controversia</w:t>
      </w:r>
      <w:r w:rsidRPr="003F3B0A">
        <w:rPr>
          <w:rFonts w:ascii="Arial" w:hAnsi="Arial" w:cs="Arial"/>
          <w:noProof/>
          <w:vertAlign w:val="superscript"/>
          <w:lang w:val="es-ES_tradnl"/>
        </w:rPr>
        <w:t>1</w:t>
      </w:r>
      <w:r w:rsidRPr="003F3B0A">
        <w:rPr>
          <w:rFonts w:ascii="Arial" w:hAnsi="Arial" w:cs="Arial"/>
          <w:lang w:val="es-ES_tradnl"/>
        </w:rPr>
        <w:t>. Las posibles ventajas de un inicio temprano incluyen una recuperación inmune más rápida, una mayor resolución de la IO, prevenir la aparición de otras y reducir el riesgo de mortalidad. Entre los inconvenientes del inicio precoz del TAR, destacan las posibles interacciones y toxicidades, y el síndrome inflamatorio de reconstitución inmune (SIRI)</w:t>
      </w:r>
      <w:r w:rsidRPr="003F3B0A">
        <w:rPr>
          <w:rFonts w:ascii="Arial" w:hAnsi="Arial" w:cs="Arial"/>
          <w:noProof/>
          <w:vertAlign w:val="superscript"/>
          <w:lang w:val="es-ES_tradnl"/>
        </w:rPr>
        <w:t>1</w:t>
      </w:r>
      <w:r w:rsidRPr="003F3B0A">
        <w:rPr>
          <w:rFonts w:ascii="Arial" w:hAnsi="Arial" w:cs="Arial"/>
          <w:b/>
          <w:bCs/>
          <w:lang w:val="es-ES_tradnl"/>
        </w:rPr>
        <w:t xml:space="preserve">. </w:t>
      </w:r>
      <w:r w:rsidRPr="003F3B0A">
        <w:rPr>
          <w:rFonts w:ascii="Arial" w:hAnsi="Arial" w:cs="Arial"/>
          <w:lang w:val="es-ES_tradnl"/>
        </w:rPr>
        <w:t>La IO en la que se ha estudiado mejor el momento más idóneo para iniciar el TAR es la TB, que se trata en otro apartado. Existen pocos estudios aleatorizados y de cohortes que hayan evaluado este tema en otras IO. El ensayo clínico aleatorizado ACTG A5164 demostró una reducción en la progresión a sida/muerte (</w:t>
      </w:r>
      <w:r w:rsidRPr="003F3B0A">
        <w:rPr>
          <w:rFonts w:ascii="Arial" w:hAnsi="Arial" w:cs="Arial"/>
          <w:i/>
          <w:iCs/>
          <w:lang w:val="es-ES_tradnl"/>
        </w:rPr>
        <w:t>OR:</w:t>
      </w:r>
      <w:r w:rsidRPr="003F3B0A">
        <w:rPr>
          <w:rFonts w:ascii="Arial" w:hAnsi="Arial" w:cs="Arial"/>
          <w:lang w:val="es-ES_tradnl"/>
        </w:rPr>
        <w:t xml:space="preserve"> 0,51; IC 95%: 0,27 a 0,94) en pacientes que iniciaban TAR dentro de una mediana de 12 días tras el inicio del tratamiento de la IO frente a los que lo demoraban hasta una mediana de 45 días</w:t>
      </w:r>
      <w:r w:rsidRPr="003F3B0A">
        <w:rPr>
          <w:rFonts w:ascii="Arial" w:hAnsi="Arial" w:cs="Arial"/>
          <w:noProof/>
          <w:vertAlign w:val="superscript"/>
          <w:lang w:val="es-ES_tradnl"/>
        </w:rPr>
        <w:t>2</w:t>
      </w:r>
      <w:r w:rsidRPr="003F3B0A">
        <w:rPr>
          <w:rFonts w:ascii="Arial" w:hAnsi="Arial" w:cs="Arial"/>
          <w:b/>
          <w:bCs/>
          <w:lang w:val="es-ES_tradnl"/>
        </w:rPr>
        <w:t xml:space="preserve">. </w:t>
      </w:r>
      <w:r w:rsidRPr="003F3B0A">
        <w:rPr>
          <w:rFonts w:ascii="Arial" w:hAnsi="Arial" w:cs="Arial"/>
          <w:lang w:val="es-ES_tradnl"/>
        </w:rPr>
        <w:t xml:space="preserve">No se observaron diferencias significativas en efectos adversos ni en la incidencia de SIRI, según se usasen o no esteroides para la IO. Más del 60% de los pacientes tenían neumonía por </w:t>
      </w:r>
      <w:r w:rsidRPr="003F3B0A">
        <w:rPr>
          <w:rFonts w:ascii="Arial" w:hAnsi="Arial" w:cs="Arial"/>
          <w:i/>
          <w:iCs/>
          <w:lang w:val="es-ES_tradnl"/>
        </w:rPr>
        <w:t>Pneumocystis jirovecii</w:t>
      </w:r>
      <w:r w:rsidRPr="003F3B0A">
        <w:rPr>
          <w:rFonts w:ascii="Arial" w:hAnsi="Arial" w:cs="Arial"/>
          <w:lang w:val="es-ES_tradnl"/>
        </w:rPr>
        <w:t xml:space="preserve"> (NPJ), pero dado el pequeño número y variedad de otras IO es difícil extraer conclusiones para cada una de ellas por separado. En todo caso, parecía haber una tendencia favorable al inicio precoz del TAR en las infecciones fúngicas, incluyendo la meningitis criptocócica. </w:t>
      </w:r>
    </w:p>
    <w:p w14:paraId="3DBFD6D9" w14:textId="77777777" w:rsidR="008C0072" w:rsidRPr="003F3B0A" w:rsidRDefault="008C0072" w:rsidP="008C0072">
      <w:pPr>
        <w:spacing w:before="120" w:after="120" w:line="276" w:lineRule="auto"/>
        <w:jc w:val="both"/>
        <w:rPr>
          <w:rFonts w:ascii="Arial" w:hAnsi="Arial" w:cs="Arial"/>
          <w:lang w:val="es-ES_tradnl"/>
        </w:rPr>
      </w:pPr>
      <w:r w:rsidRPr="003F3B0A">
        <w:rPr>
          <w:rFonts w:ascii="Arial" w:hAnsi="Arial" w:cs="Arial"/>
          <w:lang w:val="es-ES_tradnl"/>
        </w:rPr>
        <w:t>Un estudio prospectivo de cohorte, realizado por el grupo PISCIS, halló también una mayor progresión a sida/muerte en los pacientes que iniciaron el TAR entre 30-270 días frente a los que lo hicieron antes de 30 días, tanto en IO en general como en la NPJ (RR: 1,83; IC 95%: 1,25 a 2,68</w:t>
      </w:r>
      <w:r>
        <w:rPr>
          <w:rFonts w:ascii="Arial" w:hAnsi="Arial" w:cs="Arial"/>
          <w:lang w:val="es-ES_tradnl"/>
        </w:rPr>
        <w:t xml:space="preserve">; </w:t>
      </w:r>
      <w:r w:rsidRPr="004F3F4F">
        <w:rPr>
          <w:rFonts w:ascii="Arial" w:hAnsi="Arial" w:cs="Arial"/>
          <w:i/>
          <w:lang w:val="es-ES_tradnl"/>
        </w:rPr>
        <w:t>p</w:t>
      </w:r>
      <w:r>
        <w:rPr>
          <w:rFonts w:ascii="Arial" w:hAnsi="Arial" w:cs="Arial"/>
          <w:lang w:val="es-ES_tradnl"/>
        </w:rPr>
        <w:t>= 0,002</w:t>
      </w:r>
      <w:r w:rsidRPr="003F3B0A">
        <w:rPr>
          <w:rFonts w:ascii="Arial" w:hAnsi="Arial" w:cs="Arial"/>
          <w:lang w:val="es-ES_tradnl"/>
        </w:rPr>
        <w:t>)</w:t>
      </w:r>
      <w:r w:rsidRPr="003F3B0A">
        <w:rPr>
          <w:rFonts w:ascii="Arial" w:hAnsi="Arial" w:cs="Arial"/>
          <w:noProof/>
          <w:vertAlign w:val="superscript"/>
          <w:lang w:val="es-ES_tradnl"/>
        </w:rPr>
        <w:t>3</w:t>
      </w:r>
      <w:r w:rsidRPr="003F3B0A">
        <w:rPr>
          <w:rFonts w:ascii="Arial" w:hAnsi="Arial" w:cs="Arial"/>
          <w:b/>
          <w:bCs/>
          <w:lang w:val="es-ES_tradnl"/>
        </w:rPr>
        <w:t>.</w:t>
      </w:r>
      <w:r w:rsidRPr="003F3B0A">
        <w:rPr>
          <w:rFonts w:ascii="Arial" w:hAnsi="Arial" w:cs="Arial"/>
          <w:lang w:val="es-ES_tradnl"/>
        </w:rPr>
        <w:t xml:space="preserve"> </w:t>
      </w:r>
    </w:p>
    <w:p w14:paraId="03A205AC" w14:textId="77777777" w:rsidR="008C0072" w:rsidRPr="003F3B0A" w:rsidRDefault="008C0072" w:rsidP="008C0072">
      <w:pPr>
        <w:spacing w:before="120" w:after="120" w:line="276" w:lineRule="auto"/>
        <w:jc w:val="both"/>
        <w:rPr>
          <w:rFonts w:ascii="Arial" w:hAnsi="Arial" w:cs="Arial"/>
          <w:color w:val="000000"/>
          <w:lang w:val="es-ES_tradnl"/>
        </w:rPr>
      </w:pPr>
      <w:r w:rsidRPr="003F3B0A">
        <w:rPr>
          <w:rFonts w:ascii="Arial" w:hAnsi="Arial" w:cs="Arial"/>
          <w:color w:val="000000"/>
          <w:lang w:val="es-ES_tradnl"/>
        </w:rPr>
        <w:t xml:space="preserve">En pacientes con toxoplasmosis cerebral (TC), no existen datos sobre los que basar una recomendación </w:t>
      </w:r>
      <w:r>
        <w:rPr>
          <w:rFonts w:ascii="Arial" w:hAnsi="Arial" w:cs="Arial"/>
          <w:color w:val="000000"/>
          <w:lang w:val="es-ES_tradnl"/>
        </w:rPr>
        <w:t>de</w:t>
      </w:r>
      <w:r w:rsidRPr="003F3B0A">
        <w:rPr>
          <w:rFonts w:ascii="Arial" w:hAnsi="Arial" w:cs="Arial"/>
          <w:color w:val="000000"/>
          <w:lang w:val="es-ES_tradnl"/>
        </w:rPr>
        <w:t xml:space="preserve"> cuándo iniciar el TAR. En el estudio ACTG A5164, comentado previamente, solo el 5% de los pacientes tenían una TC</w:t>
      </w:r>
      <w:r w:rsidRPr="003F3B0A">
        <w:rPr>
          <w:rFonts w:ascii="Arial" w:hAnsi="Arial" w:cs="Arial"/>
          <w:noProof/>
          <w:color w:val="000000"/>
          <w:vertAlign w:val="superscript"/>
          <w:lang w:val="es-ES_tradnl"/>
        </w:rPr>
        <w:t>2</w:t>
      </w:r>
      <w:r w:rsidRPr="003F3B0A">
        <w:rPr>
          <w:rFonts w:ascii="Arial" w:hAnsi="Arial" w:cs="Arial"/>
          <w:color w:val="000000"/>
          <w:lang w:val="es-ES_tradnl"/>
        </w:rPr>
        <w:t xml:space="preserve">. A pesar de estas limitaciones, algunos expertos consideran que puede iniciarse el TAR 2 a 3 semanas después del diagnóstico de la TC. </w:t>
      </w:r>
    </w:p>
    <w:p w14:paraId="79C04BDB" w14:textId="77777777" w:rsidR="008C0072" w:rsidRPr="003F3B0A" w:rsidRDefault="008C0072" w:rsidP="008C0072">
      <w:pPr>
        <w:spacing w:before="120" w:after="120" w:line="276" w:lineRule="auto"/>
        <w:jc w:val="both"/>
        <w:rPr>
          <w:rFonts w:ascii="Arial" w:hAnsi="Arial" w:cs="Arial"/>
          <w:lang w:val="es-ES_tradnl"/>
        </w:rPr>
      </w:pPr>
      <w:r w:rsidRPr="003F3B0A">
        <w:rPr>
          <w:rFonts w:ascii="Arial" w:hAnsi="Arial" w:cs="Arial"/>
          <w:lang w:val="es-ES_tradnl"/>
        </w:rPr>
        <w:t xml:space="preserve">Una de las IO más complicadas de tratar por su elevada morbimortalidad es la meningitis criptocócica, sobre todo en los países </w:t>
      </w:r>
      <w:r w:rsidRPr="0079418C">
        <w:rPr>
          <w:rFonts w:ascii="Arial" w:hAnsi="Arial" w:cs="Arial"/>
          <w:highlight w:val="yellow"/>
          <w:lang w:val="es-ES_tradnl"/>
        </w:rPr>
        <w:t>menos desarrollados</w:t>
      </w:r>
      <w:r w:rsidRPr="003F3B0A">
        <w:rPr>
          <w:rFonts w:ascii="Arial" w:hAnsi="Arial" w:cs="Arial"/>
          <w:lang w:val="es-ES_tradnl"/>
        </w:rPr>
        <w:t>. La ausencia de un tratamiento estandarizado para el aumento de la presión intracraneal, la falta de 5-fluorocitosina y la dificultad para acceder al TAR en esos países, contribuyen seguramente a su mayor mortalidad. Los resultados acerca del mejor momento para iniciar TAR en los pacientes con meningitis criptocócica eran controvertidos</w:t>
      </w:r>
      <w:r w:rsidRPr="003F3B0A">
        <w:rPr>
          <w:rFonts w:ascii="Arial" w:hAnsi="Arial" w:cs="Arial"/>
          <w:noProof/>
          <w:vertAlign w:val="superscript"/>
          <w:lang w:val="es-ES_tradnl"/>
        </w:rPr>
        <w:t>4,5</w:t>
      </w:r>
      <w:r w:rsidRPr="003F3B0A">
        <w:rPr>
          <w:rFonts w:ascii="Arial" w:hAnsi="Arial" w:cs="Arial"/>
          <w:lang w:val="es-ES_tradnl"/>
        </w:rPr>
        <w:t xml:space="preserve"> hasta la publicación del estudio COAT (</w:t>
      </w:r>
      <w:r w:rsidRPr="003F3B0A">
        <w:rPr>
          <w:rFonts w:ascii="Arial" w:hAnsi="Arial" w:cs="Arial"/>
          <w:i/>
          <w:iCs/>
          <w:lang w:val="es-ES_tradnl"/>
        </w:rPr>
        <w:t>Cryptococcal Optimal ART Timing</w:t>
      </w:r>
      <w:r w:rsidRPr="003F3B0A">
        <w:rPr>
          <w:rFonts w:ascii="Arial" w:hAnsi="Arial" w:cs="Arial"/>
          <w:lang w:val="es-ES_tradnl"/>
        </w:rPr>
        <w:t xml:space="preserve">), realizado en África. Se detuvo la inclusión de pacientes y el estudio por una mayor mortalidad en los pacientes que </w:t>
      </w:r>
      <w:r w:rsidRPr="003F3B0A">
        <w:rPr>
          <w:rFonts w:ascii="Arial" w:hAnsi="Arial" w:cs="Arial"/>
          <w:lang w:val="es-ES_tradnl"/>
        </w:rPr>
        <w:lastRenderedPageBreak/>
        <w:t>iniciaban el TAR precozmente</w:t>
      </w:r>
      <w:r w:rsidRPr="003F3B0A">
        <w:rPr>
          <w:rFonts w:ascii="Arial" w:hAnsi="Arial" w:cs="Arial"/>
          <w:noProof/>
          <w:vertAlign w:val="superscript"/>
          <w:lang w:val="es-ES_tradnl"/>
        </w:rPr>
        <w:t>6</w:t>
      </w:r>
      <w:r w:rsidRPr="003F3B0A">
        <w:rPr>
          <w:rFonts w:ascii="Arial" w:hAnsi="Arial" w:cs="Arial"/>
          <w:lang w:val="es-ES_tradnl"/>
        </w:rPr>
        <w:t xml:space="preserve">. Los pacientes (n=177), con una mediana de linfocitos CD4+ de 19 y 28 células/µL, respectivamente, fueron aleatorizados a inicio precoz o tardío del TAR (1-2 semanas o 5 semanas después del diagnóstico) y recibieron anfotericina B (0,7-1,0 mg/kg/d) y fluconazol (800 mg/d), seguidos de una consolidación con fluconazol. La mortalidad a las 26 semanas fue significativamente mayor en los que iniciaron el TAR de forma precoz (45% </w:t>
      </w:r>
      <w:r w:rsidRPr="00D15E6A">
        <w:rPr>
          <w:rFonts w:ascii="Arial" w:hAnsi="Arial" w:cs="Arial"/>
          <w:i/>
          <w:lang w:val="es-ES_tradnl"/>
        </w:rPr>
        <w:t>vs</w:t>
      </w:r>
      <w:r w:rsidRPr="003F3B0A">
        <w:rPr>
          <w:rFonts w:ascii="Arial" w:hAnsi="Arial" w:cs="Arial"/>
          <w:lang w:val="es-ES_tradnl"/>
        </w:rPr>
        <w:t xml:space="preserve">. 30%; RR: 1,73; IC95%: 1,06 a 2,82, </w:t>
      </w:r>
      <w:r>
        <w:rPr>
          <w:rFonts w:ascii="Arial" w:hAnsi="Arial" w:cs="Arial"/>
          <w:i/>
          <w:lang w:val="es-ES_tradnl"/>
        </w:rPr>
        <w:t>p</w:t>
      </w:r>
      <w:r w:rsidRPr="003F3B0A">
        <w:rPr>
          <w:rFonts w:ascii="Arial" w:hAnsi="Arial" w:cs="Arial"/>
          <w:lang w:val="es-ES_tradnl"/>
        </w:rPr>
        <w:t>=0,03). La mortalidad fue particularmente elevada en pacientes con menos de 5 células/µL en el LCR.</w:t>
      </w:r>
      <w:r>
        <w:rPr>
          <w:rFonts w:ascii="Arial" w:hAnsi="Arial" w:cs="Arial"/>
          <w:lang w:val="es-ES_tradnl"/>
        </w:rPr>
        <w:t xml:space="preserve"> </w:t>
      </w:r>
      <w:r w:rsidRPr="003F3B0A">
        <w:rPr>
          <w:rFonts w:ascii="Arial" w:hAnsi="Arial" w:cs="Arial"/>
          <w:lang w:val="es-ES_tradnl"/>
        </w:rPr>
        <w:t xml:space="preserve">La presencia de SIRI no difirió significativamente entre ambos grupos (20% </w:t>
      </w:r>
      <w:r w:rsidRPr="00D15E6A">
        <w:rPr>
          <w:rFonts w:ascii="Arial" w:hAnsi="Arial" w:cs="Arial"/>
          <w:i/>
          <w:lang w:val="es-ES_tradnl"/>
        </w:rPr>
        <w:t>vs</w:t>
      </w:r>
      <w:r w:rsidRPr="003F3B0A">
        <w:rPr>
          <w:rFonts w:ascii="Arial" w:hAnsi="Arial" w:cs="Arial"/>
          <w:lang w:val="es-ES_tradnl"/>
        </w:rPr>
        <w:t xml:space="preserve">. 13%, </w:t>
      </w:r>
      <w:r>
        <w:rPr>
          <w:rFonts w:ascii="Arial" w:hAnsi="Arial" w:cs="Arial"/>
          <w:i/>
          <w:lang w:val="es-ES_tradnl"/>
        </w:rPr>
        <w:t>p</w:t>
      </w:r>
      <w:r w:rsidRPr="003F3B0A">
        <w:rPr>
          <w:rFonts w:ascii="Arial" w:hAnsi="Arial" w:cs="Arial"/>
          <w:lang w:val="es-ES_tradnl"/>
        </w:rPr>
        <w:t xml:space="preserve">=0,32). Los autores concluyeron que en pacientes con meningitis criptocócica, diferir el inicio de TAR 5 semanas después del diagnóstico de la misma se asociaba a una supervivencia significativamente mayor, comparado con aquellos en los que se inició </w:t>
      </w:r>
      <w:r>
        <w:rPr>
          <w:rFonts w:ascii="Arial" w:hAnsi="Arial" w:cs="Arial"/>
          <w:lang w:val="es-ES_tradnl"/>
        </w:rPr>
        <w:t xml:space="preserve">el </w:t>
      </w:r>
      <w:r w:rsidRPr="003F3B0A">
        <w:rPr>
          <w:rFonts w:ascii="Arial" w:hAnsi="Arial" w:cs="Arial"/>
          <w:lang w:val="es-ES_tradnl"/>
        </w:rPr>
        <w:t>TAR 1-2 semanas tras el diagnóstico, especialmente en pacientes con poca celularidad en el LCR</w:t>
      </w:r>
      <w:r w:rsidRPr="003F3B0A">
        <w:rPr>
          <w:rFonts w:ascii="Arial" w:hAnsi="Arial" w:cs="Arial"/>
          <w:noProof/>
          <w:vertAlign w:val="superscript"/>
          <w:lang w:val="es-ES_tradnl"/>
        </w:rPr>
        <w:t>6</w:t>
      </w:r>
      <w:r w:rsidRPr="003F3B0A">
        <w:rPr>
          <w:rFonts w:ascii="Arial" w:hAnsi="Arial" w:cs="Arial"/>
          <w:lang w:val="es-ES_tradnl"/>
        </w:rPr>
        <w:t xml:space="preserve">. </w:t>
      </w:r>
      <w:r w:rsidRPr="00F2797B">
        <w:rPr>
          <w:rFonts w:ascii="Arial" w:hAnsi="Arial" w:cs="Arial"/>
          <w:lang w:val="es-ES_tradnl"/>
        </w:rPr>
        <w:t xml:space="preserve"> </w:t>
      </w:r>
      <w:r w:rsidRPr="0079418C">
        <w:rPr>
          <w:rFonts w:ascii="Arial" w:hAnsi="Arial" w:cs="Arial"/>
          <w:highlight w:val="yellow"/>
          <w:lang w:val="es-ES_tradnl"/>
        </w:rPr>
        <w:t>Estos resultados se han confirmado por una revisión sistemática de la colaboración Cochrane que incluye 4 estudios con 294 pacientes</w:t>
      </w:r>
      <w:r w:rsidRPr="0079418C">
        <w:rPr>
          <w:rFonts w:ascii="Arial" w:hAnsi="Arial" w:cs="Arial"/>
          <w:highlight w:val="yellow"/>
          <w:vertAlign w:val="superscript"/>
          <w:lang w:val="es-ES_tradnl"/>
        </w:rPr>
        <w:t>7</w:t>
      </w:r>
      <w:r w:rsidRPr="0079418C">
        <w:rPr>
          <w:rFonts w:ascii="Arial" w:hAnsi="Arial" w:cs="Arial"/>
          <w:highlight w:val="yellow"/>
          <w:lang w:val="es-ES_tradnl"/>
        </w:rPr>
        <w:t xml:space="preserve">. El riesgo de muerte se incrementa en un 42% cuando se inicia el TAR de forma precoz </w:t>
      </w:r>
      <w:r w:rsidRPr="00D15E6A">
        <w:rPr>
          <w:rFonts w:ascii="Arial" w:hAnsi="Arial" w:cs="Arial"/>
          <w:i/>
          <w:highlight w:val="yellow"/>
          <w:lang w:val="es-ES_tradnl"/>
        </w:rPr>
        <w:t>vs</w:t>
      </w:r>
      <w:r>
        <w:rPr>
          <w:rFonts w:ascii="Arial" w:hAnsi="Arial" w:cs="Arial"/>
          <w:highlight w:val="yellow"/>
          <w:lang w:val="es-ES_tradnl"/>
        </w:rPr>
        <w:t xml:space="preserve"> tardía (RR 1,42; </w:t>
      </w:r>
      <w:r w:rsidRPr="0079418C">
        <w:rPr>
          <w:rFonts w:ascii="Arial" w:hAnsi="Arial" w:cs="Arial"/>
          <w:highlight w:val="yellow"/>
          <w:lang w:val="es-ES_tradnl"/>
        </w:rPr>
        <w:t>IC95% 1,02-1,97). Este incremento en la mortalidad no parece estar claramente relacionado con el SIRI. No se dispone de ensayos clínicos que aborden esta cuestión en países desarrollados.</w:t>
      </w:r>
    </w:p>
    <w:p w14:paraId="612B0F7C" w14:textId="77777777" w:rsidR="008C0072" w:rsidRPr="003F3B0A" w:rsidRDefault="008C0072" w:rsidP="008C0072">
      <w:pPr>
        <w:spacing w:before="120" w:after="120" w:line="276" w:lineRule="auto"/>
        <w:jc w:val="both"/>
        <w:rPr>
          <w:rFonts w:ascii="Arial" w:hAnsi="Arial" w:cs="Arial"/>
          <w:lang w:val="es-ES_tradnl"/>
        </w:rPr>
      </w:pPr>
      <w:r w:rsidRPr="003F3B0A">
        <w:rPr>
          <w:rFonts w:ascii="Arial" w:hAnsi="Arial" w:cs="Arial"/>
          <w:lang w:val="es-ES_tradnl"/>
        </w:rPr>
        <w:t>Por tanto, a pesar de la limitación de los datos, en las IO en general habría una menor progresión de la enfermedad en aquellos pacientes que inician el TAR de forma precoz (antes de los 15 días), aunque no está claro si, además de la NPJ, esto es cierto para todas las IO. Concretamente, en la meningitis criptocócica (probablemente en relación con la gravedad del SIRI en el SNC, no siempre clínicamente reconocido, como también ocurre en la meningitis tuberculosa) sería claramente mejor esperar varias semanas para iniciar el TAR tras el diagnóstico y tratamiento de esta IO</w:t>
      </w:r>
      <w:r w:rsidRPr="003F3B0A">
        <w:rPr>
          <w:rFonts w:ascii="Arial" w:hAnsi="Arial" w:cs="Arial"/>
          <w:noProof/>
          <w:vertAlign w:val="superscript"/>
          <w:lang w:val="es-ES_tradnl"/>
        </w:rPr>
        <w:t>6</w:t>
      </w:r>
      <w:r w:rsidRPr="0079418C">
        <w:rPr>
          <w:rFonts w:ascii="Arial" w:hAnsi="Arial" w:cs="Arial"/>
          <w:noProof/>
          <w:highlight w:val="yellow"/>
          <w:vertAlign w:val="superscript"/>
          <w:lang w:val="es-ES_tradnl"/>
        </w:rPr>
        <w:t>-8</w:t>
      </w:r>
      <w:r w:rsidRPr="003F3B0A">
        <w:rPr>
          <w:rFonts w:ascii="Arial" w:hAnsi="Arial" w:cs="Arial"/>
          <w:lang w:val="es-ES_tradnl"/>
        </w:rPr>
        <w:t xml:space="preserve">. </w:t>
      </w:r>
      <w:r>
        <w:rPr>
          <w:rFonts w:ascii="Arial" w:hAnsi="Arial" w:cs="Arial"/>
          <w:highlight w:val="yellow"/>
          <w:lang w:val="es-ES_tradnl"/>
        </w:rPr>
        <w:t xml:space="preserve">En caso de presentar dos o más IO </w:t>
      </w:r>
      <w:r w:rsidRPr="0079418C">
        <w:rPr>
          <w:rFonts w:ascii="Arial" w:hAnsi="Arial" w:cs="Arial"/>
          <w:highlight w:val="yellow"/>
          <w:lang w:val="es-ES_tradnl"/>
        </w:rPr>
        <w:t xml:space="preserve">al mismo tiempo, siendo una de ellas una meningitis criptocócica o tuberculosa, el buen juicio clínico debe sospesar el beneficio o perjuicio de iniciar </w:t>
      </w:r>
      <w:r>
        <w:rPr>
          <w:rFonts w:ascii="Arial" w:hAnsi="Arial" w:cs="Arial"/>
          <w:highlight w:val="yellow"/>
          <w:lang w:val="es-ES_tradnl"/>
        </w:rPr>
        <w:t>TAR</w:t>
      </w:r>
      <w:r w:rsidRPr="0079418C">
        <w:rPr>
          <w:rFonts w:ascii="Arial" w:hAnsi="Arial" w:cs="Arial"/>
          <w:highlight w:val="yellow"/>
          <w:lang w:val="es-ES_tradnl"/>
        </w:rPr>
        <w:t xml:space="preserve"> precoz (&lt; 2 semanas), intermedio (2-5 semanas) o tardío (&gt; 5 semanas).</w:t>
      </w:r>
      <w:r>
        <w:rPr>
          <w:rFonts w:ascii="Arial" w:hAnsi="Arial" w:cs="Arial"/>
          <w:lang w:val="es-ES_tradnl"/>
        </w:rPr>
        <w:t xml:space="preserve"> </w:t>
      </w:r>
    </w:p>
    <w:p w14:paraId="4BFDFCDC" w14:textId="77777777" w:rsidR="008C0072" w:rsidRPr="003F3B0A" w:rsidRDefault="008C0072" w:rsidP="008C0072">
      <w:pPr>
        <w:spacing w:before="120" w:after="120" w:line="276" w:lineRule="auto"/>
        <w:jc w:val="both"/>
        <w:rPr>
          <w:rFonts w:ascii="Arial" w:hAnsi="Arial" w:cs="Arial"/>
          <w:b/>
          <w:bCs/>
          <w:color w:val="AE1C1F"/>
          <w:lang w:val="es-ES_tradnl"/>
        </w:rPr>
      </w:pPr>
      <w:r w:rsidRPr="003F3B0A">
        <w:rPr>
          <w:rFonts w:ascii="Arial" w:hAnsi="Arial" w:cs="Arial"/>
          <w:b/>
          <w:bCs/>
          <w:color w:val="AE1C1F"/>
          <w:lang w:val="es-ES_tradnl"/>
        </w:rPr>
        <w:t>Recomendaciones</w:t>
      </w:r>
    </w:p>
    <w:p w14:paraId="69DA6494" w14:textId="77777777" w:rsidR="008C0072" w:rsidRPr="003F3B0A" w:rsidRDefault="008C0072" w:rsidP="008C0072">
      <w:pPr>
        <w:numPr>
          <w:ilvl w:val="0"/>
          <w:numId w:val="20"/>
        </w:numPr>
        <w:tabs>
          <w:tab w:val="num" w:pos="360"/>
        </w:tabs>
        <w:spacing w:before="120" w:after="120" w:line="276" w:lineRule="auto"/>
        <w:ind w:left="360"/>
        <w:jc w:val="both"/>
        <w:rPr>
          <w:rFonts w:ascii="Arial" w:hAnsi="Arial" w:cs="Arial"/>
          <w:lang w:val="es-ES_tradnl"/>
        </w:rPr>
      </w:pPr>
      <w:r w:rsidRPr="008C0072">
        <w:rPr>
          <w:rFonts w:ascii="Arial" w:hAnsi="Arial" w:cs="Arial"/>
          <w:highlight w:val="yellow"/>
          <w:lang w:val="es-ES_tradnl"/>
        </w:rPr>
        <w:t>Sin considerar la TB,</w:t>
      </w:r>
      <w:r>
        <w:rPr>
          <w:rFonts w:ascii="Arial" w:hAnsi="Arial" w:cs="Arial"/>
          <w:lang w:val="es-ES_tradnl"/>
        </w:rPr>
        <w:t xml:space="preserve"> e</w:t>
      </w:r>
      <w:r w:rsidRPr="003F3B0A">
        <w:rPr>
          <w:rFonts w:ascii="Arial" w:hAnsi="Arial" w:cs="Arial"/>
          <w:lang w:val="es-ES_tradnl"/>
        </w:rPr>
        <w:t>n la mayoría de la</w:t>
      </w:r>
      <w:r>
        <w:rPr>
          <w:rFonts w:ascii="Arial" w:hAnsi="Arial" w:cs="Arial"/>
          <w:lang w:val="es-ES_tradnl"/>
        </w:rPr>
        <w:t>s</w:t>
      </w:r>
      <w:r w:rsidRPr="003F3B0A">
        <w:rPr>
          <w:rFonts w:ascii="Arial" w:hAnsi="Arial" w:cs="Arial"/>
          <w:lang w:val="es-ES_tradnl"/>
        </w:rPr>
        <w:t xml:space="preserve"> IO, excepto la meningitis criptocócica, se debe iniciar el TAR lo antes posible (se recomienda en las dos primeras semanas tras e</w:t>
      </w:r>
      <w:r>
        <w:rPr>
          <w:rFonts w:ascii="Arial" w:hAnsi="Arial" w:cs="Arial"/>
          <w:lang w:val="es-ES_tradnl"/>
        </w:rPr>
        <w:t>l inicio del tratamiento de la IO</w:t>
      </w:r>
      <w:r w:rsidRPr="003F3B0A">
        <w:rPr>
          <w:rFonts w:ascii="Arial" w:hAnsi="Arial" w:cs="Arial"/>
          <w:lang w:val="es-ES_tradnl"/>
        </w:rPr>
        <w:t>) (</w:t>
      </w:r>
      <w:r w:rsidRPr="003F3B0A">
        <w:rPr>
          <w:rFonts w:ascii="Arial" w:hAnsi="Arial" w:cs="Arial"/>
          <w:b/>
          <w:bCs/>
          <w:i/>
          <w:iCs/>
          <w:lang w:val="es-ES_tradnl"/>
        </w:rPr>
        <w:t>A-II</w:t>
      </w:r>
      <w:r w:rsidRPr="003F3B0A">
        <w:rPr>
          <w:rFonts w:ascii="Arial" w:hAnsi="Arial" w:cs="Arial"/>
          <w:lang w:val="es-ES_tradnl"/>
        </w:rPr>
        <w:t>)</w:t>
      </w:r>
      <w:r>
        <w:rPr>
          <w:rFonts w:ascii="Arial" w:hAnsi="Arial" w:cs="Arial"/>
          <w:lang w:val="es-ES_tradnl"/>
        </w:rPr>
        <w:t>.</w:t>
      </w:r>
    </w:p>
    <w:p w14:paraId="7A5167BD" w14:textId="77777777" w:rsidR="008C0072" w:rsidRPr="003F3B0A" w:rsidRDefault="008C0072" w:rsidP="008C0072">
      <w:pPr>
        <w:numPr>
          <w:ilvl w:val="0"/>
          <w:numId w:val="20"/>
        </w:numPr>
        <w:tabs>
          <w:tab w:val="num" w:pos="360"/>
        </w:tabs>
        <w:spacing w:before="120" w:after="120" w:line="276" w:lineRule="auto"/>
        <w:ind w:left="360"/>
        <w:jc w:val="both"/>
        <w:rPr>
          <w:rFonts w:ascii="Arial" w:hAnsi="Arial" w:cs="Arial"/>
          <w:lang w:val="es-ES_tradnl"/>
        </w:rPr>
      </w:pPr>
      <w:r w:rsidRPr="003F3B0A">
        <w:rPr>
          <w:rFonts w:ascii="Arial" w:hAnsi="Arial" w:cs="Arial"/>
          <w:lang w:val="es-ES_tradnl"/>
        </w:rPr>
        <w:t>En pacient</w:t>
      </w:r>
      <w:r>
        <w:rPr>
          <w:rFonts w:ascii="Arial" w:hAnsi="Arial" w:cs="Arial"/>
          <w:lang w:val="es-ES_tradnl"/>
        </w:rPr>
        <w:t>es con NPJ que no reciben TAR, é</w:t>
      </w:r>
      <w:r w:rsidRPr="003F3B0A">
        <w:rPr>
          <w:rFonts w:ascii="Arial" w:hAnsi="Arial" w:cs="Arial"/>
          <w:lang w:val="es-ES_tradnl"/>
        </w:rPr>
        <w:t xml:space="preserve">ste se debería comenzar en las dos primeras semanas tras el diagnóstico de la NPJ </w:t>
      </w:r>
      <w:r w:rsidRPr="003F3B0A">
        <w:rPr>
          <w:rFonts w:ascii="Arial" w:hAnsi="Arial" w:cs="Arial"/>
          <w:b/>
          <w:lang w:val="es-ES_tradnl"/>
        </w:rPr>
        <w:t>(</w:t>
      </w:r>
      <w:r w:rsidRPr="003F3B0A">
        <w:rPr>
          <w:rFonts w:ascii="Arial" w:hAnsi="Arial" w:cs="Arial"/>
          <w:b/>
          <w:i/>
          <w:lang w:val="es-ES_tradnl"/>
        </w:rPr>
        <w:t>A</w:t>
      </w:r>
      <w:r>
        <w:rPr>
          <w:rFonts w:ascii="Arial" w:hAnsi="Arial" w:cs="Arial"/>
          <w:b/>
          <w:i/>
          <w:lang w:val="es-ES_tradnl"/>
        </w:rPr>
        <w:t>-</w:t>
      </w:r>
      <w:r w:rsidRPr="003F3B0A">
        <w:rPr>
          <w:rFonts w:ascii="Arial" w:hAnsi="Arial" w:cs="Arial"/>
          <w:b/>
          <w:i/>
          <w:lang w:val="es-ES_tradnl"/>
        </w:rPr>
        <w:t>I</w:t>
      </w:r>
      <w:r w:rsidRPr="003F3B0A">
        <w:rPr>
          <w:rFonts w:ascii="Arial" w:hAnsi="Arial" w:cs="Arial"/>
          <w:b/>
          <w:lang w:val="es-ES_tradnl"/>
        </w:rPr>
        <w:t>)</w:t>
      </w:r>
      <w:r>
        <w:rPr>
          <w:rFonts w:ascii="Arial" w:hAnsi="Arial" w:cs="Arial"/>
          <w:b/>
          <w:lang w:val="es-ES_tradnl"/>
        </w:rPr>
        <w:t>.</w:t>
      </w:r>
    </w:p>
    <w:p w14:paraId="2005C608" w14:textId="77777777" w:rsidR="008C0072" w:rsidRPr="003F3B0A" w:rsidRDefault="008C0072" w:rsidP="008C0072">
      <w:pPr>
        <w:numPr>
          <w:ilvl w:val="0"/>
          <w:numId w:val="20"/>
        </w:numPr>
        <w:tabs>
          <w:tab w:val="num" w:pos="360"/>
        </w:tabs>
        <w:spacing w:before="120" w:after="120" w:line="276" w:lineRule="auto"/>
        <w:ind w:left="360"/>
        <w:jc w:val="both"/>
        <w:rPr>
          <w:rFonts w:ascii="Arial" w:hAnsi="Arial" w:cs="Arial"/>
          <w:color w:val="000000"/>
          <w:lang w:val="es-ES_tradnl"/>
        </w:rPr>
      </w:pPr>
      <w:r w:rsidRPr="003F3B0A">
        <w:rPr>
          <w:rFonts w:ascii="Arial" w:hAnsi="Arial" w:cs="Arial"/>
          <w:color w:val="000000"/>
          <w:lang w:val="es-ES_tradnl"/>
        </w:rPr>
        <w:t xml:space="preserve">En pacientes con meningitis criptocócica se recomienda diferir el inicio del TAR 5 semanas por el riesgo de mayor mortalidad asociada con un inicio precoz del mismo (especialmente en pacientes con menos de 5 células/µL en el LCR o incremento de la presión intracraneal) </w:t>
      </w:r>
      <w:r w:rsidRPr="004F3F4F">
        <w:rPr>
          <w:rFonts w:ascii="Arial" w:hAnsi="Arial" w:cs="Arial"/>
          <w:i/>
          <w:color w:val="000000"/>
          <w:lang w:val="es-ES_tradnl"/>
        </w:rPr>
        <w:t>(</w:t>
      </w:r>
      <w:r w:rsidRPr="004F3F4F">
        <w:rPr>
          <w:rFonts w:ascii="Arial" w:hAnsi="Arial" w:cs="Arial"/>
          <w:b/>
          <w:i/>
          <w:color w:val="000000"/>
          <w:lang w:val="es-ES_tradnl"/>
        </w:rPr>
        <w:t>A-I</w:t>
      </w:r>
      <w:r w:rsidRPr="004F3F4F">
        <w:rPr>
          <w:rFonts w:ascii="Arial" w:hAnsi="Arial" w:cs="Arial"/>
          <w:i/>
          <w:color w:val="000000"/>
          <w:lang w:val="es-ES_tradnl"/>
        </w:rPr>
        <w:t>).</w:t>
      </w:r>
    </w:p>
    <w:p w14:paraId="188AEADD" w14:textId="77777777" w:rsidR="008C0072" w:rsidRPr="003F3B0A" w:rsidRDefault="008C0072" w:rsidP="008C0072">
      <w:pPr>
        <w:spacing w:before="120" w:after="120" w:line="276" w:lineRule="auto"/>
        <w:rPr>
          <w:rFonts w:ascii="Arial" w:hAnsi="Arial" w:cs="Arial"/>
        </w:rPr>
      </w:pPr>
    </w:p>
    <w:p w14:paraId="2460DE7A" w14:textId="77777777" w:rsidR="008C0072" w:rsidRPr="003F3B0A" w:rsidRDefault="008C0072" w:rsidP="008C0072">
      <w:pPr>
        <w:jc w:val="center"/>
        <w:rPr>
          <w:rFonts w:ascii="Arial" w:hAnsi="Arial" w:cs="Arial"/>
          <w:b/>
          <w:noProof/>
          <w:color w:val="AE1C1F"/>
          <w:lang w:val="en-US"/>
        </w:rPr>
      </w:pPr>
      <w:r w:rsidRPr="003F3B0A">
        <w:rPr>
          <w:rFonts w:ascii="Arial" w:hAnsi="Arial" w:cs="Arial"/>
          <w:b/>
          <w:noProof/>
          <w:color w:val="AE1C1F"/>
          <w:lang w:val="en-US"/>
        </w:rPr>
        <w:t>Referencias bibliográficas</w:t>
      </w:r>
    </w:p>
    <w:p w14:paraId="3343BF05" w14:textId="77777777" w:rsidR="008C0072" w:rsidRPr="003F3B0A" w:rsidRDefault="008C0072" w:rsidP="008C0072">
      <w:pPr>
        <w:spacing w:before="120" w:after="120"/>
        <w:jc w:val="both"/>
        <w:rPr>
          <w:lang w:val="en-US"/>
        </w:rPr>
      </w:pPr>
    </w:p>
    <w:p w14:paraId="4903EE58" w14:textId="77777777" w:rsidR="008C0072" w:rsidRPr="003F3B0A" w:rsidRDefault="008C0072" w:rsidP="008C0072">
      <w:pPr>
        <w:spacing w:before="120" w:after="120"/>
        <w:jc w:val="both"/>
        <w:rPr>
          <w:rFonts w:ascii="Arial" w:hAnsi="Arial" w:cs="Arial"/>
          <w:noProof/>
          <w:sz w:val="18"/>
          <w:lang w:val="en-US"/>
        </w:rPr>
        <w:sectPr w:rsidR="008C0072" w:rsidRPr="003F3B0A" w:rsidSect="00FC2322">
          <w:headerReference w:type="default" r:id="rId61"/>
          <w:footerReference w:type="default" r:id="rId62"/>
          <w:pgSz w:w="11906" w:h="16838"/>
          <w:pgMar w:top="1417" w:right="1701" w:bottom="1417" w:left="1701" w:header="708" w:footer="708" w:gutter="0"/>
          <w:cols w:space="708"/>
          <w:docGrid w:linePitch="360"/>
        </w:sectPr>
      </w:pPr>
    </w:p>
    <w:p w14:paraId="36DB8368" w14:textId="77777777" w:rsidR="008C0072" w:rsidRPr="003F3B0A" w:rsidRDefault="008C0072" w:rsidP="008C0072">
      <w:pPr>
        <w:spacing w:before="120" w:after="120"/>
        <w:jc w:val="both"/>
        <w:rPr>
          <w:rFonts w:ascii="Arial" w:hAnsi="Arial" w:cs="Arial"/>
          <w:noProof/>
          <w:sz w:val="18"/>
          <w:lang w:val="en-US"/>
        </w:rPr>
      </w:pPr>
      <w:r w:rsidRPr="003F3B0A">
        <w:rPr>
          <w:rFonts w:ascii="Arial" w:hAnsi="Arial" w:cs="Arial"/>
          <w:noProof/>
          <w:sz w:val="18"/>
          <w:lang w:val="en-US"/>
        </w:rPr>
        <w:t>1. Lawn SD, Torok ME, Wood R. Optimum time to start antiretroviral therapy during HIV-associated opportunistic infections. Curr Opin Infect Dis 2011; 24:34-42.</w:t>
      </w:r>
    </w:p>
    <w:p w14:paraId="1E4CF3AA" w14:textId="77777777" w:rsidR="008C0072" w:rsidRPr="003F3B0A" w:rsidRDefault="008C0072" w:rsidP="008C0072">
      <w:pPr>
        <w:widowControl w:val="0"/>
        <w:spacing w:before="120" w:after="120"/>
        <w:jc w:val="both"/>
        <w:rPr>
          <w:rFonts w:ascii="Arial" w:hAnsi="Arial" w:cs="Arial"/>
          <w:noProof/>
          <w:sz w:val="18"/>
        </w:rPr>
      </w:pPr>
      <w:r w:rsidRPr="003F3B0A">
        <w:rPr>
          <w:rFonts w:ascii="Arial" w:hAnsi="Arial" w:cs="Arial"/>
          <w:noProof/>
          <w:sz w:val="18"/>
          <w:lang w:val="en-US"/>
        </w:rPr>
        <w:t>2.</w:t>
      </w:r>
      <w:r w:rsidRPr="003F3B0A">
        <w:rPr>
          <w:rFonts w:ascii="Arial" w:hAnsi="Arial" w:cs="Arial"/>
          <w:noProof/>
          <w:sz w:val="18"/>
          <w:lang w:val="en-US"/>
        </w:rPr>
        <w:tab/>
        <w:t xml:space="preserve">Zolopa A, Andersen J, Powderly W, et al. Early antiretroviral therapy reduces AIDS progression/death in individuals with acute opportunistic infections: a multicenter randomized strategy trial. </w:t>
      </w:r>
      <w:r w:rsidRPr="003F3B0A">
        <w:rPr>
          <w:rFonts w:ascii="Arial" w:hAnsi="Arial" w:cs="Arial"/>
          <w:noProof/>
          <w:sz w:val="18"/>
        </w:rPr>
        <w:t>PLoS One 2009; 4:e5575.</w:t>
      </w:r>
    </w:p>
    <w:p w14:paraId="092C9428" w14:textId="77777777" w:rsidR="008C0072" w:rsidRPr="003F3B0A" w:rsidRDefault="008C0072" w:rsidP="008C0072">
      <w:pPr>
        <w:spacing w:before="120" w:after="120"/>
        <w:jc w:val="both"/>
        <w:rPr>
          <w:rFonts w:ascii="Arial" w:hAnsi="Arial" w:cs="Arial"/>
          <w:noProof/>
          <w:sz w:val="18"/>
          <w:lang w:val="en-US"/>
        </w:rPr>
      </w:pPr>
      <w:r w:rsidRPr="003F3B0A">
        <w:rPr>
          <w:rFonts w:ascii="Arial" w:hAnsi="Arial" w:cs="Arial"/>
          <w:noProof/>
          <w:sz w:val="18"/>
        </w:rPr>
        <w:t xml:space="preserve">3. Manzardo C, Esteve A, Ortega N, et al. </w:t>
      </w:r>
      <w:r w:rsidRPr="003F3B0A">
        <w:rPr>
          <w:rFonts w:ascii="Arial" w:hAnsi="Arial" w:cs="Arial"/>
          <w:noProof/>
          <w:sz w:val="18"/>
          <w:lang w:val="en-US"/>
        </w:rPr>
        <w:t>Optimal timing for initiation of highly active antiretroviral therapy in treatment-naive human immunodeficiency virus-1-infected individuals presenting with AIDS-defining diseases: the experience of the PISCIS Cohort. Cli</w:t>
      </w:r>
      <w:r>
        <w:rPr>
          <w:rFonts w:ascii="Arial" w:hAnsi="Arial" w:cs="Arial"/>
          <w:noProof/>
          <w:sz w:val="18"/>
          <w:lang w:val="en-US"/>
        </w:rPr>
        <w:t>n Microbiol Infect 2013;</w:t>
      </w:r>
      <w:r w:rsidRPr="003F3B0A">
        <w:rPr>
          <w:rFonts w:ascii="Arial" w:hAnsi="Arial" w:cs="Arial"/>
          <w:noProof/>
          <w:sz w:val="18"/>
          <w:lang w:val="en-US"/>
        </w:rPr>
        <w:t>19:646-53.</w:t>
      </w:r>
    </w:p>
    <w:p w14:paraId="0E3C7C61" w14:textId="77777777" w:rsidR="008C0072" w:rsidRPr="003F3B0A" w:rsidRDefault="008C0072" w:rsidP="008C0072">
      <w:pPr>
        <w:spacing w:before="120" w:after="120"/>
        <w:jc w:val="both"/>
        <w:rPr>
          <w:rFonts w:ascii="Arial" w:hAnsi="Arial" w:cs="Arial"/>
          <w:noProof/>
          <w:sz w:val="18"/>
          <w:lang w:val="en-US"/>
        </w:rPr>
      </w:pPr>
      <w:r w:rsidRPr="003F3B0A">
        <w:rPr>
          <w:rFonts w:ascii="Arial" w:hAnsi="Arial" w:cs="Arial"/>
          <w:noProof/>
          <w:sz w:val="18"/>
          <w:lang w:val="en-US"/>
        </w:rPr>
        <w:t>4. Makadzange AT, Ndhlovu CE, Takarinda K, et al. Early versus delayed initiation of antiretroviral therapy for concurrent HIV infection and cryptococcal meningitis in sub-sahara</w:t>
      </w:r>
      <w:r>
        <w:rPr>
          <w:rFonts w:ascii="Arial" w:hAnsi="Arial" w:cs="Arial"/>
          <w:noProof/>
          <w:sz w:val="18"/>
          <w:lang w:val="en-US"/>
        </w:rPr>
        <w:t>n Africa. Clin Infect Dis 2010;</w:t>
      </w:r>
      <w:r w:rsidRPr="003F3B0A">
        <w:rPr>
          <w:rFonts w:ascii="Arial" w:hAnsi="Arial" w:cs="Arial"/>
          <w:noProof/>
          <w:sz w:val="18"/>
          <w:lang w:val="en-US"/>
        </w:rPr>
        <w:t>50:1532-8.</w:t>
      </w:r>
    </w:p>
    <w:p w14:paraId="417C5168" w14:textId="77777777" w:rsidR="008C0072" w:rsidRPr="003F3B0A" w:rsidRDefault="008C0072" w:rsidP="008C0072">
      <w:pPr>
        <w:spacing w:before="120" w:after="120"/>
        <w:jc w:val="both"/>
        <w:rPr>
          <w:rFonts w:ascii="Arial" w:hAnsi="Arial" w:cs="Arial"/>
          <w:noProof/>
          <w:sz w:val="18"/>
          <w:lang w:val="en-US"/>
        </w:rPr>
      </w:pPr>
      <w:r w:rsidRPr="003F3B0A">
        <w:rPr>
          <w:rFonts w:ascii="Arial" w:hAnsi="Arial" w:cs="Arial"/>
          <w:noProof/>
          <w:sz w:val="18"/>
          <w:lang w:val="en-US"/>
        </w:rPr>
        <w:t>5. Bisson GP, Molefi M, Bellamy S, et al. Early versus delayed antiretroviral therapy and cerebrospinal fluid fungal clearance in adults with HIV and cryptococcal me</w:t>
      </w:r>
      <w:r>
        <w:rPr>
          <w:rFonts w:ascii="Arial" w:hAnsi="Arial" w:cs="Arial"/>
          <w:noProof/>
          <w:sz w:val="18"/>
          <w:lang w:val="en-US"/>
        </w:rPr>
        <w:t>ningitis. Clin Infect Dis 2013;</w:t>
      </w:r>
      <w:r w:rsidRPr="003F3B0A">
        <w:rPr>
          <w:rFonts w:ascii="Arial" w:hAnsi="Arial" w:cs="Arial"/>
          <w:noProof/>
          <w:sz w:val="18"/>
          <w:lang w:val="en-US"/>
        </w:rPr>
        <w:t>56:1165-73.</w:t>
      </w:r>
    </w:p>
    <w:p w14:paraId="594BD726" w14:textId="77777777" w:rsidR="008C0072" w:rsidRDefault="008C0072" w:rsidP="008C0072">
      <w:pPr>
        <w:spacing w:before="120" w:after="120"/>
        <w:jc w:val="both"/>
        <w:rPr>
          <w:rFonts w:ascii="Arial" w:hAnsi="Arial" w:cs="Arial"/>
          <w:noProof/>
          <w:sz w:val="18"/>
          <w:lang w:val="en-US"/>
        </w:rPr>
      </w:pPr>
      <w:r w:rsidRPr="003F3B0A">
        <w:rPr>
          <w:rFonts w:ascii="Arial" w:hAnsi="Arial" w:cs="Arial"/>
          <w:noProof/>
          <w:sz w:val="18"/>
          <w:lang w:val="en-US"/>
        </w:rPr>
        <w:t>6. Boulware DR, Meya DB, Muzoora C, et al. Timing of antiretroviral therapy after diagnosis of cryptococcal meningitis. N Engl J Med 2014; 370:2487-98.</w:t>
      </w:r>
    </w:p>
    <w:p w14:paraId="4D89BAE0" w14:textId="77777777" w:rsidR="008C0072" w:rsidRPr="004F3F4F" w:rsidRDefault="008C0072" w:rsidP="008C0072">
      <w:pPr>
        <w:jc w:val="both"/>
        <w:rPr>
          <w:rFonts w:ascii="Arial" w:hAnsi="Arial" w:cs="Arial"/>
          <w:b/>
          <w:bCs/>
          <w:color w:val="000000"/>
          <w:kern w:val="36"/>
          <w:sz w:val="34"/>
          <w:szCs w:val="34"/>
          <w:lang w:val="en-US"/>
        </w:rPr>
      </w:pPr>
      <w:r w:rsidRPr="0079418C">
        <w:rPr>
          <w:rFonts w:ascii="Arial" w:hAnsi="Arial" w:cs="Arial"/>
          <w:noProof/>
          <w:sz w:val="18"/>
          <w:szCs w:val="18"/>
          <w:highlight w:val="yellow"/>
          <w:lang w:val="en-US"/>
        </w:rPr>
        <w:t>7. Eshun-WilsonI, Okwen MP, Richardon M,Bicanic T.</w:t>
      </w:r>
      <w:r w:rsidRPr="0079418C">
        <w:rPr>
          <w:rFonts w:ascii="Arial" w:hAnsi="Arial" w:cs="Arial"/>
          <w:color w:val="000000"/>
          <w:sz w:val="18"/>
          <w:szCs w:val="18"/>
          <w:highlight w:val="yellow"/>
          <w:lang w:val="en-US"/>
        </w:rPr>
        <w:t xml:space="preserve"> Early versus delayed antiretroviral treatment in HIV-positive people with cryptococcal meningitis. </w:t>
      </w:r>
      <w:r>
        <w:rPr>
          <w:rFonts w:ascii="Arial" w:hAnsi="Arial" w:cs="Arial"/>
          <w:color w:val="000000"/>
          <w:sz w:val="18"/>
          <w:szCs w:val="18"/>
          <w:highlight w:val="yellow"/>
          <w:lang w:val="en-US"/>
        </w:rPr>
        <w:t>Cochrane Database Sys Rev 2018</w:t>
      </w:r>
      <w:r w:rsidRPr="0079418C">
        <w:rPr>
          <w:rFonts w:ascii="Arial" w:hAnsi="Arial" w:cs="Arial"/>
          <w:color w:val="000000"/>
          <w:sz w:val="18"/>
          <w:szCs w:val="18"/>
          <w:highlight w:val="yellow"/>
          <w:lang w:val="en-US"/>
        </w:rPr>
        <w:t>;7:</w:t>
      </w:r>
      <w:r w:rsidRPr="00120FA6">
        <w:rPr>
          <w:lang w:val="en-US"/>
        </w:rPr>
        <w:t xml:space="preserve"> </w:t>
      </w:r>
      <w:r w:rsidRPr="004F3F4F">
        <w:rPr>
          <w:rFonts w:ascii="Arial" w:hAnsi="Arial" w:cs="Arial"/>
          <w:color w:val="000000"/>
          <w:sz w:val="18"/>
          <w:szCs w:val="18"/>
          <w:highlight w:val="yellow"/>
          <w:lang w:val="en-US"/>
        </w:rPr>
        <w:t>CD009012</w:t>
      </w:r>
      <w:r>
        <w:rPr>
          <w:rFonts w:ascii="Arial" w:hAnsi="Arial" w:cs="Arial"/>
          <w:color w:val="000000"/>
          <w:sz w:val="18"/>
          <w:szCs w:val="18"/>
          <w:lang w:val="en-US"/>
        </w:rPr>
        <w:t>.</w:t>
      </w:r>
    </w:p>
    <w:p w14:paraId="37D2F6B2" w14:textId="77777777" w:rsidR="008C0072" w:rsidRPr="003F3B0A" w:rsidRDefault="008C0072" w:rsidP="008C0072">
      <w:pPr>
        <w:spacing w:before="120" w:after="120"/>
        <w:jc w:val="both"/>
        <w:rPr>
          <w:rFonts w:ascii="Arial" w:hAnsi="Arial" w:cs="Arial"/>
          <w:noProof/>
          <w:sz w:val="18"/>
        </w:rPr>
        <w:sectPr w:rsidR="008C0072" w:rsidRPr="003F3B0A">
          <w:type w:val="continuous"/>
          <w:pgSz w:w="11906" w:h="16838"/>
          <w:pgMar w:top="1417" w:right="1701" w:bottom="1417" w:left="1701" w:header="708" w:footer="708" w:gutter="0"/>
          <w:cols w:num="2" w:sep="1" w:space="340"/>
          <w:docGrid w:linePitch="360"/>
        </w:sectPr>
      </w:pPr>
      <w:r w:rsidRPr="00120FA6">
        <w:rPr>
          <w:rFonts w:ascii="Arial" w:hAnsi="Arial" w:cs="Arial"/>
          <w:noProof/>
          <w:sz w:val="18"/>
          <w:lang w:val="en-US"/>
        </w:rPr>
        <w:t xml:space="preserve">8. Iribarren JA, Rubio R, Aguirrebengoa K, et al. </w:t>
      </w:r>
      <w:r w:rsidRPr="003F3B0A">
        <w:rPr>
          <w:rFonts w:ascii="Arial" w:hAnsi="Arial" w:cs="Arial"/>
          <w:noProof/>
          <w:sz w:val="18"/>
          <w:lang w:val="en-US"/>
        </w:rPr>
        <w:t>Prevention and treatment of opportunistic infections and other coinfe</w:t>
      </w:r>
      <w:r>
        <w:rPr>
          <w:rFonts w:ascii="Arial" w:hAnsi="Arial" w:cs="Arial"/>
          <w:noProof/>
          <w:sz w:val="18"/>
          <w:lang w:val="en-US"/>
        </w:rPr>
        <w:t>ctions in HIV-infected patients: May 2015.</w:t>
      </w:r>
      <w:r w:rsidRPr="003F3B0A">
        <w:rPr>
          <w:rFonts w:ascii="Arial" w:hAnsi="Arial" w:cs="Arial"/>
          <w:noProof/>
          <w:sz w:val="18"/>
          <w:lang w:val="en-US"/>
        </w:rPr>
        <w:t xml:space="preserve"> </w:t>
      </w:r>
      <w:r w:rsidRPr="00BC37A7">
        <w:rPr>
          <w:rFonts w:ascii="Arial" w:hAnsi="Arial" w:cs="Arial"/>
          <w:noProof/>
          <w:sz w:val="18"/>
        </w:rPr>
        <w:t>Enferm Infecc Microbiol Clin 2016;34:516.e1-516.e18.</w:t>
      </w:r>
    </w:p>
    <w:p w14:paraId="334EE3E8" w14:textId="77777777" w:rsidR="008C0072" w:rsidRPr="003F3B0A" w:rsidRDefault="008C0072" w:rsidP="008C0072">
      <w:pPr>
        <w:sectPr w:rsidR="008C0072" w:rsidRPr="003F3B0A">
          <w:type w:val="continuous"/>
          <w:pgSz w:w="11906" w:h="16838"/>
          <w:pgMar w:top="1417" w:right="1701" w:bottom="1417" w:left="1701" w:header="708" w:footer="708" w:gutter="0"/>
          <w:cols w:num="2" w:sep="1" w:space="397"/>
          <w:docGrid w:linePitch="360"/>
        </w:sectPr>
      </w:pPr>
    </w:p>
    <w:p w14:paraId="36AF5847" w14:textId="7761ABA5" w:rsidR="002C1648" w:rsidRPr="00000FF8" w:rsidRDefault="002C1648" w:rsidP="002C1648">
      <w:pPr>
        <w:spacing w:before="120" w:after="120"/>
        <w:jc w:val="both"/>
        <w:rPr>
          <w:rFonts w:ascii="Arial" w:hAnsi="Arial" w:cs="Arial"/>
          <w:noProof/>
          <w:sz w:val="18"/>
        </w:rPr>
        <w:sectPr w:rsidR="002C1648" w:rsidRPr="00000FF8">
          <w:headerReference w:type="default" r:id="rId63"/>
          <w:footerReference w:type="default" r:id="rId64"/>
          <w:type w:val="continuous"/>
          <w:pgSz w:w="11906" w:h="16838"/>
          <w:pgMar w:top="1417" w:right="1701" w:bottom="1417" w:left="1701" w:header="708" w:footer="708" w:gutter="0"/>
          <w:cols w:num="2" w:sep="1" w:space="340"/>
          <w:docGrid w:linePitch="360"/>
        </w:sectPr>
      </w:pPr>
    </w:p>
    <w:p w14:paraId="33D9693F" w14:textId="77777777" w:rsidR="007F2D51" w:rsidRDefault="007F2D51">
      <w:pPr>
        <w:rPr>
          <w:rFonts w:ascii="Arial" w:hAnsi="Arial" w:cs="Arial"/>
          <w:bCs/>
          <w:i/>
          <w:color w:val="AE1C1F"/>
        </w:rPr>
      </w:pPr>
      <w:r>
        <w:rPr>
          <w:rFonts w:ascii="Arial" w:hAnsi="Arial" w:cs="Arial"/>
          <w:bCs/>
          <w:i/>
          <w:color w:val="AE1C1F"/>
        </w:rPr>
        <w:br w:type="page"/>
      </w:r>
    </w:p>
    <w:p w14:paraId="4DD78EEF" w14:textId="77777777" w:rsidR="00BC37A7" w:rsidRPr="00000FF8" w:rsidRDefault="00BC37A7" w:rsidP="00BC37A7">
      <w:pPr>
        <w:spacing w:before="120" w:after="120" w:line="276" w:lineRule="auto"/>
        <w:jc w:val="both"/>
        <w:rPr>
          <w:rFonts w:ascii="Arial" w:hAnsi="Arial" w:cs="Arial"/>
          <w:bCs/>
          <w:i/>
          <w:color w:val="AE1C1F"/>
          <w:lang w:val="es-ES_tradnl"/>
        </w:rPr>
      </w:pPr>
      <w:r>
        <w:rPr>
          <w:rFonts w:ascii="Arial" w:hAnsi="Arial" w:cs="Arial"/>
          <w:bCs/>
          <w:i/>
          <w:color w:val="AE1C1F"/>
        </w:rPr>
        <w:lastRenderedPageBreak/>
        <w:t>7</w:t>
      </w:r>
      <w:r w:rsidRPr="00000FF8">
        <w:rPr>
          <w:rFonts w:ascii="Arial" w:hAnsi="Arial" w:cs="Arial"/>
          <w:bCs/>
          <w:i/>
          <w:color w:val="AE1C1F"/>
        </w:rPr>
        <w:t xml:space="preserve">.4.2. </w:t>
      </w:r>
      <w:r w:rsidRPr="00000FF8">
        <w:rPr>
          <w:rFonts w:ascii="Arial" w:hAnsi="Arial" w:cs="Arial"/>
          <w:bCs/>
          <w:i/>
          <w:color w:val="AE1C1F"/>
          <w:lang w:val="es-ES_tradnl"/>
        </w:rPr>
        <w:t xml:space="preserve">Tratamiento antirretroviral y tuberculosis (TB) </w:t>
      </w:r>
    </w:p>
    <w:p w14:paraId="619335DF" w14:textId="77777777" w:rsidR="00BC37A7" w:rsidRDefault="00BC37A7" w:rsidP="00BC37A7">
      <w:pPr>
        <w:spacing w:before="120" w:after="120" w:line="276" w:lineRule="auto"/>
        <w:jc w:val="both"/>
        <w:rPr>
          <w:rFonts w:ascii="Arial" w:hAnsi="Arial" w:cs="Arial"/>
          <w:lang w:val="es-ES_tradnl"/>
        </w:rPr>
        <w:sectPr w:rsidR="00BC37A7" w:rsidSect="00FC2322">
          <w:type w:val="continuous"/>
          <w:pgSz w:w="11906" w:h="16838"/>
          <w:pgMar w:top="1417" w:right="1701" w:bottom="1417" w:left="1701" w:header="708" w:footer="708" w:gutter="0"/>
          <w:cols w:space="709"/>
          <w:docGrid w:linePitch="360"/>
        </w:sectPr>
      </w:pPr>
    </w:p>
    <w:p w14:paraId="67869E0D" w14:textId="77777777" w:rsidR="00BC37A7" w:rsidRDefault="00BC37A7" w:rsidP="00BC37A7">
      <w:pPr>
        <w:spacing w:before="120" w:after="120" w:line="276" w:lineRule="auto"/>
        <w:jc w:val="both"/>
        <w:rPr>
          <w:rFonts w:ascii="Arial" w:hAnsi="Arial" w:cs="Arial"/>
          <w:lang w:val="es-ES_tradnl"/>
        </w:rPr>
      </w:pPr>
      <w:r w:rsidRPr="00000FF8">
        <w:rPr>
          <w:rFonts w:ascii="Arial" w:hAnsi="Arial" w:cs="Arial"/>
          <w:lang w:val="es-ES_tradnl"/>
        </w:rPr>
        <w:t>El tratamiento de la TB en adultos con infección por el VIH-1 ha sido objeto de un documen</w:t>
      </w:r>
      <w:r>
        <w:rPr>
          <w:rFonts w:ascii="Arial" w:hAnsi="Arial" w:cs="Arial"/>
          <w:lang w:val="es-ES_tradnl"/>
        </w:rPr>
        <w:t xml:space="preserve">to de consenso </w:t>
      </w:r>
      <w:r w:rsidRPr="00000FF8">
        <w:rPr>
          <w:rFonts w:ascii="Arial" w:hAnsi="Arial" w:cs="Arial"/>
          <w:lang w:val="es-ES_tradnl"/>
        </w:rPr>
        <w:t>específico de GESIDA/Secretaría del PNS</w:t>
      </w:r>
      <w:r w:rsidRPr="00000FF8">
        <w:rPr>
          <w:rFonts w:ascii="Arial" w:hAnsi="Arial" w:cs="Arial"/>
          <w:noProof/>
          <w:vertAlign w:val="superscript"/>
          <w:lang w:val="es-ES_tradnl"/>
        </w:rPr>
        <w:t>1</w:t>
      </w:r>
      <w:r w:rsidRPr="00000FF8">
        <w:rPr>
          <w:rFonts w:ascii="Arial" w:hAnsi="Arial" w:cs="Arial"/>
          <w:lang w:val="es-ES_tradnl"/>
        </w:rPr>
        <w:t>. Se recomienda su lectura</w:t>
      </w:r>
      <w:r>
        <w:rPr>
          <w:rFonts w:ascii="Arial" w:hAnsi="Arial" w:cs="Arial"/>
          <w:lang w:val="es-ES_tradnl"/>
        </w:rPr>
        <w:t>.</w:t>
      </w:r>
    </w:p>
    <w:p w14:paraId="3458A164" w14:textId="77777777" w:rsidR="005652A5" w:rsidRDefault="005652A5" w:rsidP="00BC37A7">
      <w:pPr>
        <w:spacing w:before="120" w:after="120" w:line="276" w:lineRule="auto"/>
        <w:jc w:val="both"/>
        <w:rPr>
          <w:rFonts w:ascii="Arial" w:hAnsi="Arial" w:cs="Arial"/>
          <w:lang w:val="es-ES_tradnl"/>
        </w:rPr>
        <w:sectPr w:rsidR="005652A5" w:rsidSect="00FC2322">
          <w:type w:val="continuous"/>
          <w:pgSz w:w="11906" w:h="16838"/>
          <w:pgMar w:top="1417" w:right="1701" w:bottom="1417" w:left="1701" w:header="708" w:footer="708" w:gutter="0"/>
          <w:cols w:space="709"/>
          <w:docGrid w:linePitch="360"/>
        </w:sectPr>
      </w:pPr>
    </w:p>
    <w:p w14:paraId="326A4419" w14:textId="77777777" w:rsidR="00BC37A7" w:rsidRDefault="00BC37A7" w:rsidP="00BC37A7">
      <w:pPr>
        <w:spacing w:before="120" w:after="120" w:line="276" w:lineRule="auto"/>
        <w:jc w:val="both"/>
        <w:rPr>
          <w:rFonts w:ascii="Arial" w:hAnsi="Arial" w:cs="Arial"/>
          <w:lang w:val="es-ES_tradnl"/>
        </w:rPr>
        <w:sectPr w:rsidR="00BC37A7" w:rsidSect="00FC2322">
          <w:type w:val="continuous"/>
          <w:pgSz w:w="11906" w:h="16838"/>
          <w:pgMar w:top="1417" w:right="1701" w:bottom="1417" w:left="1701" w:header="708" w:footer="708" w:gutter="0"/>
          <w:cols w:space="709"/>
          <w:docGrid w:linePitch="360"/>
        </w:sectPr>
      </w:pPr>
    </w:p>
    <w:p w14:paraId="31C331B9" w14:textId="47345AF6" w:rsidR="00BC37A7" w:rsidRPr="00000FF8" w:rsidRDefault="00BC37A7" w:rsidP="00BC37A7">
      <w:pPr>
        <w:spacing w:before="120" w:after="120" w:line="276" w:lineRule="auto"/>
        <w:jc w:val="both"/>
        <w:rPr>
          <w:rFonts w:ascii="Arial" w:hAnsi="Arial" w:cs="Arial"/>
          <w:lang w:val="es-ES_tradnl"/>
        </w:rPr>
      </w:pPr>
      <w:r w:rsidRPr="00000FF8">
        <w:rPr>
          <w:rFonts w:ascii="Arial" w:hAnsi="Arial" w:cs="Arial"/>
          <w:i/>
          <w:iCs/>
          <w:lang w:val="es-ES_tradnl"/>
        </w:rPr>
        <w:t xml:space="preserve">Momento óptimo de inicio del TAR en pacientes infectados por </w:t>
      </w:r>
      <w:r>
        <w:rPr>
          <w:rFonts w:ascii="Arial" w:hAnsi="Arial" w:cs="Arial"/>
          <w:i/>
          <w:iCs/>
          <w:lang w:val="es-ES_tradnl"/>
        </w:rPr>
        <w:t xml:space="preserve">el </w:t>
      </w:r>
      <w:r w:rsidRPr="00000FF8">
        <w:rPr>
          <w:rFonts w:ascii="Arial" w:hAnsi="Arial" w:cs="Arial"/>
          <w:i/>
          <w:iCs/>
          <w:lang w:val="es-ES_tradnl"/>
        </w:rPr>
        <w:t xml:space="preserve">VIH-1 con </w:t>
      </w:r>
      <w:r>
        <w:rPr>
          <w:rFonts w:ascii="Arial" w:hAnsi="Arial" w:cs="Arial"/>
          <w:i/>
          <w:iCs/>
          <w:lang w:val="es-ES_tradnl"/>
        </w:rPr>
        <w:t>TB</w:t>
      </w:r>
      <w:r w:rsidRPr="00000FF8">
        <w:rPr>
          <w:rFonts w:ascii="Arial" w:hAnsi="Arial" w:cs="Arial"/>
          <w:noProof/>
          <w:highlight w:val="yellow"/>
          <w:vertAlign w:val="superscript"/>
          <w:lang w:val="es-ES_tradnl"/>
        </w:rPr>
        <w:t>2-</w:t>
      </w:r>
      <w:r w:rsidRPr="00000FF8">
        <w:rPr>
          <w:rFonts w:ascii="Arial" w:hAnsi="Arial" w:cs="Arial"/>
          <w:noProof/>
          <w:vertAlign w:val="superscript"/>
          <w:lang w:val="es-ES_tradnl"/>
        </w:rPr>
        <w:t>4</w:t>
      </w:r>
      <w:r w:rsidRPr="00000FF8">
        <w:rPr>
          <w:rFonts w:ascii="Arial" w:hAnsi="Arial" w:cs="Arial"/>
          <w:lang w:val="es-ES_tradnl"/>
        </w:rPr>
        <w:t>.</w:t>
      </w:r>
    </w:p>
    <w:p w14:paraId="28575A5A" w14:textId="77777777" w:rsidR="00BC37A7" w:rsidRPr="00000FF8" w:rsidRDefault="00BC37A7" w:rsidP="00BC37A7">
      <w:pPr>
        <w:spacing w:before="120" w:after="120" w:line="276" w:lineRule="auto"/>
        <w:jc w:val="both"/>
        <w:rPr>
          <w:rFonts w:ascii="Arial" w:hAnsi="Arial" w:cs="Arial"/>
          <w:noProof/>
          <w:vertAlign w:val="superscript"/>
          <w:lang w:val="es-ES_tradnl"/>
        </w:rPr>
      </w:pPr>
      <w:r w:rsidRPr="00000FF8">
        <w:rPr>
          <w:rFonts w:ascii="Arial" w:hAnsi="Arial" w:cs="Arial"/>
          <w:b/>
          <w:bCs/>
          <w:color w:val="AE1C1F"/>
          <w:lang w:val="es-ES_tradnl"/>
        </w:rPr>
        <w:t>Recomendaciones</w:t>
      </w:r>
    </w:p>
    <w:p w14:paraId="3A3207DC" w14:textId="77777777" w:rsidR="00BC37A7" w:rsidRPr="00000FF8" w:rsidRDefault="00BC37A7" w:rsidP="00BC37A7">
      <w:pPr>
        <w:numPr>
          <w:ilvl w:val="0"/>
          <w:numId w:val="21"/>
        </w:numPr>
        <w:spacing w:before="120" w:after="120" w:line="276" w:lineRule="auto"/>
        <w:jc w:val="both"/>
        <w:rPr>
          <w:rFonts w:ascii="Arial" w:hAnsi="Arial" w:cs="Arial"/>
          <w:b/>
          <w:bCs/>
          <w:i/>
          <w:iCs/>
          <w:lang w:val="es-ES_tradnl"/>
        </w:rPr>
      </w:pPr>
      <w:r w:rsidRPr="00000FF8">
        <w:rPr>
          <w:rFonts w:ascii="Arial" w:hAnsi="Arial" w:cs="Arial"/>
          <w:lang w:val="es-ES_tradnl"/>
        </w:rPr>
        <w:t xml:space="preserve">Se recomienda iniciar TAR siempre durante el tratamiento de la TB, independientemente </w:t>
      </w:r>
      <w:r w:rsidRPr="00AC4C5E">
        <w:rPr>
          <w:rFonts w:ascii="Arial" w:hAnsi="Arial" w:cs="Arial"/>
          <w:highlight w:val="yellow"/>
          <w:lang w:val="es-ES_tradnl"/>
        </w:rPr>
        <w:t>de la cifra de linfocitos</w:t>
      </w:r>
      <w:r>
        <w:rPr>
          <w:rFonts w:ascii="Arial" w:hAnsi="Arial" w:cs="Arial"/>
          <w:lang w:val="es-ES_tradnl"/>
        </w:rPr>
        <w:t xml:space="preserve"> </w:t>
      </w:r>
      <w:r w:rsidRPr="00000FF8">
        <w:rPr>
          <w:rFonts w:ascii="Arial" w:hAnsi="Arial" w:cs="Arial"/>
          <w:lang w:val="es-ES_tradnl"/>
        </w:rPr>
        <w:t>CD4+</w:t>
      </w:r>
      <w:r>
        <w:rPr>
          <w:rFonts w:ascii="Arial" w:hAnsi="Arial" w:cs="Arial"/>
          <w:lang w:val="es-ES_tradnl"/>
        </w:rPr>
        <w:t xml:space="preserve"> </w:t>
      </w:r>
      <w:r w:rsidRPr="00AC4C5E">
        <w:rPr>
          <w:rFonts w:ascii="Arial" w:hAnsi="Arial" w:cs="Arial"/>
          <w:highlight w:val="yellow"/>
          <w:lang w:val="es-ES_tradnl"/>
        </w:rPr>
        <w:t>en sangre,</w:t>
      </w:r>
      <w:r w:rsidRPr="00000FF8">
        <w:rPr>
          <w:rFonts w:ascii="Arial" w:hAnsi="Arial" w:cs="Arial"/>
          <w:lang w:val="es-ES_tradnl"/>
        </w:rPr>
        <w:t xml:space="preserve"> ya que se disminuye el riesgo de muerte </w:t>
      </w:r>
      <w:r w:rsidRPr="00000FF8">
        <w:rPr>
          <w:rFonts w:ascii="Arial" w:hAnsi="Arial" w:cs="Arial"/>
          <w:b/>
          <w:bCs/>
          <w:i/>
          <w:iCs/>
          <w:lang w:val="es-ES_tradnl"/>
        </w:rPr>
        <w:t>(A-I).</w:t>
      </w:r>
    </w:p>
    <w:p w14:paraId="2C64629B" w14:textId="3E925CD8" w:rsidR="00BC37A7" w:rsidRPr="00000FF8" w:rsidRDefault="00BC37A7" w:rsidP="00BC37A7">
      <w:pPr>
        <w:numPr>
          <w:ilvl w:val="0"/>
          <w:numId w:val="21"/>
        </w:numPr>
        <w:spacing w:before="120" w:after="120" w:line="276" w:lineRule="auto"/>
        <w:jc w:val="both"/>
        <w:rPr>
          <w:rFonts w:ascii="Arial" w:hAnsi="Arial" w:cs="Arial"/>
          <w:lang w:val="es-ES_tradnl"/>
        </w:rPr>
      </w:pPr>
      <w:r w:rsidRPr="00000FF8">
        <w:rPr>
          <w:rFonts w:ascii="Arial" w:hAnsi="Arial" w:cs="Arial"/>
          <w:lang w:val="es-ES_tradnl"/>
        </w:rPr>
        <w:t xml:space="preserve">El momento óptimo de iniciar el TAR depende </w:t>
      </w:r>
      <w:r w:rsidR="005652A5">
        <w:rPr>
          <w:rFonts w:ascii="Arial" w:hAnsi="Arial" w:cs="Arial"/>
          <w:lang w:val="es-ES_tradnl"/>
        </w:rPr>
        <w:t xml:space="preserve">de </w:t>
      </w:r>
      <w:r w:rsidRPr="00AC4C5E">
        <w:rPr>
          <w:rFonts w:ascii="Arial" w:hAnsi="Arial" w:cs="Arial"/>
          <w:highlight w:val="yellow"/>
          <w:lang w:val="es-ES_tradnl"/>
        </w:rPr>
        <w:t>la cifra de linfocitos</w:t>
      </w:r>
      <w:r>
        <w:rPr>
          <w:rFonts w:ascii="Arial" w:hAnsi="Arial" w:cs="Arial"/>
          <w:lang w:val="es-ES_tradnl"/>
        </w:rPr>
        <w:t xml:space="preserve"> </w:t>
      </w:r>
      <w:r w:rsidRPr="00000FF8">
        <w:rPr>
          <w:rFonts w:ascii="Arial" w:hAnsi="Arial" w:cs="Arial"/>
          <w:lang w:val="es-ES_tradnl"/>
        </w:rPr>
        <w:t>CD4+</w:t>
      </w:r>
      <w:r>
        <w:rPr>
          <w:rFonts w:ascii="Arial" w:hAnsi="Arial" w:cs="Arial"/>
          <w:lang w:val="es-ES_tradnl"/>
        </w:rPr>
        <w:t xml:space="preserve"> </w:t>
      </w:r>
      <w:r w:rsidRPr="00AC4C5E">
        <w:rPr>
          <w:rFonts w:ascii="Arial" w:hAnsi="Arial" w:cs="Arial"/>
          <w:highlight w:val="yellow"/>
          <w:lang w:val="es-ES_tradnl"/>
        </w:rPr>
        <w:t>en sangre</w:t>
      </w:r>
      <w:r w:rsidRPr="00000FF8">
        <w:rPr>
          <w:rFonts w:ascii="Arial" w:hAnsi="Arial" w:cs="Arial"/>
          <w:lang w:val="es-ES_tradnl"/>
        </w:rPr>
        <w:t>. Si es &lt;50 células/</w:t>
      </w:r>
      <w:r w:rsidRPr="00000FF8">
        <w:rPr>
          <w:rFonts w:ascii="Arial" w:hAnsi="Arial" w:cs="Arial"/>
          <w:lang w:val="es-ES_tradnl"/>
        </w:rPr>
        <w:sym w:font="Symbol" w:char="F06D"/>
      </w:r>
      <w:r w:rsidRPr="00000FF8">
        <w:rPr>
          <w:rFonts w:ascii="Arial" w:hAnsi="Arial" w:cs="Arial"/>
          <w:lang w:val="es-ES_tradnl"/>
        </w:rPr>
        <w:t xml:space="preserve">L, debe iniciarse lo antes posible, tras comprobar la tolerancia al tratamiento antituberculoso y no más tarde de las dos primeras semanas </w:t>
      </w:r>
      <w:r w:rsidRPr="00000FF8">
        <w:rPr>
          <w:rFonts w:ascii="Arial" w:hAnsi="Arial" w:cs="Arial"/>
          <w:b/>
          <w:bCs/>
          <w:i/>
          <w:iCs/>
          <w:lang w:val="es-ES_tradnl"/>
        </w:rPr>
        <w:t>(A-I)</w:t>
      </w:r>
      <w:r w:rsidRPr="00000FF8">
        <w:rPr>
          <w:rFonts w:ascii="Arial" w:hAnsi="Arial" w:cs="Arial"/>
          <w:lang w:val="es-ES_tradnl"/>
        </w:rPr>
        <w:t>. Si es &gt;50 células/</w:t>
      </w:r>
      <w:r w:rsidRPr="00000FF8">
        <w:rPr>
          <w:rFonts w:ascii="Arial" w:hAnsi="Arial" w:cs="Arial"/>
          <w:lang w:val="es-ES_tradnl"/>
        </w:rPr>
        <w:sym w:font="Symbol" w:char="F06D"/>
      </w:r>
      <w:r w:rsidRPr="00000FF8">
        <w:rPr>
          <w:rFonts w:ascii="Arial" w:hAnsi="Arial" w:cs="Arial"/>
          <w:lang w:val="es-ES_tradnl"/>
        </w:rPr>
        <w:t xml:space="preserve">L, puede retrasarse el inicio del TAR hasta finalizar la fase intensiva del tratamiento antituberculoso (8 semanas) </w:t>
      </w:r>
      <w:r w:rsidRPr="00000FF8">
        <w:rPr>
          <w:rFonts w:ascii="Arial" w:hAnsi="Arial" w:cs="Arial"/>
          <w:b/>
          <w:bCs/>
          <w:i/>
          <w:iCs/>
          <w:lang w:val="es-ES_tradnl"/>
        </w:rPr>
        <w:t>(A-I).</w:t>
      </w:r>
    </w:p>
    <w:p w14:paraId="2227AC6D" w14:textId="10009D45" w:rsidR="00BC37A7" w:rsidRPr="00000FF8" w:rsidRDefault="00BC37A7" w:rsidP="00BC37A7">
      <w:pPr>
        <w:numPr>
          <w:ilvl w:val="0"/>
          <w:numId w:val="21"/>
        </w:numPr>
        <w:spacing w:before="120" w:after="120" w:line="276" w:lineRule="auto"/>
        <w:jc w:val="both"/>
        <w:rPr>
          <w:rFonts w:ascii="Arial" w:hAnsi="Arial" w:cs="Arial"/>
          <w:highlight w:val="yellow"/>
          <w:lang w:val="es-ES_tradnl"/>
        </w:rPr>
      </w:pPr>
      <w:r w:rsidRPr="00000FF8">
        <w:rPr>
          <w:rFonts w:ascii="Arial" w:hAnsi="Arial" w:cs="Arial"/>
          <w:highlight w:val="yellow"/>
          <w:shd w:val="clear" w:color="auto" w:fill="FFFFFF"/>
        </w:rPr>
        <w:t xml:space="preserve">En el caso de meningitis tuberculosa, se recomienda demorar el inicio de TAR hasta las 8 semanas, independiente de la cifra de </w:t>
      </w:r>
      <w:r>
        <w:rPr>
          <w:rFonts w:ascii="Arial" w:hAnsi="Arial" w:cs="Arial"/>
          <w:highlight w:val="yellow"/>
          <w:shd w:val="clear" w:color="auto" w:fill="FFFFFF"/>
        </w:rPr>
        <w:t xml:space="preserve">linfocitos </w:t>
      </w:r>
      <w:r w:rsidRPr="00000FF8">
        <w:rPr>
          <w:rFonts w:ascii="Arial" w:hAnsi="Arial" w:cs="Arial"/>
          <w:highlight w:val="yellow"/>
          <w:shd w:val="clear" w:color="auto" w:fill="FFFFFF"/>
        </w:rPr>
        <w:t>CD4+</w:t>
      </w:r>
      <w:r w:rsidR="005652A5">
        <w:rPr>
          <w:rFonts w:ascii="Arial" w:hAnsi="Arial" w:cs="Arial"/>
          <w:highlight w:val="yellow"/>
          <w:shd w:val="clear" w:color="auto" w:fill="FFFFFF"/>
        </w:rPr>
        <w:t xml:space="preserve"> </w:t>
      </w:r>
      <w:r w:rsidRPr="00000FF8">
        <w:rPr>
          <w:rFonts w:ascii="Arial" w:hAnsi="Arial" w:cs="Arial"/>
          <w:b/>
          <w:bCs/>
          <w:i/>
          <w:iCs/>
          <w:highlight w:val="yellow"/>
          <w:shd w:val="clear" w:color="auto" w:fill="FFFFFF"/>
        </w:rPr>
        <w:t xml:space="preserve">(A-I).                          </w:t>
      </w:r>
    </w:p>
    <w:p w14:paraId="670E9C73" w14:textId="77777777" w:rsidR="00BC37A7" w:rsidRPr="00000FF8" w:rsidRDefault="00BC37A7" w:rsidP="00BC37A7">
      <w:pPr>
        <w:spacing w:before="120" w:after="120" w:line="276" w:lineRule="auto"/>
        <w:jc w:val="both"/>
        <w:rPr>
          <w:rFonts w:ascii="Arial" w:hAnsi="Arial" w:cs="Arial"/>
          <w:lang w:val="es-ES_tradnl"/>
        </w:rPr>
      </w:pPr>
      <w:r w:rsidRPr="00000FF8">
        <w:rPr>
          <w:rFonts w:ascii="Arial" w:hAnsi="Arial" w:cs="Arial"/>
          <w:lang w:val="es-ES_tradnl"/>
        </w:rPr>
        <w:t>Con las recomendaciones previas se disminuye el riesgo de efectos adversos y el desarrollo de SIRI, sin comprometer la supervivencia</w:t>
      </w:r>
      <w:r>
        <w:rPr>
          <w:rFonts w:ascii="Arial" w:hAnsi="Arial" w:cs="Arial"/>
          <w:lang w:val="es-ES_tradnl"/>
        </w:rPr>
        <w:t>.</w:t>
      </w:r>
    </w:p>
    <w:p w14:paraId="3694D33A" w14:textId="77777777" w:rsidR="00BC37A7" w:rsidRPr="00000FF8" w:rsidRDefault="00BC37A7" w:rsidP="00BC37A7">
      <w:pPr>
        <w:spacing w:before="120" w:after="120" w:line="276" w:lineRule="auto"/>
        <w:ind w:left="720"/>
        <w:jc w:val="both"/>
        <w:rPr>
          <w:rFonts w:ascii="Arial" w:hAnsi="Arial" w:cs="Arial"/>
          <w:lang w:val="es-ES_tradnl"/>
        </w:rPr>
      </w:pPr>
    </w:p>
    <w:p w14:paraId="06781DAF" w14:textId="77777777" w:rsidR="00BC37A7" w:rsidRPr="00000FF8" w:rsidRDefault="00BC37A7" w:rsidP="00BC37A7">
      <w:pPr>
        <w:spacing w:before="120" w:after="120" w:line="276" w:lineRule="auto"/>
        <w:jc w:val="both"/>
        <w:rPr>
          <w:rFonts w:ascii="Arial" w:hAnsi="Arial" w:cs="Arial"/>
          <w:i/>
          <w:iCs/>
          <w:lang w:val="es-ES_tradnl"/>
        </w:rPr>
      </w:pPr>
      <w:r w:rsidRPr="00000FF8">
        <w:rPr>
          <w:rFonts w:ascii="Arial" w:hAnsi="Arial" w:cs="Arial"/>
          <w:i/>
          <w:iCs/>
          <w:lang w:val="es-ES_tradnl"/>
        </w:rPr>
        <w:t xml:space="preserve">Pautas de </w:t>
      </w:r>
      <w:r>
        <w:rPr>
          <w:rFonts w:ascii="Arial" w:hAnsi="Arial" w:cs="Arial"/>
          <w:i/>
          <w:iCs/>
          <w:lang w:val="es-ES_tradnl"/>
        </w:rPr>
        <w:t>TAR</w:t>
      </w:r>
      <w:r w:rsidRPr="00000FF8">
        <w:rPr>
          <w:rFonts w:ascii="Arial" w:hAnsi="Arial" w:cs="Arial"/>
          <w:i/>
          <w:iCs/>
          <w:lang w:val="es-ES_tradnl"/>
        </w:rPr>
        <w:t xml:space="preserve">. </w:t>
      </w:r>
    </w:p>
    <w:p w14:paraId="49176C3C" w14:textId="03BA002F" w:rsidR="00BC37A7" w:rsidRPr="00000FF8" w:rsidRDefault="00BC37A7" w:rsidP="00BC37A7">
      <w:pPr>
        <w:spacing w:before="120" w:after="120" w:line="276" w:lineRule="auto"/>
        <w:jc w:val="both"/>
        <w:rPr>
          <w:rFonts w:ascii="Arial" w:hAnsi="Arial" w:cs="Arial"/>
          <w:highlight w:val="yellow"/>
        </w:rPr>
      </w:pPr>
      <w:r w:rsidRPr="00000FF8">
        <w:rPr>
          <w:rFonts w:ascii="Arial" w:hAnsi="Arial" w:cs="Arial"/>
          <w:lang w:val="es-ES_tradnl"/>
        </w:rPr>
        <w:t>La principal dificultad radica en las posibles interacciones medicamentosas</w:t>
      </w:r>
      <w:r w:rsidRPr="00000FF8">
        <w:rPr>
          <w:rFonts w:ascii="Arial" w:hAnsi="Arial" w:cs="Arial"/>
          <w:highlight w:val="yellow"/>
          <w:lang w:val="es-ES_tradnl"/>
        </w:rPr>
        <w:t xml:space="preserve"> con los tuberculostáticos</w:t>
      </w:r>
      <w:r>
        <w:rPr>
          <w:rFonts w:ascii="Arial" w:hAnsi="Arial" w:cs="Arial"/>
          <w:highlight w:val="yellow"/>
          <w:lang w:val="es-ES_tradnl"/>
        </w:rPr>
        <w:t>,</w:t>
      </w:r>
      <w:r w:rsidRPr="00000FF8">
        <w:rPr>
          <w:rFonts w:ascii="Arial" w:hAnsi="Arial" w:cs="Arial"/>
          <w:lang w:val="es-ES_tradnl"/>
        </w:rPr>
        <w:t xml:space="preserve"> especialmente relevantes en el caso de las rifamicinas</w:t>
      </w:r>
      <w:r w:rsidR="005652A5">
        <w:rPr>
          <w:rFonts w:ascii="Arial" w:hAnsi="Arial" w:cs="Arial"/>
          <w:strike/>
          <w:highlight w:val="yellow"/>
        </w:rPr>
        <w:t>.</w:t>
      </w:r>
    </w:p>
    <w:p w14:paraId="22A01357" w14:textId="77777777" w:rsidR="00BC37A7" w:rsidRPr="00000FF8" w:rsidRDefault="00BC37A7" w:rsidP="00BC37A7">
      <w:pPr>
        <w:shd w:val="clear" w:color="auto" w:fill="FFFFFF"/>
        <w:spacing w:after="120" w:line="276" w:lineRule="auto"/>
        <w:jc w:val="both"/>
        <w:rPr>
          <w:rFonts w:ascii="Arial" w:hAnsi="Arial" w:cs="Arial"/>
          <w:strike/>
          <w:color w:val="222222"/>
        </w:rPr>
      </w:pPr>
      <w:r w:rsidRPr="00000FF8">
        <w:rPr>
          <w:rFonts w:ascii="Arial" w:hAnsi="Arial" w:cs="Arial"/>
          <w:color w:val="222222"/>
          <w:highlight w:val="yellow"/>
          <w:lang w:val="es-ES_tradnl" w:eastAsia="es-ES"/>
        </w:rPr>
        <w:t>Tanto para los pacientes que inician TAR como para los pacientes que ya están recibiendo TAR</w:t>
      </w:r>
      <w:r w:rsidRPr="00000FF8">
        <w:rPr>
          <w:rFonts w:ascii="Arial" w:hAnsi="Arial" w:cs="Arial"/>
          <w:color w:val="222222"/>
          <w:highlight w:val="yellow"/>
          <w:lang w:val="es-ES_tradnl"/>
        </w:rPr>
        <w:t>,</w:t>
      </w:r>
      <w:r w:rsidRPr="00000FF8">
        <w:rPr>
          <w:rFonts w:ascii="Arial" w:hAnsi="Arial" w:cs="Arial"/>
          <w:color w:val="222222"/>
          <w:lang w:val="es-ES_tradnl"/>
        </w:rPr>
        <w:t xml:space="preserve"> el régimen debe construirse de acuerdo a los principios para la elección de FARV en pacientes en tratamiento para TB que se sintetizan a continuación. </w:t>
      </w:r>
      <w:r w:rsidRPr="00000FF8">
        <w:rPr>
          <w:rFonts w:ascii="Arial" w:hAnsi="Arial" w:cs="Arial"/>
          <w:color w:val="222222"/>
          <w:highlight w:val="yellow"/>
          <w:lang w:val="es-ES_tradnl" w:eastAsia="es-ES"/>
        </w:rPr>
        <w:t>Además, hay que tener en cuenta, cuando proceda, los antecedentes de resistencias o intolerancias a FARV.</w:t>
      </w:r>
      <w:r w:rsidRPr="00000FF8">
        <w:rPr>
          <w:rFonts w:ascii="Arial" w:hAnsi="Arial" w:cs="Arial"/>
          <w:color w:val="222222"/>
          <w:lang w:val="es-ES_tradnl" w:eastAsia="es-ES"/>
        </w:rPr>
        <w:t> </w:t>
      </w:r>
    </w:p>
    <w:p w14:paraId="7212A667" w14:textId="77777777" w:rsidR="00BC37A7" w:rsidRPr="00000FF8" w:rsidRDefault="00BC37A7" w:rsidP="00BC37A7">
      <w:pPr>
        <w:spacing w:before="120" w:after="120" w:line="276" w:lineRule="auto"/>
        <w:jc w:val="both"/>
        <w:rPr>
          <w:rFonts w:ascii="Arial" w:hAnsi="Arial" w:cs="Arial"/>
          <w:b/>
          <w:bCs/>
          <w:color w:val="AE1C1F"/>
        </w:rPr>
      </w:pPr>
    </w:p>
    <w:p w14:paraId="5086A74A" w14:textId="11A5B617" w:rsidR="00BC37A7" w:rsidRPr="00000FF8" w:rsidRDefault="00BC37A7" w:rsidP="00BC37A7">
      <w:pPr>
        <w:numPr>
          <w:ilvl w:val="0"/>
          <w:numId w:val="22"/>
        </w:numPr>
        <w:spacing w:before="120" w:after="120" w:line="276" w:lineRule="auto"/>
        <w:jc w:val="both"/>
        <w:rPr>
          <w:rFonts w:ascii="Arial" w:hAnsi="Arial" w:cs="Arial"/>
        </w:rPr>
      </w:pPr>
      <w:r w:rsidRPr="00000FF8">
        <w:rPr>
          <w:rFonts w:ascii="Arial" w:hAnsi="Arial" w:cs="Arial"/>
          <w:i/>
          <w:iCs/>
          <w:lang w:val="es-ES_tradnl"/>
        </w:rPr>
        <w:t>Elección de los ITIAN</w:t>
      </w:r>
      <w:r w:rsidRPr="00000FF8">
        <w:rPr>
          <w:rFonts w:ascii="Arial" w:hAnsi="Arial" w:cs="Arial"/>
          <w:lang w:val="es-ES_tradnl"/>
        </w:rPr>
        <w:t xml:space="preserve">. No existe interacción significativa entre los fármacos antituberculosos y la mayoría de ITIAN, ni hay evidencia de la potenciación de la toxicidad entre ellos. </w:t>
      </w:r>
      <w:r w:rsidRPr="00000FF8">
        <w:rPr>
          <w:rFonts w:ascii="Arial" w:hAnsi="Arial" w:cs="Arial"/>
        </w:rPr>
        <w:t xml:space="preserve">Una excepción la constituye </w:t>
      </w:r>
      <w:r w:rsidRPr="00000FF8">
        <w:rPr>
          <w:rFonts w:ascii="Arial" w:hAnsi="Arial" w:cs="Arial"/>
          <w:highlight w:val="yellow"/>
        </w:rPr>
        <w:t xml:space="preserve">TAF porque la rifampicina disminuye </w:t>
      </w:r>
      <w:r w:rsidRPr="00000FF8">
        <w:rPr>
          <w:rFonts w:ascii="Arial" w:hAnsi="Arial" w:cs="Arial"/>
        </w:rPr>
        <w:t>su concentración plasmática un 55%</w:t>
      </w:r>
      <w:r w:rsidRPr="00000FF8">
        <w:rPr>
          <w:rFonts w:ascii="Arial" w:hAnsi="Arial" w:cs="Arial"/>
          <w:highlight w:val="yellow"/>
          <w:vertAlign w:val="superscript"/>
          <w:lang w:val="es-ES_tradnl"/>
        </w:rPr>
        <w:t>5</w:t>
      </w:r>
      <w:r w:rsidRPr="00000FF8">
        <w:rPr>
          <w:rFonts w:ascii="Arial" w:hAnsi="Arial" w:cs="Arial"/>
        </w:rPr>
        <w:t>.</w:t>
      </w:r>
    </w:p>
    <w:p w14:paraId="58CCB50C" w14:textId="77777777" w:rsidR="00BC37A7" w:rsidRPr="00000FF8" w:rsidRDefault="00BC37A7" w:rsidP="00BC37A7">
      <w:pPr>
        <w:numPr>
          <w:ilvl w:val="0"/>
          <w:numId w:val="22"/>
        </w:numPr>
        <w:spacing w:before="120" w:after="120" w:line="276" w:lineRule="auto"/>
        <w:jc w:val="both"/>
        <w:rPr>
          <w:rFonts w:ascii="Arial" w:hAnsi="Arial" w:cs="Arial"/>
          <w:lang w:val="es-ES_tradnl"/>
        </w:rPr>
      </w:pPr>
      <w:r w:rsidRPr="00000FF8">
        <w:rPr>
          <w:rFonts w:ascii="Arial" w:hAnsi="Arial" w:cs="Arial"/>
          <w:i/>
          <w:iCs/>
          <w:lang w:val="es-ES_tradnl"/>
        </w:rPr>
        <w:t>Elección del tercer fármaco.</w:t>
      </w:r>
      <w:r w:rsidRPr="00000FF8">
        <w:rPr>
          <w:rFonts w:ascii="Arial" w:hAnsi="Arial" w:cs="Arial"/>
          <w:lang w:val="es-ES_tradnl"/>
        </w:rPr>
        <w:t xml:space="preserve"> La mayor experiencia y los mejores resultados se han obtenido con EFV. </w:t>
      </w:r>
      <w:r w:rsidRPr="00000FF8">
        <w:rPr>
          <w:rFonts w:ascii="Arial" w:hAnsi="Arial" w:cs="Arial"/>
          <w:highlight w:val="yellow"/>
          <w:lang w:val="es-ES_tradnl"/>
        </w:rPr>
        <w:t>La mayor parte</w:t>
      </w:r>
      <w:r w:rsidRPr="00000FF8">
        <w:rPr>
          <w:rFonts w:ascii="Arial" w:hAnsi="Arial" w:cs="Arial"/>
          <w:lang w:val="es-ES_tradnl"/>
        </w:rPr>
        <w:t xml:space="preserve"> de </w:t>
      </w:r>
      <w:r w:rsidRPr="00000FF8">
        <w:rPr>
          <w:rFonts w:ascii="Arial" w:hAnsi="Arial" w:cs="Arial"/>
          <w:highlight w:val="yellow"/>
          <w:lang w:val="es-ES_tradnl"/>
        </w:rPr>
        <w:t>las</w:t>
      </w:r>
      <w:r w:rsidRPr="00000FF8">
        <w:rPr>
          <w:rFonts w:ascii="Arial" w:hAnsi="Arial" w:cs="Arial"/>
          <w:lang w:val="es-ES_tradnl"/>
        </w:rPr>
        <w:t xml:space="preserve"> guías de TAR </w:t>
      </w:r>
      <w:r w:rsidRPr="00000FF8">
        <w:rPr>
          <w:rFonts w:ascii="Arial" w:hAnsi="Arial" w:cs="Arial"/>
          <w:lang w:val="es-ES_tradnl"/>
        </w:rPr>
        <w:lastRenderedPageBreak/>
        <w:t xml:space="preserve">no consideran al EFV un fármaco de primera elección para iniciar el tratamiento. </w:t>
      </w:r>
      <w:r w:rsidRPr="00000FF8">
        <w:rPr>
          <w:rFonts w:ascii="Arial" w:hAnsi="Arial" w:cs="Arial"/>
          <w:highlight w:val="yellow"/>
          <w:lang w:val="es-ES_tradnl"/>
        </w:rPr>
        <w:t>Sin embargo, en el caso de los pacientes con TB</w:t>
      </w:r>
      <w:r w:rsidRPr="00000FF8">
        <w:rPr>
          <w:rFonts w:ascii="Arial" w:hAnsi="Arial" w:cs="Arial"/>
          <w:lang w:val="es-ES_tradnl"/>
        </w:rPr>
        <w:t xml:space="preserve">, sigue constituyendo el fármaco de elección. </w:t>
      </w:r>
    </w:p>
    <w:p w14:paraId="404A6E2B" w14:textId="1D473E81" w:rsidR="00BC37A7" w:rsidRPr="00000FF8" w:rsidRDefault="00BC37A7" w:rsidP="00BC37A7">
      <w:pPr>
        <w:numPr>
          <w:ilvl w:val="0"/>
          <w:numId w:val="22"/>
        </w:numPr>
        <w:spacing w:before="120" w:after="120" w:line="276" w:lineRule="auto"/>
        <w:jc w:val="both"/>
        <w:rPr>
          <w:rFonts w:ascii="Arial" w:hAnsi="Arial" w:cs="Arial"/>
          <w:highlight w:val="yellow"/>
          <w:lang w:val="es-ES_tradnl"/>
        </w:rPr>
      </w:pPr>
      <w:r w:rsidRPr="00000FF8">
        <w:rPr>
          <w:rFonts w:ascii="Arial" w:hAnsi="Arial" w:cs="Arial"/>
          <w:i/>
          <w:iCs/>
          <w:lang w:val="es-ES_tradnl"/>
        </w:rPr>
        <w:t>Alternativas terapéuticas como terceros fármacos</w:t>
      </w:r>
      <w:r w:rsidRPr="00000FF8">
        <w:rPr>
          <w:rFonts w:ascii="Arial" w:hAnsi="Arial" w:cs="Arial"/>
          <w:lang w:val="es-ES_tradnl"/>
        </w:rPr>
        <w:t xml:space="preserve">. </w:t>
      </w:r>
      <w:r w:rsidRPr="00000FF8">
        <w:rPr>
          <w:rFonts w:ascii="Arial" w:hAnsi="Arial" w:cs="Arial"/>
          <w:highlight w:val="yellow"/>
          <w:lang w:val="es-ES_tradnl"/>
        </w:rPr>
        <w:t>Existen datos sólidos</w:t>
      </w:r>
      <w:r w:rsidRPr="00000FF8">
        <w:rPr>
          <w:rFonts w:ascii="Arial" w:hAnsi="Arial" w:cs="Arial"/>
          <w:lang w:val="es-ES_tradnl"/>
        </w:rPr>
        <w:t xml:space="preserve"> para recomendar como alternativas pautas que incluyan RAL a dosis de 800 mg/12 horas</w:t>
      </w:r>
      <w:r w:rsidRPr="006103E1">
        <w:rPr>
          <w:rFonts w:ascii="Arial" w:hAnsi="Arial" w:cs="Arial"/>
          <w:b/>
          <w:bCs/>
          <w:i/>
          <w:iCs/>
          <w:lang w:val="es-ES_tradnl"/>
        </w:rPr>
        <w:t xml:space="preserve">, </w:t>
      </w:r>
      <w:r w:rsidRPr="00000FF8">
        <w:rPr>
          <w:rFonts w:ascii="Arial" w:hAnsi="Arial" w:cs="Arial"/>
          <w:lang w:val="es-ES_tradnl"/>
        </w:rPr>
        <w:t>o DTG (50 mg/12 horas)</w:t>
      </w:r>
      <w:r w:rsidRPr="00000FF8">
        <w:rPr>
          <w:rFonts w:ascii="Arial" w:hAnsi="Arial" w:cs="Arial"/>
          <w:highlight w:val="yellow"/>
          <w:vertAlign w:val="superscript"/>
          <w:lang w:val="es-ES_tradnl"/>
        </w:rPr>
        <w:t>6</w:t>
      </w:r>
      <w:r w:rsidRPr="00000FF8">
        <w:rPr>
          <w:rFonts w:ascii="Arial" w:hAnsi="Arial" w:cs="Arial"/>
          <w:highlight w:val="yellow"/>
          <w:lang w:val="es-ES_tradnl"/>
        </w:rPr>
        <w:t>. RAL a dosis de 400 mg/12 horas no ha demostrado la no inferioridad frente a EFV</w:t>
      </w:r>
      <w:r w:rsidRPr="00000FF8">
        <w:rPr>
          <w:rFonts w:ascii="Arial" w:hAnsi="Arial" w:cs="Arial"/>
          <w:highlight w:val="yellow"/>
          <w:vertAlign w:val="superscript"/>
          <w:lang w:val="es-ES_tradnl"/>
        </w:rPr>
        <w:t>7</w:t>
      </w:r>
      <w:r w:rsidRPr="00000FF8">
        <w:rPr>
          <w:rFonts w:ascii="Arial" w:hAnsi="Arial" w:cs="Arial"/>
          <w:highlight w:val="yellow"/>
          <w:lang w:val="es-ES_tradnl"/>
        </w:rPr>
        <w:t>. Con las alternativas actualmente disponibles no se recomienda</w:t>
      </w:r>
      <w:r w:rsidRPr="00000FF8">
        <w:rPr>
          <w:rFonts w:ascii="Arial" w:hAnsi="Arial" w:cs="Arial"/>
          <w:lang w:val="es-ES_tradnl"/>
        </w:rPr>
        <w:t xml:space="preserve"> la administración de </w:t>
      </w:r>
      <w:r w:rsidR="005652A5">
        <w:rPr>
          <w:rFonts w:ascii="Arial" w:hAnsi="Arial" w:cs="Arial"/>
          <w:lang w:val="es-ES_tradnl"/>
        </w:rPr>
        <w:t xml:space="preserve">MVC </w:t>
      </w:r>
      <w:r w:rsidRPr="00000FF8">
        <w:rPr>
          <w:rFonts w:ascii="Arial" w:hAnsi="Arial" w:cs="Arial"/>
          <w:highlight w:val="yellow"/>
          <w:lang w:val="es-ES_tradnl"/>
        </w:rPr>
        <w:t>salvo en casos excepcionales.</w:t>
      </w:r>
    </w:p>
    <w:p w14:paraId="0271352D" w14:textId="77777777" w:rsidR="00BC37A7" w:rsidRPr="00DF229B" w:rsidRDefault="00BC37A7" w:rsidP="00BC37A7">
      <w:pPr>
        <w:numPr>
          <w:ilvl w:val="0"/>
          <w:numId w:val="22"/>
        </w:numPr>
        <w:spacing w:before="120" w:after="120" w:line="276" w:lineRule="auto"/>
        <w:jc w:val="both"/>
        <w:rPr>
          <w:rFonts w:ascii="Arial" w:hAnsi="Arial" w:cs="Arial"/>
          <w:b/>
          <w:i/>
          <w:lang w:val="es-ES_tradnl"/>
        </w:rPr>
      </w:pPr>
      <w:r w:rsidRPr="00DF229B">
        <w:rPr>
          <w:rFonts w:ascii="Arial" w:hAnsi="Arial" w:cs="Arial"/>
          <w:i/>
          <w:iCs/>
          <w:lang w:val="es-ES_tradnl"/>
        </w:rPr>
        <w:t>Fármacos que no pueden utilizarse</w:t>
      </w:r>
      <w:r w:rsidRPr="00446355">
        <w:rPr>
          <w:rFonts w:ascii="Arial" w:hAnsi="Arial" w:cs="Arial"/>
          <w:lang w:val="es-ES_tradnl"/>
        </w:rPr>
        <w:t xml:space="preserve">. No se </w:t>
      </w:r>
      <w:r w:rsidRPr="00DF229B">
        <w:rPr>
          <w:rFonts w:ascii="Arial" w:hAnsi="Arial" w:cs="Arial"/>
          <w:highlight w:val="yellow"/>
          <w:lang w:val="es-ES_tradnl"/>
        </w:rPr>
        <w:t>pueden</w:t>
      </w:r>
      <w:r w:rsidRPr="00DF229B">
        <w:rPr>
          <w:rFonts w:ascii="Arial" w:hAnsi="Arial" w:cs="Arial"/>
          <w:lang w:val="es-ES_tradnl"/>
        </w:rPr>
        <w:t xml:space="preserve"> coadministrar con rifampicina los otros ITINN </w:t>
      </w:r>
      <w:r w:rsidRPr="00DF229B">
        <w:rPr>
          <w:rFonts w:ascii="Arial" w:hAnsi="Arial" w:cs="Arial"/>
          <w:highlight w:val="yellow"/>
          <w:lang w:val="es-ES_tradnl"/>
        </w:rPr>
        <w:t>diferentes de EFV</w:t>
      </w:r>
      <w:r w:rsidRPr="00DF229B">
        <w:rPr>
          <w:rFonts w:ascii="Arial" w:hAnsi="Arial" w:cs="Arial"/>
          <w:lang w:val="es-ES_tradnl"/>
        </w:rPr>
        <w:t xml:space="preserve"> (RPV, ETR y DOR), ningún IP (potenciado o no), ni EVG, RAL 1200 mg una vez al día, </w:t>
      </w:r>
      <w:r w:rsidRPr="006103E1">
        <w:rPr>
          <w:rFonts w:ascii="Arial" w:hAnsi="Arial" w:cs="Arial"/>
          <w:highlight w:val="yellow"/>
          <w:lang w:val="es-ES_tradnl"/>
        </w:rPr>
        <w:t>ni BIC</w:t>
      </w:r>
      <w:r w:rsidRPr="006103E1">
        <w:rPr>
          <w:rFonts w:ascii="Arial" w:hAnsi="Arial" w:cs="Arial"/>
          <w:highlight w:val="yellow"/>
          <w:vertAlign w:val="superscript"/>
          <w:lang w:val="es-ES_tradnl"/>
        </w:rPr>
        <w:t xml:space="preserve">8 </w:t>
      </w:r>
      <w:r w:rsidRPr="00DF229B">
        <w:rPr>
          <w:rFonts w:ascii="Arial" w:hAnsi="Arial" w:cs="Arial"/>
          <w:highlight w:val="yellow"/>
          <w:lang w:val="es-ES_tradnl"/>
        </w:rPr>
        <w:t>ni cabotegravir</w:t>
      </w:r>
      <w:r w:rsidRPr="00DF229B">
        <w:rPr>
          <w:rFonts w:ascii="Arial" w:hAnsi="Arial" w:cs="Arial"/>
          <w:highlight w:val="yellow"/>
          <w:vertAlign w:val="superscript"/>
          <w:lang w:val="es-ES_tradnl"/>
        </w:rPr>
        <w:t>9</w:t>
      </w:r>
      <w:r w:rsidRPr="00DF229B">
        <w:rPr>
          <w:rFonts w:ascii="Arial" w:hAnsi="Arial" w:cs="Arial"/>
          <w:highlight w:val="yellow"/>
          <w:lang w:val="es-ES_tradnl"/>
        </w:rPr>
        <w:t>.</w:t>
      </w:r>
      <w:r w:rsidRPr="00DF229B">
        <w:rPr>
          <w:rFonts w:ascii="Arial" w:hAnsi="Arial" w:cs="Arial"/>
          <w:lang w:val="es-ES_tradnl"/>
        </w:rPr>
        <w:t xml:space="preserve"> Existen argumentos farmacocinéticos en contra de </w:t>
      </w:r>
      <w:r w:rsidRPr="00DF229B">
        <w:rPr>
          <w:rFonts w:ascii="Arial" w:hAnsi="Arial" w:cs="Arial"/>
          <w:highlight w:val="yellow"/>
          <w:lang w:val="es-ES_tradnl"/>
        </w:rPr>
        <w:t>la administración de</w:t>
      </w:r>
      <w:r w:rsidRPr="00DF229B">
        <w:rPr>
          <w:rFonts w:ascii="Arial" w:hAnsi="Arial" w:cs="Arial"/>
          <w:lang w:val="es-ES_tradnl"/>
        </w:rPr>
        <w:t xml:space="preserve"> rifampicina con RAL en su nueva formulación de administración 1200 mg una vez al día o BIC</w:t>
      </w:r>
      <w:r>
        <w:rPr>
          <w:rFonts w:ascii="Arial" w:hAnsi="Arial" w:cs="Arial"/>
          <w:highlight w:val="yellow"/>
          <w:lang w:val="es-ES_tradnl"/>
        </w:rPr>
        <w:t>.</w:t>
      </w:r>
      <w:r w:rsidRPr="00DF229B">
        <w:rPr>
          <w:rFonts w:ascii="Arial" w:hAnsi="Arial" w:cs="Arial"/>
          <w:lang w:val="es-ES_tradnl"/>
        </w:rPr>
        <w:t xml:space="preserve"> </w:t>
      </w:r>
    </w:p>
    <w:p w14:paraId="4C11B2C0" w14:textId="77777777" w:rsidR="00BC37A7" w:rsidRPr="00000FF8" w:rsidRDefault="00BC37A7" w:rsidP="00BC37A7">
      <w:pPr>
        <w:spacing w:before="120" w:after="120" w:line="276" w:lineRule="auto"/>
        <w:jc w:val="both"/>
        <w:rPr>
          <w:rFonts w:ascii="Arial" w:hAnsi="Arial" w:cs="Arial"/>
          <w:b/>
          <w:bCs/>
          <w:color w:val="AE1C1F"/>
        </w:rPr>
      </w:pPr>
      <w:r w:rsidRPr="00000FF8">
        <w:rPr>
          <w:rFonts w:ascii="Arial" w:hAnsi="Arial" w:cs="Arial"/>
          <w:b/>
          <w:bCs/>
          <w:color w:val="AE1C1F"/>
        </w:rPr>
        <w:t>Recomendaciones</w:t>
      </w:r>
    </w:p>
    <w:p w14:paraId="5E033A74" w14:textId="5135A142" w:rsidR="00BC37A7" w:rsidRPr="00000FF8" w:rsidRDefault="00BC37A7" w:rsidP="00BC37A7">
      <w:pPr>
        <w:numPr>
          <w:ilvl w:val="0"/>
          <w:numId w:val="22"/>
        </w:numPr>
        <w:spacing w:before="120" w:after="120" w:line="276" w:lineRule="auto"/>
        <w:jc w:val="both"/>
        <w:rPr>
          <w:rFonts w:ascii="Arial" w:hAnsi="Arial" w:cs="Arial"/>
        </w:rPr>
      </w:pPr>
      <w:r w:rsidRPr="00000FF8">
        <w:rPr>
          <w:rFonts w:ascii="Arial" w:hAnsi="Arial" w:cs="Arial"/>
          <w:i/>
          <w:iCs/>
          <w:lang w:val="es-ES_tradnl"/>
        </w:rPr>
        <w:t>Elección de los ITIAN</w:t>
      </w:r>
      <w:r w:rsidRPr="00000FF8">
        <w:rPr>
          <w:rFonts w:ascii="Arial" w:hAnsi="Arial" w:cs="Arial"/>
          <w:lang w:val="es-ES_tradnl"/>
        </w:rPr>
        <w:t xml:space="preserve">. </w:t>
      </w:r>
      <w:r>
        <w:rPr>
          <w:rFonts w:ascii="Arial" w:hAnsi="Arial" w:cs="Arial"/>
          <w:lang w:val="es-ES_tradnl"/>
        </w:rPr>
        <w:t xml:space="preserve">Se puede utilizar </w:t>
      </w:r>
      <w:r w:rsidRPr="00000FF8">
        <w:rPr>
          <w:rFonts w:ascii="Arial" w:hAnsi="Arial" w:cs="Arial"/>
          <w:lang w:val="es-ES_tradnl"/>
        </w:rPr>
        <w:t>ABC, TDF, 3TC o</w:t>
      </w:r>
      <w:r>
        <w:rPr>
          <w:rFonts w:ascii="Arial" w:hAnsi="Arial" w:cs="Arial"/>
          <w:lang w:val="es-ES_tradnl"/>
        </w:rPr>
        <w:t xml:space="preserve"> FTC</w:t>
      </w:r>
      <w:r w:rsidRPr="00000FF8">
        <w:rPr>
          <w:rFonts w:ascii="Arial" w:hAnsi="Arial" w:cs="Arial"/>
          <w:lang w:val="es-ES_tradnl"/>
        </w:rPr>
        <w:t xml:space="preserve"> </w:t>
      </w:r>
      <w:r w:rsidRPr="00000FF8">
        <w:rPr>
          <w:rFonts w:ascii="Arial" w:hAnsi="Arial" w:cs="Arial"/>
          <w:b/>
          <w:bCs/>
          <w:i/>
          <w:iCs/>
          <w:lang w:val="es-ES_tradnl"/>
        </w:rPr>
        <w:t>(A-I</w:t>
      </w:r>
      <w:r w:rsidRPr="00000FF8">
        <w:rPr>
          <w:rFonts w:ascii="Arial" w:hAnsi="Arial" w:cs="Arial"/>
        </w:rPr>
        <w:t xml:space="preserve">) </w:t>
      </w:r>
      <w:r>
        <w:rPr>
          <w:rFonts w:ascii="Arial" w:hAnsi="Arial" w:cs="Arial"/>
        </w:rPr>
        <w:t xml:space="preserve">No está recomendado el uso de TAF y rifampicina </w:t>
      </w:r>
      <w:r w:rsidRPr="00320971">
        <w:rPr>
          <w:rFonts w:ascii="Arial" w:hAnsi="Arial" w:cs="Arial"/>
          <w:b/>
          <w:bCs/>
          <w:i/>
          <w:iCs/>
        </w:rPr>
        <w:t>(A-II)</w:t>
      </w:r>
      <w:r w:rsidR="005652A5">
        <w:rPr>
          <w:rFonts w:ascii="Arial" w:hAnsi="Arial" w:cs="Arial"/>
          <w:b/>
          <w:bCs/>
          <w:i/>
          <w:iCs/>
        </w:rPr>
        <w:t>.</w:t>
      </w:r>
    </w:p>
    <w:p w14:paraId="3CE668A8" w14:textId="117840A0" w:rsidR="00BC37A7" w:rsidRPr="00000FF8" w:rsidRDefault="00BC37A7" w:rsidP="00BC37A7">
      <w:pPr>
        <w:numPr>
          <w:ilvl w:val="0"/>
          <w:numId w:val="22"/>
        </w:numPr>
        <w:spacing w:before="120" w:after="120" w:line="276" w:lineRule="auto"/>
        <w:jc w:val="both"/>
        <w:rPr>
          <w:rFonts w:ascii="Arial" w:hAnsi="Arial" w:cs="Arial"/>
          <w:lang w:val="es-ES_tradnl"/>
        </w:rPr>
      </w:pPr>
      <w:r w:rsidRPr="00000FF8">
        <w:rPr>
          <w:rFonts w:ascii="Arial" w:hAnsi="Arial" w:cs="Arial"/>
          <w:i/>
          <w:iCs/>
          <w:lang w:val="es-ES_tradnl"/>
        </w:rPr>
        <w:t>Elección del tercer fármaco.</w:t>
      </w:r>
      <w:r w:rsidRPr="00000FF8">
        <w:rPr>
          <w:rFonts w:ascii="Arial" w:hAnsi="Arial" w:cs="Arial"/>
          <w:lang w:val="es-ES_tradnl"/>
        </w:rPr>
        <w:t xml:space="preserve"> </w:t>
      </w:r>
      <w:r>
        <w:rPr>
          <w:rFonts w:ascii="Arial" w:hAnsi="Arial" w:cs="Arial"/>
          <w:lang w:val="es-ES_tradnl"/>
        </w:rPr>
        <w:t>El</w:t>
      </w:r>
      <w:r w:rsidRPr="00000FF8">
        <w:rPr>
          <w:rFonts w:ascii="Arial" w:hAnsi="Arial" w:cs="Arial"/>
          <w:lang w:val="es-ES_tradnl"/>
        </w:rPr>
        <w:t xml:space="preserve"> EFV</w:t>
      </w:r>
      <w:r>
        <w:rPr>
          <w:rFonts w:ascii="Arial" w:hAnsi="Arial" w:cs="Arial"/>
          <w:lang w:val="es-ES_tradnl"/>
        </w:rPr>
        <w:t xml:space="preserve"> </w:t>
      </w:r>
      <w:r w:rsidRPr="00000FF8">
        <w:rPr>
          <w:rFonts w:ascii="Arial" w:hAnsi="Arial" w:cs="Arial"/>
          <w:lang w:val="es-ES_tradnl"/>
        </w:rPr>
        <w:t xml:space="preserve">sigue constituyendo el fármaco de elección </w:t>
      </w:r>
      <w:r w:rsidRPr="00000FF8">
        <w:rPr>
          <w:rFonts w:ascii="Arial" w:hAnsi="Arial" w:cs="Arial"/>
          <w:b/>
          <w:bCs/>
          <w:i/>
          <w:iCs/>
          <w:lang w:val="es-ES_tradnl"/>
        </w:rPr>
        <w:t>(A-I)</w:t>
      </w:r>
      <w:r>
        <w:rPr>
          <w:rFonts w:ascii="Arial" w:hAnsi="Arial" w:cs="Arial"/>
          <w:lang w:val="es-ES_tradnl"/>
        </w:rPr>
        <w:t xml:space="preserve"> a</w:t>
      </w:r>
      <w:r w:rsidRPr="00000FF8">
        <w:rPr>
          <w:rFonts w:ascii="Arial" w:hAnsi="Arial" w:cs="Arial"/>
          <w:lang w:val="es-ES_tradnl"/>
        </w:rPr>
        <w:t xml:space="preserve"> dosis estándar, independientemente del peso, sin necesidad de aumentarla a 800 mg/día </w:t>
      </w:r>
      <w:r w:rsidRPr="00000FF8">
        <w:rPr>
          <w:rFonts w:ascii="Arial" w:hAnsi="Arial" w:cs="Arial"/>
          <w:b/>
          <w:bCs/>
          <w:i/>
          <w:iCs/>
          <w:lang w:val="es-ES_tradnl"/>
        </w:rPr>
        <w:t>(A-I)</w:t>
      </w:r>
      <w:r w:rsidR="005652A5">
        <w:rPr>
          <w:rFonts w:ascii="Arial" w:hAnsi="Arial" w:cs="Arial"/>
          <w:b/>
          <w:bCs/>
          <w:i/>
          <w:iCs/>
          <w:lang w:val="es-ES_tradnl"/>
        </w:rPr>
        <w:t>.</w:t>
      </w:r>
    </w:p>
    <w:p w14:paraId="6E49B9D0" w14:textId="29E8866F" w:rsidR="00BC37A7" w:rsidRPr="00DF229B" w:rsidRDefault="00BC37A7" w:rsidP="00BC37A7">
      <w:pPr>
        <w:numPr>
          <w:ilvl w:val="0"/>
          <w:numId w:val="22"/>
        </w:numPr>
        <w:spacing w:before="120" w:after="120" w:line="276" w:lineRule="auto"/>
        <w:jc w:val="both"/>
        <w:rPr>
          <w:rFonts w:ascii="Arial" w:hAnsi="Arial" w:cs="Arial"/>
          <w:b/>
          <w:i/>
          <w:lang w:val="es-ES_tradnl"/>
        </w:rPr>
      </w:pPr>
      <w:r w:rsidRPr="00DF229B">
        <w:rPr>
          <w:rFonts w:ascii="Arial" w:hAnsi="Arial" w:cs="Arial"/>
          <w:i/>
          <w:iCs/>
          <w:lang w:val="es-ES_tradnl"/>
        </w:rPr>
        <w:t>Alternativas terapéuticas como terceros fármacos</w:t>
      </w:r>
      <w:r w:rsidRPr="00DF229B">
        <w:rPr>
          <w:rFonts w:ascii="Arial" w:hAnsi="Arial" w:cs="Arial"/>
          <w:lang w:val="es-ES_tradnl"/>
        </w:rPr>
        <w:t xml:space="preserve">. RAL a dosis de 800 mg/12 horas </w:t>
      </w:r>
      <w:r w:rsidRPr="00DF229B">
        <w:rPr>
          <w:rFonts w:ascii="Arial" w:hAnsi="Arial" w:cs="Arial"/>
          <w:b/>
          <w:bCs/>
          <w:i/>
          <w:iCs/>
          <w:lang w:val="es-ES_tradnl"/>
        </w:rPr>
        <w:t>(A-II</w:t>
      </w:r>
      <w:r w:rsidRPr="006103E1">
        <w:rPr>
          <w:rFonts w:ascii="Arial" w:hAnsi="Arial" w:cs="Arial"/>
          <w:b/>
          <w:bCs/>
          <w:i/>
          <w:iCs/>
          <w:lang w:val="es-ES_tradnl"/>
        </w:rPr>
        <w:t>),</w:t>
      </w:r>
      <w:r w:rsidRPr="00DF229B">
        <w:rPr>
          <w:rFonts w:ascii="Arial" w:hAnsi="Arial" w:cs="Arial"/>
          <w:b/>
          <w:i/>
          <w:lang w:val="es-ES_tradnl"/>
        </w:rPr>
        <w:t xml:space="preserve"> </w:t>
      </w:r>
      <w:r w:rsidRPr="00DF229B">
        <w:rPr>
          <w:rFonts w:ascii="Arial" w:hAnsi="Arial" w:cs="Arial"/>
          <w:lang w:val="es-ES_tradnl"/>
        </w:rPr>
        <w:t xml:space="preserve">o DTG (50 mg/12 horas) </w:t>
      </w:r>
      <w:r w:rsidRPr="00DF229B">
        <w:rPr>
          <w:rFonts w:ascii="Arial" w:hAnsi="Arial" w:cs="Arial"/>
          <w:b/>
          <w:i/>
          <w:lang w:val="es-ES_tradnl"/>
        </w:rPr>
        <w:t>(A-II</w:t>
      </w:r>
      <w:r w:rsidRPr="006103E1">
        <w:rPr>
          <w:rFonts w:ascii="Arial" w:hAnsi="Arial" w:cs="Arial"/>
          <w:b/>
          <w:i/>
          <w:lang w:val="es-ES_tradnl"/>
        </w:rPr>
        <w:t>)</w:t>
      </w:r>
      <w:r>
        <w:rPr>
          <w:rFonts w:ascii="Arial" w:hAnsi="Arial" w:cs="Arial"/>
          <w:highlight w:val="yellow"/>
          <w:lang w:val="es-ES_tradnl"/>
        </w:rPr>
        <w:t>. N</w:t>
      </w:r>
      <w:r w:rsidRPr="00DF229B">
        <w:rPr>
          <w:rFonts w:ascii="Arial" w:hAnsi="Arial" w:cs="Arial"/>
          <w:highlight w:val="yellow"/>
          <w:lang w:val="es-ES_tradnl"/>
        </w:rPr>
        <w:t>o debe utilizarse RAL a dosis de 400 mg/12 horas (</w:t>
      </w:r>
      <w:r w:rsidRPr="00DF229B">
        <w:rPr>
          <w:rFonts w:ascii="Arial" w:hAnsi="Arial" w:cs="Arial"/>
          <w:b/>
          <w:i/>
          <w:highlight w:val="yellow"/>
          <w:lang w:val="es-ES_tradnl"/>
        </w:rPr>
        <w:t>A-I</w:t>
      </w:r>
      <w:r w:rsidRPr="00DF229B">
        <w:rPr>
          <w:rFonts w:ascii="Arial" w:hAnsi="Arial" w:cs="Arial"/>
          <w:highlight w:val="yellow"/>
          <w:lang w:val="es-ES_tradnl"/>
        </w:rPr>
        <w:t xml:space="preserve">). No se recomienda </w:t>
      </w:r>
      <w:r w:rsidRPr="00DF229B">
        <w:rPr>
          <w:rFonts w:ascii="Arial" w:hAnsi="Arial" w:cs="Arial"/>
          <w:lang w:val="es-ES_tradnl"/>
        </w:rPr>
        <w:t>la administración de</w:t>
      </w:r>
      <w:r w:rsidR="005652A5">
        <w:rPr>
          <w:rFonts w:ascii="Arial" w:hAnsi="Arial" w:cs="Arial"/>
          <w:lang w:val="es-ES_tradnl"/>
        </w:rPr>
        <w:t xml:space="preserve"> MVC</w:t>
      </w:r>
      <w:r w:rsidRPr="00DF229B">
        <w:rPr>
          <w:rFonts w:ascii="Arial" w:hAnsi="Arial" w:cs="Arial"/>
          <w:lang w:val="es-ES_tradnl"/>
        </w:rPr>
        <w:t xml:space="preserve"> </w:t>
      </w:r>
      <w:r w:rsidRPr="00DF229B">
        <w:rPr>
          <w:rFonts w:ascii="Arial" w:hAnsi="Arial" w:cs="Arial"/>
          <w:highlight w:val="yellow"/>
          <w:lang w:val="es-ES_tradnl"/>
        </w:rPr>
        <w:t>salvo en casos excepcionales</w:t>
      </w:r>
      <w:r>
        <w:rPr>
          <w:rFonts w:ascii="Arial" w:hAnsi="Arial" w:cs="Arial"/>
          <w:highlight w:val="yellow"/>
          <w:lang w:val="es-ES_tradnl"/>
        </w:rPr>
        <w:t xml:space="preserve"> </w:t>
      </w:r>
      <w:r w:rsidRPr="006103E1">
        <w:rPr>
          <w:rFonts w:ascii="Arial" w:hAnsi="Arial" w:cs="Arial"/>
          <w:b/>
          <w:i/>
          <w:highlight w:val="yellow"/>
          <w:lang w:val="es-ES_tradnl"/>
        </w:rPr>
        <w:t>(A-III)</w:t>
      </w:r>
      <w:r w:rsidRPr="00DF229B">
        <w:rPr>
          <w:rFonts w:ascii="Arial" w:hAnsi="Arial" w:cs="Arial"/>
          <w:highlight w:val="yellow"/>
          <w:lang w:val="es-ES_tradnl"/>
        </w:rPr>
        <w:t>.</w:t>
      </w:r>
      <w:r w:rsidRPr="00DF229B">
        <w:rPr>
          <w:rFonts w:ascii="Arial" w:hAnsi="Arial" w:cs="Arial"/>
          <w:lang w:val="es-ES_tradnl"/>
        </w:rPr>
        <w:t xml:space="preserve"> En el caso excepcional de que un IP fuese la única opción de TAR debe sustituirse rifampicina por rifabutina y realizar el ajuste correspondiente en las dosis de los fármacos </w:t>
      </w:r>
      <w:r w:rsidRPr="00DF229B">
        <w:rPr>
          <w:rFonts w:ascii="Arial" w:hAnsi="Arial" w:cs="Arial"/>
          <w:b/>
          <w:bCs/>
          <w:i/>
          <w:iCs/>
          <w:lang w:val="es-ES_tradnl"/>
        </w:rPr>
        <w:t>(A-I)</w:t>
      </w:r>
      <w:r w:rsidR="005652A5">
        <w:rPr>
          <w:rFonts w:ascii="Arial" w:hAnsi="Arial" w:cs="Arial"/>
          <w:b/>
          <w:bCs/>
          <w:i/>
          <w:iCs/>
          <w:lang w:val="es-ES_tradnl"/>
        </w:rPr>
        <w:t>.</w:t>
      </w:r>
    </w:p>
    <w:p w14:paraId="1D6A5707" w14:textId="77777777" w:rsidR="00BC37A7" w:rsidRPr="00000FF8" w:rsidRDefault="00BC37A7" w:rsidP="00BC37A7">
      <w:pPr>
        <w:spacing w:before="120" w:after="120" w:line="276" w:lineRule="auto"/>
        <w:ind w:left="720"/>
        <w:jc w:val="both"/>
        <w:rPr>
          <w:rFonts w:ascii="Arial" w:hAnsi="Arial" w:cs="Arial"/>
          <w:lang w:val="es-ES_tradnl"/>
        </w:rPr>
      </w:pPr>
    </w:p>
    <w:p w14:paraId="139961C4" w14:textId="77777777" w:rsidR="00BC37A7" w:rsidRDefault="00BC37A7" w:rsidP="00BC37A7">
      <w:pPr>
        <w:spacing w:before="120" w:after="120" w:line="276" w:lineRule="auto"/>
        <w:jc w:val="both"/>
        <w:rPr>
          <w:rFonts w:ascii="Arial" w:hAnsi="Arial" w:cs="Arial"/>
          <w:i/>
        </w:rPr>
      </w:pPr>
      <w:r w:rsidRPr="00000FF8">
        <w:rPr>
          <w:rFonts w:ascii="Arial" w:hAnsi="Arial" w:cs="Arial"/>
          <w:i/>
        </w:rPr>
        <w:t xml:space="preserve">Síndrome inflamatorio por reconstitución inmunológica (SIRI).                                       </w:t>
      </w:r>
    </w:p>
    <w:p w14:paraId="7E4854D8" w14:textId="77777777" w:rsidR="00BC37A7" w:rsidRPr="00000FF8" w:rsidRDefault="00BC37A7" w:rsidP="00BC37A7">
      <w:pPr>
        <w:spacing w:before="120" w:after="120" w:line="276" w:lineRule="auto"/>
        <w:jc w:val="both"/>
        <w:rPr>
          <w:rFonts w:ascii="Arial" w:hAnsi="Arial" w:cs="Arial"/>
          <w:i/>
        </w:rPr>
      </w:pPr>
      <w:r w:rsidRPr="00000FF8">
        <w:rPr>
          <w:rFonts w:ascii="Arial" w:hAnsi="Arial" w:cs="Arial"/>
          <w:i/>
        </w:rPr>
        <w:t xml:space="preserve"> </w:t>
      </w:r>
      <w:r w:rsidRPr="00000FF8">
        <w:rPr>
          <w:rFonts w:ascii="Arial" w:hAnsi="Arial" w:cs="Arial"/>
        </w:rPr>
        <w:t>El SIRI es una complicación frecuente del TAR en pacientes con TB, especialmente en pacientes con r</w:t>
      </w:r>
      <w:r>
        <w:rPr>
          <w:rFonts w:ascii="Arial" w:hAnsi="Arial" w:cs="Arial"/>
        </w:rPr>
        <w:t>ecuento de células CD4+ muy bajo</w:t>
      </w:r>
      <w:r w:rsidRPr="00000FF8">
        <w:rPr>
          <w:rFonts w:ascii="Arial" w:hAnsi="Arial" w:cs="Arial"/>
        </w:rPr>
        <w:t xml:space="preserve">s, cuando el TAR se inicia muy precozmente en relación </w:t>
      </w:r>
      <w:r w:rsidRPr="00000FF8">
        <w:rPr>
          <w:rFonts w:ascii="Arial" w:hAnsi="Arial" w:cs="Arial"/>
          <w:highlight w:val="yellow"/>
        </w:rPr>
        <w:t>con el</w:t>
      </w:r>
      <w:r w:rsidRPr="00000FF8">
        <w:rPr>
          <w:rFonts w:ascii="Arial" w:hAnsi="Arial" w:cs="Arial"/>
        </w:rPr>
        <w:t xml:space="preserve"> inicio del tratamiento antituberculoso.</w:t>
      </w:r>
    </w:p>
    <w:p w14:paraId="37EBEEF6" w14:textId="77777777" w:rsidR="00BC37A7" w:rsidRDefault="00BC37A7" w:rsidP="00BC37A7">
      <w:pPr>
        <w:spacing w:before="120" w:after="120" w:line="276" w:lineRule="auto"/>
        <w:jc w:val="both"/>
        <w:rPr>
          <w:rFonts w:ascii="Arial" w:hAnsi="Arial" w:cs="Arial"/>
          <w:b/>
          <w:bCs/>
          <w:color w:val="AE1C1F"/>
        </w:rPr>
      </w:pPr>
    </w:p>
    <w:p w14:paraId="713B1D05" w14:textId="77777777" w:rsidR="00BC37A7" w:rsidRPr="00000FF8" w:rsidRDefault="00BC37A7" w:rsidP="00BC37A7">
      <w:pPr>
        <w:spacing w:before="120" w:after="120" w:line="276" w:lineRule="auto"/>
        <w:jc w:val="both"/>
        <w:rPr>
          <w:rFonts w:ascii="Arial" w:hAnsi="Arial" w:cs="Arial"/>
          <w:b/>
          <w:bCs/>
          <w:color w:val="AE1C1F"/>
        </w:rPr>
      </w:pPr>
      <w:r w:rsidRPr="00000FF8">
        <w:rPr>
          <w:rFonts w:ascii="Arial" w:hAnsi="Arial" w:cs="Arial"/>
          <w:b/>
          <w:bCs/>
          <w:color w:val="AE1C1F"/>
        </w:rPr>
        <w:t>Recomendaciones</w:t>
      </w:r>
    </w:p>
    <w:p w14:paraId="03D537DD" w14:textId="587A2657" w:rsidR="00BC37A7" w:rsidRPr="00000FF8" w:rsidRDefault="00BC37A7" w:rsidP="00BC37A7">
      <w:pPr>
        <w:numPr>
          <w:ilvl w:val="0"/>
          <w:numId w:val="23"/>
        </w:numPr>
        <w:spacing w:before="120" w:after="120" w:line="276" w:lineRule="auto"/>
        <w:jc w:val="both"/>
        <w:rPr>
          <w:rFonts w:ascii="Arial" w:hAnsi="Arial" w:cs="Arial"/>
          <w:lang w:val="es-ES_tradnl"/>
        </w:rPr>
      </w:pPr>
      <w:r w:rsidRPr="00000FF8">
        <w:rPr>
          <w:rFonts w:ascii="Arial" w:hAnsi="Arial" w:cs="Arial"/>
          <w:lang w:val="es-ES_tradnl"/>
        </w:rPr>
        <w:t xml:space="preserve">En caso de SIRI no debe interrumpirse el tratamiento antituberculoso ni el TAR </w:t>
      </w:r>
      <w:r w:rsidRPr="00000FF8">
        <w:rPr>
          <w:rFonts w:ascii="Arial" w:hAnsi="Arial" w:cs="Arial"/>
          <w:b/>
          <w:bCs/>
          <w:i/>
          <w:iCs/>
          <w:lang w:val="es-ES_tradnl"/>
        </w:rPr>
        <w:t>(A-III)</w:t>
      </w:r>
      <w:r w:rsidR="005652A5">
        <w:rPr>
          <w:rFonts w:ascii="Arial" w:hAnsi="Arial" w:cs="Arial"/>
          <w:b/>
          <w:bCs/>
          <w:i/>
          <w:iCs/>
          <w:lang w:val="es-ES_tradnl"/>
        </w:rPr>
        <w:t>.</w:t>
      </w:r>
    </w:p>
    <w:p w14:paraId="25CCD441" w14:textId="611DC586" w:rsidR="00BC37A7" w:rsidRPr="00000FF8" w:rsidRDefault="00BC37A7" w:rsidP="00BC37A7">
      <w:pPr>
        <w:numPr>
          <w:ilvl w:val="0"/>
          <w:numId w:val="23"/>
        </w:numPr>
        <w:spacing w:before="120" w:after="120" w:line="276" w:lineRule="auto"/>
        <w:jc w:val="both"/>
        <w:rPr>
          <w:rFonts w:ascii="Arial" w:hAnsi="Arial" w:cs="Arial"/>
          <w:lang w:val="es-ES_tradnl"/>
        </w:rPr>
      </w:pPr>
      <w:r w:rsidRPr="00000FF8">
        <w:rPr>
          <w:rFonts w:ascii="Arial" w:hAnsi="Arial" w:cs="Arial"/>
          <w:color w:val="222222"/>
          <w:highlight w:val="yellow"/>
          <w:shd w:val="clear" w:color="auto" w:fill="FFFFFF"/>
        </w:rPr>
        <w:lastRenderedPageBreak/>
        <w:t>En pacientes con TB y menos de 100 CD4/uL se recomienda administrar</w:t>
      </w:r>
      <w:r w:rsidRPr="00000FF8">
        <w:rPr>
          <w:rFonts w:ascii="Arial" w:hAnsi="Arial" w:cs="Arial"/>
          <w:color w:val="222222"/>
          <w:shd w:val="clear" w:color="auto" w:fill="FFFFFF"/>
        </w:rPr>
        <w:t xml:space="preserve"> prednisona (40 mg/día durante 2 semanas y luego 20 mg/día durante 2 semanas más) </w:t>
      </w:r>
      <w:r w:rsidRPr="00000FF8">
        <w:rPr>
          <w:rFonts w:ascii="Arial" w:hAnsi="Arial" w:cs="Arial"/>
          <w:color w:val="222222"/>
          <w:highlight w:val="yellow"/>
          <w:shd w:val="clear" w:color="auto" w:fill="FFFFFF"/>
        </w:rPr>
        <w:t>para prevenir</w:t>
      </w:r>
      <w:r w:rsidRPr="00000FF8">
        <w:rPr>
          <w:rFonts w:ascii="Arial" w:hAnsi="Arial" w:cs="Arial"/>
          <w:color w:val="222222"/>
          <w:shd w:val="clear" w:color="auto" w:fill="FFFFFF"/>
        </w:rPr>
        <w:t xml:space="preserve"> el desarrollo de SIRI </w:t>
      </w:r>
      <w:r w:rsidRPr="00000FF8">
        <w:rPr>
          <w:rFonts w:ascii="Arial" w:hAnsi="Arial" w:cs="Arial"/>
          <w:noProof/>
          <w:highlight w:val="yellow"/>
          <w:vertAlign w:val="superscript"/>
          <w:lang w:val="es-ES_tradnl"/>
        </w:rPr>
        <w:t>10</w:t>
      </w:r>
      <w:r w:rsidRPr="00000FF8">
        <w:rPr>
          <w:rFonts w:ascii="Arial" w:hAnsi="Arial" w:cs="Arial"/>
          <w:b/>
          <w:bCs/>
          <w:i/>
          <w:iCs/>
          <w:color w:val="222222"/>
          <w:shd w:val="clear" w:color="auto" w:fill="FFFFFF"/>
        </w:rPr>
        <w:t xml:space="preserve"> </w:t>
      </w:r>
      <w:r w:rsidRPr="00000FF8">
        <w:rPr>
          <w:rFonts w:ascii="Arial" w:hAnsi="Arial" w:cs="Arial"/>
          <w:b/>
          <w:i/>
          <w:color w:val="222222"/>
          <w:shd w:val="clear" w:color="auto" w:fill="FFFFFF"/>
        </w:rPr>
        <w:t>(A-I)</w:t>
      </w:r>
      <w:r w:rsidR="005652A5">
        <w:rPr>
          <w:rFonts w:ascii="Arial" w:hAnsi="Arial" w:cs="Arial"/>
          <w:b/>
          <w:i/>
          <w:color w:val="222222"/>
          <w:shd w:val="clear" w:color="auto" w:fill="FFFFFF"/>
        </w:rPr>
        <w:t>.</w:t>
      </w:r>
    </w:p>
    <w:p w14:paraId="3DF79994" w14:textId="4E2F916D" w:rsidR="00BC37A7" w:rsidRPr="00000FF8" w:rsidRDefault="00BC37A7" w:rsidP="00BC37A7">
      <w:pPr>
        <w:numPr>
          <w:ilvl w:val="0"/>
          <w:numId w:val="23"/>
        </w:numPr>
        <w:spacing w:before="120" w:after="120" w:line="276" w:lineRule="auto"/>
        <w:jc w:val="both"/>
        <w:rPr>
          <w:rFonts w:ascii="Arial" w:hAnsi="Arial" w:cs="Arial"/>
          <w:lang w:val="es-ES_tradnl"/>
        </w:rPr>
      </w:pPr>
      <w:r w:rsidRPr="00000FF8">
        <w:rPr>
          <w:rFonts w:ascii="Arial" w:hAnsi="Arial" w:cs="Arial"/>
          <w:lang w:val="es-ES_tradnl"/>
        </w:rPr>
        <w:t xml:space="preserve">Una vez desarrollado SIRI, para el manejo de los síntomas pueden añadirse antiinflamatorios no esteroideos en las formas leves o moderadas </w:t>
      </w:r>
      <w:r w:rsidRPr="00000FF8">
        <w:rPr>
          <w:rFonts w:ascii="Arial" w:hAnsi="Arial" w:cs="Arial"/>
          <w:b/>
          <w:bCs/>
          <w:i/>
          <w:iCs/>
          <w:lang w:val="es-ES_tradnl"/>
        </w:rPr>
        <w:t>(A-III)</w:t>
      </w:r>
      <w:r w:rsidRPr="00000FF8">
        <w:rPr>
          <w:rFonts w:ascii="Arial" w:hAnsi="Arial" w:cs="Arial"/>
          <w:lang w:val="es-ES_tradnl"/>
        </w:rPr>
        <w:t xml:space="preserve"> o corticosteroides en las formas graves</w:t>
      </w:r>
      <w:r w:rsidRPr="00000FF8">
        <w:rPr>
          <w:rFonts w:ascii="Arial" w:hAnsi="Arial" w:cs="Arial"/>
          <w:noProof/>
          <w:vertAlign w:val="superscript"/>
          <w:lang w:val="es-ES_tradnl"/>
        </w:rPr>
        <w:t>11</w:t>
      </w:r>
      <w:r w:rsidRPr="00000FF8">
        <w:rPr>
          <w:rFonts w:ascii="Arial" w:hAnsi="Arial" w:cs="Arial"/>
          <w:b/>
          <w:bCs/>
          <w:i/>
          <w:iCs/>
          <w:lang w:val="es-ES_tradnl"/>
        </w:rPr>
        <w:t>(A-II)</w:t>
      </w:r>
      <w:r w:rsidR="005652A5">
        <w:rPr>
          <w:rFonts w:ascii="Arial" w:hAnsi="Arial" w:cs="Arial"/>
          <w:b/>
          <w:bCs/>
          <w:i/>
          <w:iCs/>
          <w:lang w:val="es-ES_tradnl"/>
        </w:rPr>
        <w:t>.</w:t>
      </w:r>
    </w:p>
    <w:p w14:paraId="5ECBA60B" w14:textId="77777777" w:rsidR="00BC37A7" w:rsidRPr="00000FF8" w:rsidRDefault="00BC37A7" w:rsidP="00BC37A7">
      <w:pPr>
        <w:spacing w:after="200" w:line="276" w:lineRule="auto"/>
        <w:rPr>
          <w:rFonts w:ascii="Arial" w:hAnsi="Arial" w:cs="Arial"/>
        </w:rPr>
      </w:pPr>
    </w:p>
    <w:p w14:paraId="45ADE7AF" w14:textId="77777777" w:rsidR="00BC37A7" w:rsidRPr="00000FF8" w:rsidRDefault="00BC37A7" w:rsidP="00BC37A7">
      <w:pPr>
        <w:spacing w:after="200" w:line="276" w:lineRule="auto"/>
        <w:rPr>
          <w:rFonts w:ascii="Arial" w:hAnsi="Arial" w:cs="Arial"/>
        </w:rPr>
      </w:pPr>
    </w:p>
    <w:p w14:paraId="3B9E0FCC" w14:textId="77777777" w:rsidR="00BC37A7" w:rsidRDefault="00BC37A7" w:rsidP="00BC37A7">
      <w:pPr>
        <w:jc w:val="center"/>
        <w:rPr>
          <w:rFonts w:ascii="Arial" w:hAnsi="Arial" w:cs="Arial"/>
          <w:b/>
          <w:bCs/>
          <w:noProof/>
          <w:color w:val="AE1C1F"/>
        </w:rPr>
        <w:sectPr w:rsidR="00BC37A7" w:rsidSect="00FC2322">
          <w:type w:val="continuous"/>
          <w:pgSz w:w="11906" w:h="16838"/>
          <w:pgMar w:top="1417" w:right="1701" w:bottom="1417" w:left="1701" w:header="708" w:footer="708" w:gutter="0"/>
          <w:cols w:space="709"/>
          <w:docGrid w:linePitch="360"/>
        </w:sectPr>
      </w:pPr>
    </w:p>
    <w:p w14:paraId="39D0DC2D" w14:textId="77777777" w:rsidR="00BC37A7" w:rsidRPr="00000FF8" w:rsidRDefault="00BC37A7" w:rsidP="00BC37A7">
      <w:pPr>
        <w:jc w:val="center"/>
        <w:rPr>
          <w:rFonts w:ascii="Arial" w:hAnsi="Arial" w:cs="Arial"/>
          <w:b/>
          <w:bCs/>
          <w:noProof/>
          <w:color w:val="AE1C1F"/>
        </w:rPr>
      </w:pPr>
      <w:r w:rsidRPr="00000FF8">
        <w:rPr>
          <w:rFonts w:ascii="Arial" w:hAnsi="Arial" w:cs="Arial"/>
          <w:b/>
          <w:bCs/>
          <w:noProof/>
          <w:color w:val="AE1C1F"/>
        </w:rPr>
        <w:t>Referencias bibliográficas</w:t>
      </w:r>
    </w:p>
    <w:p w14:paraId="1C9B86BD" w14:textId="77777777" w:rsidR="00BC37A7" w:rsidRDefault="00BC37A7" w:rsidP="00BC37A7">
      <w:pPr>
        <w:pStyle w:val="EndNoteBibliographyTitle"/>
        <w:jc w:val="left"/>
        <w:rPr>
          <w:rFonts w:cs="Arial"/>
        </w:rPr>
        <w:sectPr w:rsidR="00BC37A7" w:rsidSect="00FC2322">
          <w:type w:val="continuous"/>
          <w:pgSz w:w="11906" w:h="16838"/>
          <w:pgMar w:top="1417" w:right="1701" w:bottom="1417" w:left="1701" w:header="708" w:footer="708" w:gutter="0"/>
          <w:cols w:space="709"/>
          <w:docGrid w:linePitch="360"/>
        </w:sectPr>
      </w:pPr>
    </w:p>
    <w:p w14:paraId="158CB2B7" w14:textId="77777777" w:rsidR="00BC37A7" w:rsidRPr="00000FF8" w:rsidRDefault="00BC37A7" w:rsidP="00BC37A7">
      <w:pPr>
        <w:pStyle w:val="EndNoteBibliographyTitle"/>
        <w:jc w:val="left"/>
        <w:rPr>
          <w:rFonts w:cs="Arial"/>
        </w:rPr>
      </w:pPr>
    </w:p>
    <w:p w14:paraId="51B0D6D8" w14:textId="77777777" w:rsidR="00BC37A7" w:rsidRPr="00000FF8" w:rsidRDefault="00BC37A7" w:rsidP="00BC37A7">
      <w:pPr>
        <w:pStyle w:val="EndNoteBibliography"/>
        <w:spacing w:before="120" w:after="120"/>
        <w:jc w:val="both"/>
        <w:rPr>
          <w:rFonts w:cs="Arial"/>
          <w:sz w:val="18"/>
          <w:szCs w:val="18"/>
        </w:rPr>
        <w:sectPr w:rsidR="00BC37A7" w:rsidRPr="00000FF8" w:rsidSect="00FC2322">
          <w:type w:val="continuous"/>
          <w:pgSz w:w="11906" w:h="16838"/>
          <w:pgMar w:top="1417" w:right="1701" w:bottom="1417" w:left="1701" w:header="708" w:footer="708" w:gutter="0"/>
          <w:cols w:num="2" w:space="709"/>
          <w:docGrid w:linePitch="360"/>
        </w:sectPr>
      </w:pPr>
    </w:p>
    <w:p w14:paraId="082EF76F" w14:textId="77777777" w:rsidR="00BC37A7" w:rsidRPr="00000FF8" w:rsidRDefault="00BC37A7" w:rsidP="00BC37A7">
      <w:pPr>
        <w:pStyle w:val="EndNoteBibliography"/>
        <w:spacing w:before="120" w:after="120"/>
        <w:jc w:val="both"/>
        <w:rPr>
          <w:rFonts w:cs="Arial"/>
          <w:sz w:val="18"/>
          <w:szCs w:val="18"/>
        </w:rPr>
      </w:pPr>
      <w:r w:rsidRPr="00000FF8">
        <w:rPr>
          <w:rFonts w:cs="Arial"/>
          <w:sz w:val="18"/>
          <w:szCs w:val="18"/>
        </w:rPr>
        <w:lastRenderedPageBreak/>
        <w:t xml:space="preserve">1. Rivero A, Pulido F (coordinadores). Recomendaciones de GESIDA sobre el tratamiento de la tuberculosis en adultos infectados por el virus de la inmunodeficiencia humana (actualizacion mayo 2018). http://www.gesida-seimc.org/wp-content/uploads/2018/08/gesida_TB_en_VIH.pdf </w:t>
      </w:r>
      <w:r w:rsidRPr="006103E1">
        <w:rPr>
          <w:rFonts w:cs="Arial"/>
          <w:sz w:val="18"/>
          <w:szCs w:val="18"/>
          <w:highlight w:val="yellow"/>
        </w:rPr>
        <w:t>(Consultado 30.11.2019)</w:t>
      </w:r>
      <w:r w:rsidRPr="00000FF8">
        <w:rPr>
          <w:rFonts w:cs="Arial"/>
          <w:sz w:val="18"/>
          <w:szCs w:val="18"/>
        </w:rPr>
        <w:t>.</w:t>
      </w:r>
    </w:p>
    <w:p w14:paraId="0CD7246F" w14:textId="77777777" w:rsidR="00BC37A7" w:rsidRPr="00000FF8" w:rsidRDefault="00BC37A7" w:rsidP="00BC37A7">
      <w:pPr>
        <w:pStyle w:val="EndNoteBibliography"/>
        <w:spacing w:before="120" w:after="120"/>
        <w:jc w:val="both"/>
        <w:rPr>
          <w:rFonts w:cs="Arial"/>
          <w:sz w:val="18"/>
          <w:szCs w:val="18"/>
          <w:lang w:val="en-US"/>
        </w:rPr>
      </w:pPr>
      <w:r w:rsidRPr="00000FF8">
        <w:rPr>
          <w:rFonts w:cs="Arial"/>
          <w:sz w:val="18"/>
          <w:szCs w:val="18"/>
          <w:lang w:val="en-US"/>
        </w:rPr>
        <w:t>2.  Abdool Karim SS, Naidoo K, Grobler A, et al. Integration of antiretroviral therapy with tuberculosis treatment. N Engl J Med 2011;365:1492-501.</w:t>
      </w:r>
    </w:p>
    <w:p w14:paraId="349D7843" w14:textId="77777777" w:rsidR="00BC37A7" w:rsidRPr="00000FF8" w:rsidRDefault="00BC37A7" w:rsidP="00BC37A7">
      <w:pPr>
        <w:pStyle w:val="EndNoteBibliography"/>
        <w:spacing w:before="120" w:after="120"/>
        <w:jc w:val="both"/>
        <w:rPr>
          <w:rFonts w:cs="Arial"/>
          <w:sz w:val="18"/>
          <w:szCs w:val="18"/>
          <w:lang w:val="en-US"/>
        </w:rPr>
      </w:pPr>
      <w:r w:rsidRPr="00000FF8">
        <w:rPr>
          <w:rFonts w:cs="Arial"/>
          <w:sz w:val="18"/>
          <w:szCs w:val="18"/>
          <w:lang w:val="en-US"/>
        </w:rPr>
        <w:t>3.  Blanc FX, Sok T, Laureillard D, et al. Earlier versus later start of antiretroviral therapy in HIV-infected adults with tuberculosis. N Engl J Med 2011;365:1471-81.</w:t>
      </w:r>
    </w:p>
    <w:p w14:paraId="181B7630" w14:textId="77777777" w:rsidR="00BC37A7" w:rsidRPr="00000FF8" w:rsidRDefault="00BC37A7" w:rsidP="00BC37A7">
      <w:pPr>
        <w:pStyle w:val="EndNoteBibliography"/>
        <w:spacing w:before="120" w:after="120"/>
        <w:jc w:val="both"/>
        <w:rPr>
          <w:rFonts w:cs="Arial"/>
          <w:sz w:val="18"/>
          <w:szCs w:val="18"/>
          <w:lang w:val="en-US"/>
        </w:rPr>
      </w:pPr>
      <w:r w:rsidRPr="00000FF8">
        <w:rPr>
          <w:rFonts w:cs="Arial"/>
          <w:sz w:val="18"/>
          <w:szCs w:val="18"/>
          <w:lang w:val="en-US"/>
        </w:rPr>
        <w:t>4.  Havlir DV, Kendall MA, Ive P, et al. Timing of antiretroviral therapy for HIV-1 infection and tuberculosis. N Engl J Med 2011;365:1482-91.</w:t>
      </w:r>
    </w:p>
    <w:p w14:paraId="7091CCBA" w14:textId="77777777" w:rsidR="00BC37A7" w:rsidRDefault="00BC37A7" w:rsidP="00BC37A7">
      <w:pPr>
        <w:pStyle w:val="Textocomentario"/>
        <w:rPr>
          <w:rFonts w:ascii="Arial" w:hAnsi="Arial" w:cs="Arial"/>
          <w:highlight w:val="yellow"/>
          <w:lang w:val="en-US"/>
        </w:rPr>
      </w:pPr>
      <w:r w:rsidRPr="00000FF8">
        <w:rPr>
          <w:rFonts w:ascii="Arial" w:hAnsi="Arial" w:cs="Arial"/>
          <w:highlight w:val="yellow"/>
          <w:lang w:val="en-US"/>
        </w:rPr>
        <w:t xml:space="preserve">5. </w:t>
      </w:r>
      <w:r w:rsidRPr="00000FF8">
        <w:rPr>
          <w:rFonts w:ascii="Arial" w:hAnsi="Arial" w:cs="Arial"/>
          <w:sz w:val="18"/>
          <w:highlight w:val="yellow"/>
          <w:lang w:val="en-US"/>
        </w:rPr>
        <w:t xml:space="preserve">Cerrone M, Alfarisi O, Neary M, et al. </w:t>
      </w:r>
      <w:r w:rsidRPr="00000FF8">
        <w:rPr>
          <w:rFonts w:ascii="Arial" w:hAnsi="Arial" w:cs="Arial"/>
          <w:sz w:val="18"/>
          <w:szCs w:val="18"/>
          <w:highlight w:val="yellow"/>
          <w:lang w:val="en-US"/>
        </w:rPr>
        <w:t xml:space="preserve">Rifampicin </w:t>
      </w:r>
      <w:r w:rsidRPr="00000FF8">
        <w:rPr>
          <w:rFonts w:ascii="Arial" w:hAnsi="Arial" w:cs="Arial"/>
          <w:sz w:val="18"/>
          <w:highlight w:val="yellow"/>
          <w:lang w:val="en-US"/>
        </w:rPr>
        <w:t xml:space="preserve"> effect on </w:t>
      </w:r>
      <w:r w:rsidRPr="00000FF8">
        <w:rPr>
          <w:rFonts w:ascii="Arial" w:hAnsi="Arial" w:cs="Arial"/>
          <w:sz w:val="18"/>
          <w:szCs w:val="18"/>
          <w:highlight w:val="yellow"/>
          <w:lang w:val="en-US"/>
        </w:rPr>
        <w:t xml:space="preserve">intracellular and plasma pharmacokinetics of </w:t>
      </w:r>
      <w:r w:rsidRPr="00000FF8">
        <w:rPr>
          <w:rFonts w:ascii="Arial" w:hAnsi="Arial" w:cs="Arial"/>
          <w:sz w:val="18"/>
          <w:highlight w:val="yellow"/>
          <w:lang w:val="en-US"/>
        </w:rPr>
        <w:t>tenofovir alafenamide</w:t>
      </w:r>
      <w:r>
        <w:rPr>
          <w:rFonts w:ascii="Arial" w:hAnsi="Arial" w:cs="Arial"/>
          <w:sz w:val="18"/>
          <w:szCs w:val="18"/>
          <w:highlight w:val="yellow"/>
          <w:lang w:val="en-US"/>
        </w:rPr>
        <w:t>. J Antimicrob Chemother 2019;74:1670-</w:t>
      </w:r>
      <w:r w:rsidRPr="00000FF8">
        <w:rPr>
          <w:rFonts w:ascii="Arial" w:hAnsi="Arial" w:cs="Arial"/>
          <w:sz w:val="18"/>
          <w:szCs w:val="18"/>
          <w:highlight w:val="yellow"/>
          <w:lang w:val="en-US"/>
        </w:rPr>
        <w:t>78</w:t>
      </w:r>
      <w:r w:rsidRPr="00000FF8">
        <w:rPr>
          <w:rFonts w:ascii="Arial" w:hAnsi="Arial" w:cs="Arial"/>
          <w:highlight w:val="yellow"/>
          <w:lang w:val="en-US"/>
        </w:rPr>
        <w:t>.</w:t>
      </w:r>
    </w:p>
    <w:p w14:paraId="2467EBBD" w14:textId="77777777" w:rsidR="00BC37A7" w:rsidRPr="005719F7" w:rsidRDefault="00BC37A7" w:rsidP="00BC37A7">
      <w:pPr>
        <w:pStyle w:val="Textocomentario"/>
        <w:rPr>
          <w:rFonts w:ascii="Arial" w:hAnsi="Arial" w:cs="Arial"/>
          <w:lang w:val="en-US"/>
        </w:rPr>
      </w:pPr>
    </w:p>
    <w:p w14:paraId="41CB885A" w14:textId="77777777" w:rsidR="00BC37A7" w:rsidRPr="00095ECF" w:rsidRDefault="00BC37A7" w:rsidP="00BC37A7">
      <w:pPr>
        <w:rPr>
          <w:rFonts w:ascii="Arial" w:hAnsi="Arial" w:cs="Arial"/>
          <w:color w:val="000000"/>
          <w:sz w:val="18"/>
          <w:szCs w:val="18"/>
          <w:lang w:val="en-US" w:eastAsia="es-ES"/>
        </w:rPr>
      </w:pPr>
      <w:r w:rsidRPr="00BC37A7">
        <w:rPr>
          <w:rFonts w:ascii="Arial" w:hAnsi="Arial" w:cs="Arial"/>
          <w:sz w:val="18"/>
          <w:szCs w:val="18"/>
          <w:highlight w:val="yellow"/>
          <w:lang w:val="en-US"/>
        </w:rPr>
        <w:t xml:space="preserve">6. </w:t>
      </w:r>
      <w:hyperlink r:id="rId65" w:history="1">
        <w:r w:rsidRPr="00BC37A7">
          <w:rPr>
            <w:rFonts w:ascii="Arial" w:hAnsi="Arial" w:cs="Arial"/>
            <w:color w:val="333333"/>
            <w:sz w:val="18"/>
            <w:szCs w:val="18"/>
            <w:highlight w:val="yellow"/>
            <w:lang w:val="en-US" w:eastAsia="es-ES"/>
          </w:rPr>
          <w:t>Dooley KE</w:t>
        </w:r>
      </w:hyperlink>
      <w:r w:rsidRPr="00BC37A7">
        <w:rPr>
          <w:rFonts w:ascii="Arial" w:hAnsi="Arial" w:cs="Arial"/>
          <w:color w:val="000000"/>
          <w:sz w:val="18"/>
          <w:szCs w:val="18"/>
          <w:highlight w:val="yellow"/>
          <w:lang w:val="en-US" w:eastAsia="es-ES"/>
        </w:rPr>
        <w:t xml:space="preserve">, </w:t>
      </w:r>
      <w:hyperlink r:id="rId66" w:history="1">
        <w:r w:rsidRPr="00BC37A7">
          <w:rPr>
            <w:rFonts w:ascii="Arial" w:hAnsi="Arial" w:cs="Arial"/>
            <w:color w:val="333333"/>
            <w:sz w:val="18"/>
            <w:szCs w:val="18"/>
            <w:highlight w:val="yellow"/>
            <w:lang w:val="en-US" w:eastAsia="es-ES"/>
          </w:rPr>
          <w:t>Kaplan R</w:t>
        </w:r>
      </w:hyperlink>
      <w:r w:rsidRPr="00BC37A7">
        <w:rPr>
          <w:rFonts w:ascii="Arial" w:hAnsi="Arial" w:cs="Arial"/>
          <w:color w:val="000000"/>
          <w:sz w:val="18"/>
          <w:szCs w:val="18"/>
          <w:highlight w:val="yellow"/>
          <w:lang w:val="en-US" w:eastAsia="es-ES"/>
        </w:rPr>
        <w:t xml:space="preserve">, </w:t>
      </w:r>
      <w:hyperlink r:id="rId67" w:history="1">
        <w:r w:rsidRPr="00BC37A7">
          <w:rPr>
            <w:rFonts w:ascii="Arial" w:hAnsi="Arial" w:cs="Arial"/>
            <w:color w:val="333333"/>
            <w:sz w:val="18"/>
            <w:szCs w:val="18"/>
            <w:highlight w:val="yellow"/>
            <w:lang w:val="en-US" w:eastAsia="es-ES"/>
          </w:rPr>
          <w:t>Mwelase N</w:t>
        </w:r>
      </w:hyperlink>
      <w:r w:rsidRPr="00BC37A7">
        <w:rPr>
          <w:rFonts w:ascii="Arial" w:hAnsi="Arial" w:cs="Arial"/>
          <w:color w:val="000000"/>
          <w:sz w:val="18"/>
          <w:szCs w:val="18"/>
          <w:highlight w:val="yellow"/>
          <w:lang w:val="en-US" w:eastAsia="es-ES"/>
        </w:rPr>
        <w:t xml:space="preserve">, et al. </w:t>
      </w:r>
      <w:r>
        <w:rPr>
          <w:rFonts w:ascii="Arial" w:hAnsi="Arial" w:cs="Arial"/>
          <w:color w:val="000000"/>
          <w:sz w:val="18"/>
          <w:szCs w:val="18"/>
          <w:highlight w:val="yellow"/>
          <w:lang w:val="en-US" w:eastAsia="es-ES"/>
        </w:rPr>
        <w:t>Dolutegravir-based antiretroviral therapy for patients co-infected with tuberculosis and HIV: a multicenter, noncomparative, o</w:t>
      </w:r>
      <w:r w:rsidRPr="00000FF8">
        <w:rPr>
          <w:rFonts w:ascii="Arial" w:hAnsi="Arial" w:cs="Arial"/>
          <w:color w:val="000000"/>
          <w:sz w:val="18"/>
          <w:szCs w:val="18"/>
          <w:highlight w:val="yellow"/>
          <w:lang w:val="en-US" w:eastAsia="es-ES"/>
        </w:rPr>
        <w:t>pe</w:t>
      </w:r>
      <w:r>
        <w:rPr>
          <w:rFonts w:ascii="Arial" w:hAnsi="Arial" w:cs="Arial"/>
          <w:color w:val="000000"/>
          <w:sz w:val="18"/>
          <w:szCs w:val="18"/>
          <w:highlight w:val="yellow"/>
          <w:lang w:val="en-US" w:eastAsia="es-ES"/>
        </w:rPr>
        <w:t>n-label, randomized t</w:t>
      </w:r>
      <w:r w:rsidRPr="00000FF8">
        <w:rPr>
          <w:rFonts w:ascii="Arial" w:hAnsi="Arial" w:cs="Arial"/>
          <w:color w:val="000000"/>
          <w:sz w:val="18"/>
          <w:szCs w:val="18"/>
          <w:highlight w:val="yellow"/>
          <w:lang w:val="en-US" w:eastAsia="es-ES"/>
        </w:rPr>
        <w:t>rial.</w:t>
      </w:r>
      <w:r>
        <w:rPr>
          <w:rFonts w:ascii="Arial" w:hAnsi="Arial" w:cs="Arial"/>
          <w:color w:val="000000"/>
          <w:sz w:val="18"/>
          <w:szCs w:val="18"/>
          <w:highlight w:val="yellow"/>
          <w:lang w:val="en-US" w:eastAsia="es-ES"/>
        </w:rPr>
        <w:t xml:space="preserve"> Clin Infect Dis 2019 Mar 28. </w:t>
      </w:r>
      <w:r>
        <w:rPr>
          <w:rFonts w:ascii="Arial" w:hAnsi="Arial" w:cs="Arial"/>
          <w:color w:val="000000"/>
          <w:sz w:val="18"/>
          <w:szCs w:val="18"/>
          <w:highlight w:val="yellow"/>
          <w:lang w:val="en-US" w:eastAsia="es-ES"/>
        </w:rPr>
        <w:t xml:space="preserve">Pii:ciz256. </w:t>
      </w:r>
      <w:r w:rsidRPr="00A93E7C">
        <w:rPr>
          <w:rFonts w:ascii="Arial" w:hAnsi="Arial" w:cs="Arial"/>
          <w:color w:val="000000"/>
          <w:sz w:val="18"/>
          <w:szCs w:val="18"/>
          <w:lang w:val="en-US" w:eastAsia="es-ES"/>
        </w:rPr>
        <w:t>doi: 10.1093/cid/ciz256. [Epub ahead of print]</w:t>
      </w:r>
    </w:p>
    <w:p w14:paraId="383AC49B" w14:textId="77777777" w:rsidR="00BC37A7" w:rsidRPr="00095ECF" w:rsidRDefault="00BC37A7" w:rsidP="00BC37A7">
      <w:pPr>
        <w:shd w:val="clear" w:color="auto" w:fill="FFFFFF"/>
        <w:rPr>
          <w:rFonts w:ascii="Arial" w:hAnsi="Arial" w:cs="Arial"/>
          <w:color w:val="333333"/>
          <w:sz w:val="18"/>
          <w:szCs w:val="18"/>
          <w:lang w:val="en-US" w:eastAsia="es-ES"/>
        </w:rPr>
      </w:pPr>
    </w:p>
    <w:p w14:paraId="419534F7" w14:textId="77777777" w:rsidR="00BC37A7" w:rsidRPr="0025431D" w:rsidRDefault="00BC37A7" w:rsidP="00BC37A7">
      <w:pPr>
        <w:shd w:val="clear" w:color="auto" w:fill="FFFFFF"/>
        <w:rPr>
          <w:rFonts w:cs="Arial"/>
          <w:strike/>
          <w:color w:val="000000" w:themeColor="text1"/>
          <w:sz w:val="18"/>
          <w:szCs w:val="18"/>
          <w:lang w:val="en-US"/>
        </w:rPr>
      </w:pPr>
      <w:r w:rsidRPr="0025431D">
        <w:rPr>
          <w:rFonts w:ascii="Arial" w:hAnsi="Arial" w:cs="Arial"/>
          <w:color w:val="000000" w:themeColor="text1"/>
          <w:sz w:val="18"/>
          <w:szCs w:val="18"/>
          <w:highlight w:val="yellow"/>
          <w:lang w:val="en-US"/>
        </w:rPr>
        <w:t xml:space="preserve">7. </w:t>
      </w:r>
      <w:r w:rsidRPr="0025431D">
        <w:rPr>
          <w:rFonts w:ascii="Arial" w:hAnsi="Arial" w:cs="Arial"/>
          <w:color w:val="000000" w:themeColor="text1"/>
          <w:sz w:val="18"/>
          <w:szCs w:val="18"/>
          <w:highlight w:val="yellow"/>
          <w:lang w:val="en-US" w:eastAsia="es-ES"/>
        </w:rPr>
        <w:t>Marcy O, Chazallon C, Messou E, Eholié S, Bhatt N et al. Virologic efficacy of raltegravir vs. efavirenz-based antiretroviral</w:t>
      </w:r>
      <w:r w:rsidRPr="0025431D">
        <w:rPr>
          <w:rFonts w:ascii="Arial" w:hAnsi="Arial" w:cs="Arial"/>
          <w:color w:val="000000" w:themeColor="text1"/>
          <w:sz w:val="18"/>
          <w:highlight w:val="yellow"/>
          <w:lang w:val="en-US"/>
        </w:rPr>
        <w:t xml:space="preserve"> treatment </w:t>
      </w:r>
      <w:r w:rsidRPr="0025431D">
        <w:rPr>
          <w:rFonts w:ascii="Arial" w:hAnsi="Arial" w:cs="Arial"/>
          <w:color w:val="000000" w:themeColor="text1"/>
          <w:sz w:val="18"/>
          <w:szCs w:val="18"/>
          <w:highlight w:val="yellow"/>
          <w:lang w:val="en-US" w:eastAsia="es-ES"/>
        </w:rPr>
        <w:t>in HIV1</w:t>
      </w:r>
      <w:r w:rsidRPr="0025431D">
        <w:rPr>
          <w:rFonts w:ascii="Arial" w:hAnsi="Arial" w:cs="Arial"/>
          <w:color w:val="000000" w:themeColor="text1"/>
          <w:sz w:val="18"/>
          <w:highlight w:val="yellow"/>
          <w:lang w:val="en-US"/>
        </w:rPr>
        <w:t xml:space="preserve">-infected </w:t>
      </w:r>
      <w:r w:rsidRPr="0025431D">
        <w:rPr>
          <w:rFonts w:ascii="Arial" w:hAnsi="Arial" w:cs="Arial"/>
          <w:color w:val="000000" w:themeColor="text1"/>
          <w:sz w:val="18"/>
          <w:szCs w:val="18"/>
          <w:highlight w:val="yellow"/>
          <w:lang w:val="en-US" w:eastAsia="es-ES"/>
        </w:rPr>
        <w:t xml:space="preserve">adults </w:t>
      </w:r>
      <w:r w:rsidRPr="0025431D">
        <w:rPr>
          <w:rFonts w:ascii="Arial" w:hAnsi="Arial" w:cs="Arial"/>
          <w:color w:val="000000" w:themeColor="text1"/>
          <w:sz w:val="18"/>
          <w:highlight w:val="yellow"/>
          <w:lang w:val="en-US"/>
        </w:rPr>
        <w:t>with tuberculosis</w:t>
      </w:r>
      <w:r w:rsidRPr="0025431D">
        <w:rPr>
          <w:rFonts w:ascii="Arial" w:hAnsi="Arial" w:cs="Arial"/>
          <w:color w:val="000000" w:themeColor="text1"/>
          <w:sz w:val="18"/>
          <w:szCs w:val="18"/>
          <w:highlight w:val="yellow"/>
          <w:lang w:val="en-US" w:eastAsia="es-ES"/>
        </w:rPr>
        <w:t xml:space="preserve">: W48 results of the </w:t>
      </w:r>
      <w:r w:rsidRPr="0025431D">
        <w:rPr>
          <w:rFonts w:ascii="Arial" w:hAnsi="Arial" w:cs="Arial"/>
          <w:color w:val="000000" w:themeColor="text1"/>
          <w:sz w:val="18"/>
          <w:highlight w:val="yellow"/>
          <w:lang w:val="en-US"/>
        </w:rPr>
        <w:t>ANRS 1</w:t>
      </w:r>
      <w:r w:rsidRPr="0025431D">
        <w:rPr>
          <w:rFonts w:ascii="Arial" w:hAnsi="Arial" w:cs="Arial"/>
          <w:color w:val="000000" w:themeColor="text1"/>
          <w:sz w:val="18"/>
          <w:szCs w:val="18"/>
          <w:highlight w:val="yellow"/>
          <w:lang w:val="en-US" w:eastAsia="es-ES"/>
        </w:rPr>
        <w:t>2300</w:t>
      </w:r>
      <w:r w:rsidRPr="0025431D">
        <w:rPr>
          <w:rFonts w:ascii="Arial" w:hAnsi="Arial" w:cs="Arial"/>
          <w:color w:val="000000" w:themeColor="text1"/>
          <w:sz w:val="18"/>
          <w:highlight w:val="yellow"/>
          <w:lang w:val="en-US"/>
        </w:rPr>
        <w:t xml:space="preserve"> Reflate </w:t>
      </w:r>
      <w:r w:rsidRPr="0025431D">
        <w:rPr>
          <w:rFonts w:ascii="Arial" w:hAnsi="Arial" w:cs="Arial"/>
          <w:color w:val="000000" w:themeColor="text1"/>
          <w:sz w:val="18"/>
          <w:szCs w:val="18"/>
          <w:highlight w:val="yellow"/>
          <w:lang w:val="en-US" w:eastAsia="es-ES"/>
        </w:rPr>
        <w:t>TB2</w:t>
      </w:r>
      <w:r w:rsidRPr="0025431D">
        <w:rPr>
          <w:rFonts w:ascii="Arial" w:hAnsi="Arial" w:cs="Arial"/>
          <w:color w:val="000000" w:themeColor="text1"/>
          <w:sz w:val="18"/>
          <w:highlight w:val="yellow"/>
          <w:lang w:val="en-US"/>
        </w:rPr>
        <w:t xml:space="preserve"> trial</w:t>
      </w:r>
    </w:p>
    <w:p w14:paraId="141DCC96" w14:textId="77777777" w:rsidR="00BC37A7" w:rsidRPr="00095ECF" w:rsidRDefault="00BC37A7" w:rsidP="00BC37A7">
      <w:pPr>
        <w:shd w:val="clear" w:color="auto" w:fill="FFFFFF"/>
        <w:rPr>
          <w:rFonts w:ascii="Arial" w:hAnsi="Arial" w:cs="Arial"/>
          <w:i/>
          <w:color w:val="AE1C1F"/>
          <w:sz w:val="18"/>
          <w:szCs w:val="18"/>
          <w:lang w:val="en-US" w:eastAsia="en-US"/>
        </w:rPr>
      </w:pPr>
      <w:r w:rsidRPr="0025431D">
        <w:rPr>
          <w:rFonts w:ascii="Arial" w:hAnsi="Arial" w:cs="Arial"/>
          <w:color w:val="000000" w:themeColor="text1"/>
          <w:sz w:val="18"/>
          <w:szCs w:val="18"/>
          <w:highlight w:val="yellow"/>
          <w:lang w:val="en-US"/>
        </w:rPr>
        <w:t>1</w:t>
      </w:r>
      <w:r w:rsidRPr="0025431D">
        <w:rPr>
          <w:rFonts w:ascii="Arial" w:hAnsi="Arial" w:cs="Arial"/>
          <w:color w:val="000000" w:themeColor="text1"/>
          <w:sz w:val="18"/>
          <w:szCs w:val="18"/>
          <w:highlight w:val="yellow"/>
          <w:lang w:val="en-US" w:eastAsia="es-ES"/>
        </w:rPr>
        <w:t>0th IAS Conference on HIV Science. Mexico 21-24 July 2019</w:t>
      </w:r>
      <w:r w:rsidRPr="0025431D">
        <w:rPr>
          <w:rFonts w:ascii="Arial" w:hAnsi="Arial" w:cs="Arial"/>
          <w:iCs/>
          <w:color w:val="000000" w:themeColor="text1"/>
          <w:sz w:val="18"/>
          <w:szCs w:val="18"/>
          <w:highlight w:val="yellow"/>
          <w:lang w:val="en-US" w:eastAsia="en-US"/>
        </w:rPr>
        <w:t>Abstract# MOAB0101</w:t>
      </w:r>
    </w:p>
    <w:p w14:paraId="563E5CB3" w14:textId="77777777" w:rsidR="00BC37A7" w:rsidRPr="00000FF8" w:rsidRDefault="00BC37A7" w:rsidP="00BC37A7">
      <w:pPr>
        <w:pStyle w:val="EndNoteBibliography"/>
        <w:spacing w:before="120" w:after="120"/>
        <w:jc w:val="both"/>
        <w:rPr>
          <w:rFonts w:cs="Arial"/>
          <w:color w:val="000000"/>
          <w:sz w:val="18"/>
          <w:shd w:val="clear" w:color="auto" w:fill="FFFFFF"/>
          <w:lang w:val="en-US"/>
        </w:rPr>
      </w:pPr>
      <w:r w:rsidRPr="00000FF8">
        <w:rPr>
          <w:rFonts w:cs="Arial"/>
          <w:sz w:val="18"/>
          <w:szCs w:val="18"/>
          <w:highlight w:val="yellow"/>
          <w:lang w:val="en-US"/>
        </w:rPr>
        <w:t>8</w:t>
      </w:r>
      <w:r w:rsidRPr="00000FF8">
        <w:rPr>
          <w:rFonts w:cs="Arial"/>
          <w:color w:val="000000"/>
          <w:sz w:val="18"/>
          <w:highlight w:val="yellow"/>
          <w:lang w:val="en-US"/>
        </w:rPr>
        <w:t>.</w:t>
      </w:r>
      <w:r w:rsidRPr="00000FF8">
        <w:rPr>
          <w:rFonts w:cs="Arial"/>
          <w:color w:val="000000"/>
          <w:sz w:val="18"/>
          <w:lang w:val="en-US"/>
        </w:rPr>
        <w:t xml:space="preserve"> Custodio JM, West SK, Collins S, et al. Pharmacokinetics of bictegravir administered twice daily in combination with rifampin.</w:t>
      </w:r>
      <w:r w:rsidRPr="00000FF8">
        <w:rPr>
          <w:rFonts w:cs="Arial"/>
          <w:sz w:val="18"/>
          <w:lang w:val="en-US"/>
        </w:rPr>
        <w:t xml:space="preserve"> 25th CROI. Boston. 4–7 March 2018. Abstract 33</w:t>
      </w:r>
      <w:r w:rsidRPr="00000FF8">
        <w:rPr>
          <w:rFonts w:cs="Arial"/>
          <w:color w:val="000000"/>
          <w:sz w:val="18"/>
          <w:szCs w:val="18"/>
          <w:shd w:val="clear" w:color="auto" w:fill="FFFFFF"/>
          <w:lang w:val="en-US"/>
        </w:rPr>
        <w:t>.</w:t>
      </w:r>
    </w:p>
    <w:p w14:paraId="3177206F" w14:textId="77777777" w:rsidR="00BC37A7" w:rsidRPr="00000FF8" w:rsidRDefault="00BC37A7" w:rsidP="00BC37A7">
      <w:pPr>
        <w:jc w:val="both"/>
        <w:rPr>
          <w:rFonts w:ascii="Arial" w:hAnsi="Arial" w:cs="Arial"/>
          <w:color w:val="000000"/>
          <w:sz w:val="18"/>
          <w:szCs w:val="18"/>
          <w:shd w:val="clear" w:color="auto" w:fill="FFFFFF"/>
          <w:lang w:val="en-US"/>
        </w:rPr>
      </w:pPr>
    </w:p>
    <w:p w14:paraId="42242142" w14:textId="77777777" w:rsidR="00BC37A7" w:rsidRDefault="00BC37A7" w:rsidP="00BC37A7">
      <w:pPr>
        <w:rPr>
          <w:rFonts w:ascii="Arial" w:hAnsi="Arial" w:cs="Arial"/>
          <w:sz w:val="18"/>
          <w:szCs w:val="18"/>
          <w:highlight w:val="yellow"/>
          <w:lang w:val="en-US"/>
        </w:rPr>
      </w:pPr>
      <w:r w:rsidRPr="00000FF8">
        <w:rPr>
          <w:rFonts w:ascii="Arial" w:hAnsi="Arial" w:cs="Arial"/>
          <w:sz w:val="18"/>
          <w:szCs w:val="18"/>
          <w:highlight w:val="yellow"/>
          <w:lang w:val="en-US"/>
        </w:rPr>
        <w:t>9. Ford SL, Sutton K, Lou Y, Zhang, Z, Tenorio</w:t>
      </w:r>
      <w:r>
        <w:rPr>
          <w:rFonts w:ascii="Arial" w:hAnsi="Arial" w:cs="Arial"/>
          <w:sz w:val="18"/>
          <w:szCs w:val="18"/>
          <w:highlight w:val="yellow"/>
          <w:lang w:val="en-US"/>
        </w:rPr>
        <w:t xml:space="preserve"> A, Trezza C, et al. Effect of rifampin on the single-dose pharmacokinetics of oral cabotegravir in healthy s</w:t>
      </w:r>
      <w:r w:rsidRPr="00000FF8">
        <w:rPr>
          <w:rFonts w:ascii="Arial" w:hAnsi="Arial" w:cs="Arial"/>
          <w:sz w:val="18"/>
          <w:szCs w:val="18"/>
          <w:highlight w:val="yellow"/>
          <w:lang w:val="en-US"/>
        </w:rPr>
        <w:t>ubjec</w:t>
      </w:r>
      <w:r>
        <w:rPr>
          <w:rFonts w:ascii="Arial" w:hAnsi="Arial" w:cs="Arial"/>
          <w:sz w:val="18"/>
          <w:szCs w:val="18"/>
          <w:highlight w:val="yellow"/>
          <w:lang w:val="en-US"/>
        </w:rPr>
        <w:t>ts. Antimicrob Agents Chemother 2017; 61. pii:</w:t>
      </w:r>
      <w:r w:rsidRPr="00000FF8">
        <w:rPr>
          <w:rFonts w:ascii="Arial" w:hAnsi="Arial" w:cs="Arial"/>
          <w:sz w:val="18"/>
          <w:szCs w:val="18"/>
          <w:highlight w:val="yellow"/>
          <w:lang w:val="en-US"/>
        </w:rPr>
        <w:t>e00487-17.</w:t>
      </w:r>
    </w:p>
    <w:p w14:paraId="7F1CC022" w14:textId="77777777" w:rsidR="00BC37A7" w:rsidRPr="0025431D" w:rsidRDefault="00BC37A7" w:rsidP="00BC37A7">
      <w:pPr>
        <w:rPr>
          <w:rFonts w:ascii="Arial" w:hAnsi="Arial" w:cs="Arial"/>
          <w:sz w:val="18"/>
          <w:szCs w:val="18"/>
          <w:lang w:val="en-US"/>
        </w:rPr>
      </w:pPr>
    </w:p>
    <w:p w14:paraId="0D03CC6B" w14:textId="77777777" w:rsidR="00BC37A7" w:rsidRDefault="00BC37A7" w:rsidP="00BC37A7">
      <w:pPr>
        <w:rPr>
          <w:rFonts w:ascii="Arial" w:hAnsi="Arial" w:cs="Arial"/>
          <w:sz w:val="18"/>
          <w:highlight w:val="yellow"/>
          <w:lang w:val="en-US"/>
        </w:rPr>
      </w:pPr>
      <w:r w:rsidRPr="00000FF8">
        <w:rPr>
          <w:rFonts w:ascii="Arial" w:hAnsi="Arial" w:cs="Arial"/>
          <w:sz w:val="20"/>
          <w:szCs w:val="20"/>
          <w:highlight w:val="yellow"/>
          <w:lang w:val="en-US"/>
        </w:rPr>
        <w:t>10.</w:t>
      </w:r>
      <w:r w:rsidRPr="00000FF8">
        <w:rPr>
          <w:rFonts w:ascii="Arial" w:hAnsi="Arial" w:cs="Arial"/>
          <w:sz w:val="18"/>
          <w:highlight w:val="yellow"/>
          <w:lang w:val="en-US"/>
        </w:rPr>
        <w:t xml:space="preserve">Meintjes G, Stek C, Blumenthal L, </w:t>
      </w:r>
      <w:r w:rsidRPr="00000FF8">
        <w:rPr>
          <w:rFonts w:ascii="Arial" w:hAnsi="Arial" w:cs="Arial"/>
          <w:sz w:val="18"/>
          <w:szCs w:val="18"/>
          <w:highlight w:val="yellow"/>
          <w:lang w:val="en-US"/>
        </w:rPr>
        <w:t>et al. Prednisone</w:t>
      </w:r>
      <w:r w:rsidRPr="00000FF8">
        <w:rPr>
          <w:rFonts w:ascii="Arial" w:hAnsi="Arial" w:cs="Arial"/>
          <w:sz w:val="18"/>
          <w:highlight w:val="yellow"/>
          <w:lang w:val="en-US"/>
        </w:rPr>
        <w:t xml:space="preserve"> for </w:t>
      </w:r>
      <w:r>
        <w:rPr>
          <w:rFonts w:ascii="Arial" w:hAnsi="Arial" w:cs="Arial"/>
          <w:sz w:val="18"/>
          <w:szCs w:val="18"/>
          <w:highlight w:val="yellow"/>
          <w:lang w:val="en-US"/>
        </w:rPr>
        <w:t>the prevention of paradoxical tuberculosis-a</w:t>
      </w:r>
      <w:r w:rsidRPr="00000FF8">
        <w:rPr>
          <w:rFonts w:ascii="Arial" w:hAnsi="Arial" w:cs="Arial"/>
          <w:sz w:val="18"/>
          <w:szCs w:val="18"/>
          <w:highlight w:val="yellow"/>
          <w:lang w:val="en-US"/>
        </w:rPr>
        <w:t xml:space="preserve">ssociated </w:t>
      </w:r>
      <w:r w:rsidRPr="00000FF8">
        <w:rPr>
          <w:rFonts w:ascii="Arial" w:hAnsi="Arial" w:cs="Arial"/>
          <w:sz w:val="18"/>
          <w:highlight w:val="yellow"/>
          <w:lang w:val="en-US"/>
        </w:rPr>
        <w:t xml:space="preserve">IRIS. </w:t>
      </w:r>
      <w:r>
        <w:rPr>
          <w:rFonts w:ascii="Arial" w:hAnsi="Arial" w:cs="Arial"/>
          <w:sz w:val="18"/>
          <w:szCs w:val="18"/>
          <w:highlight w:val="yellow"/>
          <w:lang w:val="en-US"/>
        </w:rPr>
        <w:t>N Engl J Med 2018; 379:1915-</w:t>
      </w:r>
      <w:r w:rsidRPr="00000FF8">
        <w:rPr>
          <w:rFonts w:ascii="Arial" w:hAnsi="Arial" w:cs="Arial"/>
          <w:sz w:val="18"/>
          <w:szCs w:val="18"/>
          <w:highlight w:val="yellow"/>
          <w:lang w:val="en-US"/>
        </w:rPr>
        <w:t>25</w:t>
      </w:r>
      <w:r w:rsidRPr="00000FF8">
        <w:rPr>
          <w:rFonts w:ascii="Arial" w:hAnsi="Arial" w:cs="Arial"/>
          <w:sz w:val="18"/>
          <w:highlight w:val="yellow"/>
          <w:lang w:val="en-US"/>
        </w:rPr>
        <w:t>.</w:t>
      </w:r>
    </w:p>
    <w:p w14:paraId="65C5E648" w14:textId="77777777" w:rsidR="00BC37A7" w:rsidRPr="00000FF8" w:rsidRDefault="00BC37A7" w:rsidP="00BC37A7">
      <w:pPr>
        <w:rPr>
          <w:rFonts w:ascii="Arial" w:hAnsi="Arial" w:cs="Arial"/>
          <w:sz w:val="18"/>
          <w:lang w:val="en-US"/>
        </w:rPr>
      </w:pPr>
    </w:p>
    <w:p w14:paraId="742047F2" w14:textId="77777777" w:rsidR="00BC37A7" w:rsidRPr="00FC2322" w:rsidRDefault="00BC37A7" w:rsidP="00BC37A7">
      <w:pPr>
        <w:rPr>
          <w:rFonts w:ascii="Arial" w:eastAsia="Calibri" w:hAnsi="Arial" w:cs="Arial"/>
          <w:noProof/>
          <w:sz w:val="18"/>
          <w:szCs w:val="18"/>
        </w:rPr>
      </w:pPr>
      <w:r w:rsidRPr="0025431D">
        <w:rPr>
          <w:rFonts w:ascii="Arial" w:eastAsia="Calibri" w:hAnsi="Arial" w:cs="Arial"/>
          <w:noProof/>
          <w:sz w:val="18"/>
          <w:szCs w:val="18"/>
          <w:lang w:val="en-US"/>
        </w:rPr>
        <w:t xml:space="preserve">11.  Meintjes G, Wilkinson RJ, Morroni C, et al. Randomized placebo-controlled trial of prednisone for paradoxical tuberculosis-associated immune reconstitution inflammatory syndrome. </w:t>
      </w:r>
      <w:r w:rsidRPr="00FC2322">
        <w:rPr>
          <w:rFonts w:ascii="Arial" w:eastAsia="Calibri" w:hAnsi="Arial" w:cs="Arial"/>
          <w:noProof/>
          <w:sz w:val="18"/>
          <w:szCs w:val="18"/>
        </w:rPr>
        <w:t>AIDS 2010;24:2381-90.</w:t>
      </w:r>
    </w:p>
    <w:p w14:paraId="15750F6B" w14:textId="77777777" w:rsidR="00BC37A7" w:rsidRDefault="00BC37A7" w:rsidP="00BC37A7">
      <w:pPr>
        <w:sectPr w:rsidR="00BC37A7" w:rsidSect="00FC2322">
          <w:headerReference w:type="default" r:id="rId68"/>
          <w:footerReference w:type="default" r:id="rId69"/>
          <w:pgSz w:w="11906" w:h="16838"/>
          <w:pgMar w:top="1417" w:right="1701" w:bottom="1417" w:left="1701" w:header="708" w:footer="708" w:gutter="0"/>
          <w:cols w:num="2" w:space="709"/>
          <w:docGrid w:linePitch="360"/>
        </w:sectPr>
      </w:pPr>
    </w:p>
    <w:p w14:paraId="46DD4321" w14:textId="77777777" w:rsidR="00BC37A7" w:rsidRDefault="00BC37A7" w:rsidP="00BC37A7"/>
    <w:p w14:paraId="49A8AA59" w14:textId="40FA3756" w:rsidR="002C1648" w:rsidRPr="007F2D51" w:rsidRDefault="007F2D51" w:rsidP="007F2D51">
      <w:pPr>
        <w:rPr>
          <w:rFonts w:ascii="Arial" w:hAnsi="Arial" w:cs="Arial"/>
          <w:b/>
          <w:color w:val="333333"/>
          <w:sz w:val="21"/>
        </w:rPr>
      </w:pPr>
      <w:r>
        <w:rPr>
          <w:rFonts w:ascii="Arial" w:hAnsi="Arial" w:cs="Arial"/>
          <w:b/>
          <w:color w:val="333333"/>
          <w:sz w:val="21"/>
        </w:rPr>
        <w:br w:type="page"/>
      </w:r>
    </w:p>
    <w:p w14:paraId="6D42923B" w14:textId="77777777" w:rsidR="00FC2322" w:rsidRPr="003F3B0A" w:rsidRDefault="00FC2322" w:rsidP="00FC2322">
      <w:pPr>
        <w:spacing w:before="120" w:after="120" w:line="276" w:lineRule="auto"/>
        <w:rPr>
          <w:rFonts w:ascii="Arial" w:hAnsi="Arial" w:cs="Arial"/>
          <w:i/>
          <w:color w:val="AE1C1F"/>
          <w:lang w:val="es-ES_tradnl" w:eastAsia="en-US"/>
        </w:rPr>
      </w:pPr>
      <w:r w:rsidRPr="003F3B0A">
        <w:rPr>
          <w:rFonts w:ascii="Arial" w:hAnsi="Arial" w:cs="Arial"/>
          <w:i/>
          <w:color w:val="AE1C1F"/>
          <w:lang w:eastAsia="en-US"/>
        </w:rPr>
        <w:lastRenderedPageBreak/>
        <w:t xml:space="preserve">7.4.3. </w:t>
      </w:r>
      <w:r w:rsidRPr="003F3B0A">
        <w:rPr>
          <w:rFonts w:ascii="Arial" w:hAnsi="Arial" w:cs="Arial"/>
          <w:i/>
          <w:color w:val="AE1C1F"/>
          <w:lang w:val="es-ES_tradnl" w:eastAsia="en-US"/>
        </w:rPr>
        <w:t>Uso de TAR en pacientes con insuficiencia renal</w:t>
      </w:r>
    </w:p>
    <w:p w14:paraId="2DF0D221" w14:textId="77777777" w:rsidR="00FC2322" w:rsidRPr="003F3B0A" w:rsidRDefault="00FC2322" w:rsidP="00FC2322">
      <w:p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La insuficiencia renal crónica es frecuente en la población infectada por </w:t>
      </w:r>
      <w:r>
        <w:rPr>
          <w:rFonts w:ascii="Arial" w:hAnsi="Arial" w:cs="Arial"/>
          <w:lang w:val="es-ES_tradnl" w:eastAsia="en-US"/>
        </w:rPr>
        <w:t xml:space="preserve">el </w:t>
      </w:r>
      <w:r w:rsidRPr="003F3B0A">
        <w:rPr>
          <w:rFonts w:ascii="Arial" w:hAnsi="Arial" w:cs="Arial"/>
          <w:lang w:val="es-ES_tradnl" w:eastAsia="en-US"/>
        </w:rPr>
        <w:t>VIH y se sitúa alrededor del 12%</w:t>
      </w:r>
      <w:r w:rsidRPr="003F3B0A">
        <w:rPr>
          <w:rFonts w:ascii="Arial" w:hAnsi="Arial" w:cs="Arial"/>
          <w:vertAlign w:val="superscript"/>
          <w:lang w:val="es-ES_tradnl" w:eastAsia="en-US"/>
        </w:rPr>
        <w:t>1</w:t>
      </w:r>
      <w:r w:rsidRPr="003F3B0A">
        <w:rPr>
          <w:rFonts w:ascii="Arial" w:hAnsi="Arial" w:cs="Arial"/>
          <w:lang w:val="es-ES_tradnl" w:eastAsia="en-US"/>
        </w:rPr>
        <w:t>. La función renal se estima mediante la ecuación CKD-EPI, que se considera el método de elección actual</w:t>
      </w:r>
      <w:r w:rsidRPr="003F3B0A">
        <w:rPr>
          <w:rFonts w:ascii="Arial" w:hAnsi="Arial" w:cs="Arial"/>
          <w:vertAlign w:val="superscript"/>
          <w:lang w:val="es-ES_tradnl" w:eastAsia="en-US"/>
        </w:rPr>
        <w:t>2</w:t>
      </w:r>
      <w:r w:rsidRPr="003F3B0A">
        <w:rPr>
          <w:rFonts w:ascii="Arial" w:hAnsi="Arial" w:cs="Arial"/>
          <w:lang w:val="es-ES_tradnl" w:eastAsia="en-US"/>
        </w:rPr>
        <w:t xml:space="preserve">. Para una visión completa del diagnóstico, prevención y tratamiento de las alteraciones renales en pacientes con infección por </w:t>
      </w:r>
      <w:r>
        <w:rPr>
          <w:rFonts w:ascii="Arial" w:hAnsi="Arial" w:cs="Arial"/>
          <w:lang w:val="es-ES_tradnl" w:eastAsia="en-US"/>
        </w:rPr>
        <w:t xml:space="preserve">el </w:t>
      </w:r>
      <w:r w:rsidRPr="003F3B0A">
        <w:rPr>
          <w:rFonts w:ascii="Arial" w:hAnsi="Arial" w:cs="Arial"/>
          <w:lang w:val="es-ES_tradnl" w:eastAsia="en-US"/>
        </w:rPr>
        <w:t xml:space="preserve">VIH se recomienda consultar el documento de consenso </w:t>
      </w:r>
      <w:r w:rsidRPr="003F3B0A">
        <w:rPr>
          <w:rFonts w:ascii="Arial" w:hAnsi="Arial" w:cs="Arial"/>
          <w:i/>
          <w:lang w:val="es-ES_tradnl" w:eastAsia="en-US"/>
        </w:rPr>
        <w:t>ad hoc</w:t>
      </w:r>
      <w:r w:rsidRPr="003F3B0A">
        <w:rPr>
          <w:rFonts w:ascii="Arial" w:hAnsi="Arial" w:cs="Arial"/>
          <w:lang w:val="es-ES_tradnl" w:eastAsia="en-US"/>
        </w:rPr>
        <w:t xml:space="preserve"> elaborado por Gesida, la SEN y la SEQC</w:t>
      </w:r>
      <w:r w:rsidRPr="003F3B0A">
        <w:rPr>
          <w:rFonts w:ascii="Arial" w:hAnsi="Arial" w:cs="Arial"/>
          <w:noProof/>
          <w:vertAlign w:val="superscript"/>
          <w:lang w:val="es-ES_tradnl" w:eastAsia="en-US"/>
        </w:rPr>
        <w:t xml:space="preserve">3 </w:t>
      </w:r>
      <w:r w:rsidRPr="003F3B0A">
        <w:rPr>
          <w:rFonts w:ascii="Arial" w:hAnsi="Arial" w:cs="Arial"/>
          <w:lang w:val="es-ES_tradnl" w:eastAsia="en-US"/>
        </w:rPr>
        <w:t>y alguna revisión específica posterior a su publicación</w:t>
      </w:r>
      <w:r w:rsidRPr="003F3B0A">
        <w:rPr>
          <w:rFonts w:ascii="Arial" w:hAnsi="Arial" w:cs="Arial"/>
          <w:noProof/>
          <w:vertAlign w:val="superscript"/>
          <w:lang w:val="es-ES_tradnl" w:eastAsia="en-US"/>
        </w:rPr>
        <w:t>4</w:t>
      </w:r>
      <w:r w:rsidRPr="003F3B0A">
        <w:rPr>
          <w:rFonts w:ascii="Arial" w:hAnsi="Arial" w:cs="Arial"/>
          <w:lang w:val="es-ES_tradnl" w:eastAsia="en-US"/>
        </w:rPr>
        <w:t>. La dosificación de los fármacos según el FGe se expone en la Tabla 12.</w:t>
      </w:r>
    </w:p>
    <w:p w14:paraId="0AB9F6A9" w14:textId="77777777" w:rsidR="00FC2322" w:rsidRPr="003F3B0A" w:rsidRDefault="00FC2322" w:rsidP="00FC2322">
      <w:pPr>
        <w:spacing w:before="120" w:after="120" w:line="276" w:lineRule="auto"/>
        <w:jc w:val="both"/>
        <w:rPr>
          <w:rFonts w:ascii="Arial" w:hAnsi="Arial" w:cs="Arial"/>
          <w:b/>
          <w:color w:val="AE1C1F"/>
          <w:lang w:val="es-ES_tradnl" w:eastAsia="en-US"/>
        </w:rPr>
      </w:pPr>
    </w:p>
    <w:p w14:paraId="1B386D7D" w14:textId="77777777" w:rsidR="00FC2322" w:rsidRPr="003F3B0A" w:rsidRDefault="00FC2322" w:rsidP="00FC2322">
      <w:pPr>
        <w:spacing w:before="120" w:after="120" w:line="276" w:lineRule="auto"/>
        <w:jc w:val="both"/>
        <w:rPr>
          <w:rFonts w:ascii="Arial" w:hAnsi="Arial" w:cs="Arial"/>
          <w:b/>
          <w:color w:val="AE1C1F"/>
          <w:lang w:val="es-ES_tradnl" w:eastAsia="en-US"/>
        </w:rPr>
      </w:pPr>
      <w:r w:rsidRPr="003F3B0A">
        <w:rPr>
          <w:rFonts w:ascii="Arial" w:hAnsi="Arial" w:cs="Arial"/>
          <w:b/>
          <w:color w:val="AE1C1F"/>
          <w:lang w:val="es-ES_tradnl" w:eastAsia="en-US"/>
        </w:rPr>
        <w:t>Recomendaciones</w:t>
      </w:r>
    </w:p>
    <w:p w14:paraId="5ECD21CF" w14:textId="68CDF6D1"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Es necesario ajustar las dosis de los ITIAN, excepto en el caso de ABC </w:t>
      </w:r>
      <w:r w:rsidRPr="003F3B0A">
        <w:rPr>
          <w:rFonts w:ascii="Arial" w:hAnsi="Arial" w:cs="Arial"/>
          <w:b/>
          <w:i/>
          <w:lang w:val="es-ES_tradnl" w:eastAsia="en-US"/>
        </w:rPr>
        <w:t>(A-II)</w:t>
      </w:r>
      <w:r w:rsidR="00976CB2">
        <w:rPr>
          <w:rFonts w:ascii="Arial" w:hAnsi="Arial" w:cs="Arial"/>
          <w:b/>
          <w:i/>
          <w:lang w:val="es-ES_tradnl" w:eastAsia="en-US"/>
        </w:rPr>
        <w:t>.</w:t>
      </w:r>
    </w:p>
    <w:p w14:paraId="7E96F463" w14:textId="40829FA5"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No se requiere ajuste de dosis para los ITINN, IP, ENF ni para los INI RAL</w:t>
      </w:r>
      <w:r w:rsidRPr="003F3B0A">
        <w:rPr>
          <w:rFonts w:ascii="Arial" w:hAnsi="Arial" w:cs="Arial"/>
          <w:color w:val="FF0000"/>
          <w:lang w:val="es-ES_tradnl" w:eastAsia="en-US"/>
        </w:rPr>
        <w:t xml:space="preserve"> </w:t>
      </w:r>
      <w:r w:rsidRPr="003F3B0A">
        <w:rPr>
          <w:rFonts w:ascii="Arial" w:hAnsi="Arial" w:cs="Arial"/>
          <w:lang w:val="es-ES_tradnl" w:eastAsia="en-US"/>
        </w:rPr>
        <w:t xml:space="preserve">o DTG </w:t>
      </w:r>
      <w:r w:rsidRPr="003F3B0A">
        <w:rPr>
          <w:rFonts w:ascii="Arial" w:hAnsi="Arial" w:cs="Arial"/>
          <w:b/>
          <w:i/>
          <w:lang w:val="es-ES_tradnl" w:eastAsia="en-US"/>
        </w:rPr>
        <w:t>(A-II)</w:t>
      </w:r>
      <w:r w:rsidR="00976CB2">
        <w:rPr>
          <w:rFonts w:ascii="Arial" w:hAnsi="Arial" w:cs="Arial"/>
          <w:b/>
          <w:i/>
          <w:lang w:val="es-ES_tradnl" w:eastAsia="en-US"/>
        </w:rPr>
        <w:t>.</w:t>
      </w:r>
    </w:p>
    <w:p w14:paraId="002A7347" w14:textId="6E33501C"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MVC requiere ajuste de dosis si se emplea en combinación con inhibidores potentes del CYP3A4, como los IP, ketoconazol, itraconazol, claritromicina y telitromicina </w:t>
      </w:r>
      <w:r w:rsidRPr="003F3B0A">
        <w:rPr>
          <w:rFonts w:ascii="Arial" w:hAnsi="Arial" w:cs="Arial"/>
          <w:b/>
          <w:i/>
          <w:lang w:val="es-ES_tradnl" w:eastAsia="en-US"/>
        </w:rPr>
        <w:t>(A-II)</w:t>
      </w:r>
      <w:r w:rsidR="00976CB2">
        <w:rPr>
          <w:rFonts w:ascii="Arial" w:hAnsi="Arial" w:cs="Arial"/>
          <w:b/>
          <w:i/>
          <w:lang w:val="es-ES_tradnl" w:eastAsia="en-US"/>
        </w:rPr>
        <w:t>.</w:t>
      </w:r>
    </w:p>
    <w:p w14:paraId="77952143" w14:textId="419533D7"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w:t>
      </w:r>
      <w:r w:rsidRPr="00084FA0">
        <w:rPr>
          <w:rFonts w:ascii="Arial" w:hAnsi="Arial" w:cs="Arial"/>
          <w:lang w:val="es-ES_tradnl" w:eastAsia="en-US"/>
        </w:rPr>
        <w:t>general se desaconseja el uso de co-formulaciones de FAR, en los que alguno de los fármacos precise ajuste de dosis en pacientes con insuficiencia renal significativa</w:t>
      </w:r>
      <w:r w:rsidRPr="003F3B0A">
        <w:rPr>
          <w:rFonts w:ascii="Arial" w:hAnsi="Arial" w:cs="Arial"/>
          <w:lang w:val="es-ES_tradnl" w:eastAsia="en-US"/>
        </w:rPr>
        <w:t>. La co-formulación de TDF/FTC/c/EVG no debe emplearse en pacientes con FGe &lt;70 ml/min</w:t>
      </w:r>
      <w:r w:rsidRPr="003F3B0A">
        <w:rPr>
          <w:rFonts w:ascii="Arial" w:hAnsi="Arial" w:cs="Arial"/>
          <w:vertAlign w:val="superscript"/>
          <w:lang w:val="es-ES_tradnl" w:eastAsia="en-US"/>
        </w:rPr>
        <w:t>5</w:t>
      </w:r>
      <w:r w:rsidRPr="003F3B0A">
        <w:rPr>
          <w:rFonts w:ascii="Arial" w:hAnsi="Arial" w:cs="Arial"/>
          <w:lang w:val="es-ES_tradnl" w:eastAsia="en-US"/>
        </w:rPr>
        <w:t xml:space="preserve">. Las co-formulaciones de TDF/FTC/EFV, TDF/FTC/RPV y ABC/FTC/DTG no deben emplearse en pacientes con FGe &lt;50 ml/min y las co-formulaciones de TAF/FTC/c/EVG, TAF/FTC/BIC, TAF/FTC/RPV y TAF/FTC/c/DRV no deben emplearse en pacientes con FGe &lt;30 ml/min. En estos casos deben emplearse los FAR por separado y realizar los ajustes pertinentes </w:t>
      </w:r>
      <w:r w:rsidRPr="003F3B0A">
        <w:rPr>
          <w:rFonts w:ascii="Arial" w:hAnsi="Arial" w:cs="Arial"/>
          <w:b/>
          <w:i/>
          <w:lang w:val="es-ES_tradnl" w:eastAsia="en-US"/>
        </w:rPr>
        <w:t>(B-III)</w:t>
      </w:r>
      <w:r w:rsidR="00976CB2">
        <w:rPr>
          <w:rFonts w:ascii="Arial" w:hAnsi="Arial" w:cs="Arial"/>
          <w:b/>
          <w:i/>
          <w:lang w:val="es-ES_tradnl" w:eastAsia="en-US"/>
        </w:rPr>
        <w:t>.</w:t>
      </w:r>
    </w:p>
    <w:p w14:paraId="2F2A0991" w14:textId="13F287B7"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los pacientes con cualquier grado de insuficiencia renal se recomienda vigilar estrechamente la función renal, incluyendo la función tubular en el caso de utilizar TDF y evitar los fármacos nefrotóxicos </w:t>
      </w:r>
      <w:r w:rsidRPr="003F3B0A">
        <w:rPr>
          <w:rFonts w:ascii="Arial" w:hAnsi="Arial" w:cs="Arial"/>
          <w:b/>
          <w:i/>
          <w:lang w:val="es-ES_tradnl" w:eastAsia="en-US"/>
        </w:rPr>
        <w:t>(A-III)</w:t>
      </w:r>
      <w:r w:rsidR="00976CB2">
        <w:rPr>
          <w:rFonts w:ascii="Arial" w:hAnsi="Arial" w:cs="Arial"/>
          <w:b/>
          <w:i/>
          <w:lang w:val="es-ES_tradnl" w:eastAsia="en-US"/>
        </w:rPr>
        <w:t>.</w:t>
      </w:r>
    </w:p>
    <w:p w14:paraId="7ABDDC0F" w14:textId="5A4D2B54" w:rsidR="00FC2322" w:rsidRPr="003F3B0A" w:rsidRDefault="00FC2322" w:rsidP="00FC2322">
      <w:pPr>
        <w:numPr>
          <w:ilvl w:val="0"/>
          <w:numId w:val="24"/>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los pacientes con IRC avanzada se debe realizar el ajuste de dosis recomendado por las fichas técnicas de cada medicamento, teniendo en cuenta las posibles interacciones entre los diferentes fármacos, más frecuentes y peligrosas en esta situación </w:t>
      </w:r>
      <w:r w:rsidRPr="003F3B0A">
        <w:rPr>
          <w:rFonts w:ascii="Arial" w:hAnsi="Arial" w:cs="Arial"/>
          <w:b/>
          <w:i/>
          <w:lang w:val="es-ES_tradnl" w:eastAsia="en-US"/>
        </w:rPr>
        <w:t xml:space="preserve">(A-II). </w:t>
      </w:r>
      <w:r w:rsidRPr="003F3B0A">
        <w:rPr>
          <w:rFonts w:ascii="Arial" w:hAnsi="Arial" w:cs="Arial"/>
          <w:lang w:val="es-ES_tradnl" w:eastAsia="en-US"/>
        </w:rPr>
        <w:t xml:space="preserve">Si no existen contraindicaciones, se puede utilizar la combinación de ABC más 3TC (ajustado al FGe) con un ITINN, un </w:t>
      </w:r>
      <w:r>
        <w:rPr>
          <w:rFonts w:ascii="Arial" w:hAnsi="Arial" w:cs="Arial"/>
          <w:lang w:val="es-ES_tradnl" w:eastAsia="en-US"/>
        </w:rPr>
        <w:t>INI</w:t>
      </w:r>
      <w:r w:rsidRPr="003F3B0A">
        <w:rPr>
          <w:rFonts w:ascii="Arial" w:hAnsi="Arial" w:cs="Arial"/>
          <w:lang w:val="es-ES_tradnl" w:eastAsia="en-US"/>
        </w:rPr>
        <w:t xml:space="preserve"> no potenciado (DTG o RAL)</w:t>
      </w:r>
      <w:r>
        <w:rPr>
          <w:rFonts w:ascii="Arial" w:hAnsi="Arial" w:cs="Arial"/>
          <w:lang w:val="es-ES_tradnl" w:eastAsia="en-US"/>
        </w:rPr>
        <w:t xml:space="preserve">, </w:t>
      </w:r>
      <w:r w:rsidRPr="003F3B0A">
        <w:rPr>
          <w:rFonts w:ascii="Arial" w:hAnsi="Arial" w:cs="Arial"/>
          <w:lang w:val="es-ES_tradnl" w:eastAsia="en-US"/>
        </w:rPr>
        <w:t>DRV potenciado con RTV</w:t>
      </w:r>
      <w:r w:rsidRPr="00E06512">
        <w:rPr>
          <w:rFonts w:ascii="Arial" w:hAnsi="Arial" w:cs="Arial"/>
          <w:highlight w:val="yellow"/>
          <w:lang w:val="es-ES_tradnl" w:eastAsia="en-US"/>
        </w:rPr>
        <w:t>,</w:t>
      </w:r>
      <w:r>
        <w:rPr>
          <w:rFonts w:ascii="Arial" w:hAnsi="Arial" w:cs="Arial"/>
          <w:lang w:val="es-ES_tradnl" w:eastAsia="en-US"/>
        </w:rPr>
        <w:t xml:space="preserve"> DRV potenciado con RTV </w:t>
      </w:r>
      <w:r w:rsidRPr="00E06512">
        <w:rPr>
          <w:rFonts w:ascii="Arial" w:hAnsi="Arial" w:cs="Arial"/>
          <w:highlight w:val="yellow"/>
          <w:lang w:val="es-ES_tradnl" w:eastAsia="en-US"/>
        </w:rPr>
        <w:t>con 3TC, DTG con 3TC o DTG con RPV</w:t>
      </w:r>
      <w:r w:rsidRPr="003F3B0A">
        <w:rPr>
          <w:rFonts w:ascii="Arial" w:hAnsi="Arial" w:cs="Arial"/>
          <w:lang w:val="es-ES_tradnl" w:eastAsia="en-US"/>
        </w:rPr>
        <w:t xml:space="preserve"> </w:t>
      </w:r>
      <w:r w:rsidRPr="003F3B0A">
        <w:rPr>
          <w:rFonts w:ascii="Arial" w:hAnsi="Arial" w:cs="Arial"/>
          <w:b/>
          <w:i/>
          <w:lang w:val="es-ES_tradnl" w:eastAsia="en-US"/>
        </w:rPr>
        <w:t>(A-III)</w:t>
      </w:r>
      <w:r w:rsidR="00976CB2">
        <w:rPr>
          <w:rFonts w:ascii="Arial" w:hAnsi="Arial" w:cs="Arial"/>
          <w:b/>
          <w:i/>
          <w:lang w:val="es-ES_tradnl" w:eastAsia="en-US"/>
        </w:rPr>
        <w:t>.</w:t>
      </w:r>
    </w:p>
    <w:p w14:paraId="60B02A3A" w14:textId="77777777" w:rsidR="00FC2322" w:rsidRPr="003F3B0A" w:rsidRDefault="00FC2322" w:rsidP="00FC2322"/>
    <w:p w14:paraId="6150D9CC" w14:textId="77777777" w:rsidR="00FC2322" w:rsidRPr="003F3B0A" w:rsidRDefault="00FC2322" w:rsidP="00FC2322">
      <w:pPr>
        <w:jc w:val="center"/>
        <w:rPr>
          <w:rFonts w:ascii="Arial" w:hAnsi="Arial" w:cs="Arial"/>
          <w:b/>
          <w:noProof/>
          <w:color w:val="AE1C1F"/>
        </w:rPr>
      </w:pPr>
      <w:r w:rsidRPr="003F3B0A">
        <w:rPr>
          <w:rFonts w:ascii="Arial" w:hAnsi="Arial" w:cs="Arial"/>
          <w:b/>
          <w:noProof/>
          <w:color w:val="AE1C1F"/>
        </w:rPr>
        <w:lastRenderedPageBreak/>
        <w:t>Referencias bibliográficas</w:t>
      </w:r>
    </w:p>
    <w:p w14:paraId="75C04212" w14:textId="77777777" w:rsidR="00FC2322" w:rsidRPr="003F3B0A" w:rsidRDefault="00FC2322" w:rsidP="00FC2322">
      <w:pPr>
        <w:jc w:val="center"/>
        <w:rPr>
          <w:rFonts w:ascii="Arial" w:hAnsi="Arial" w:cs="Arial"/>
          <w:b/>
          <w:noProof/>
          <w:color w:val="006600"/>
        </w:rPr>
      </w:pPr>
    </w:p>
    <w:p w14:paraId="6BB39A02" w14:textId="77777777" w:rsidR="00FC2322" w:rsidRPr="003F3B0A" w:rsidRDefault="00FC2322" w:rsidP="00FC2322">
      <w:pPr>
        <w:pStyle w:val="EndNoteBibliography"/>
        <w:spacing w:before="120" w:after="120"/>
        <w:jc w:val="both"/>
        <w:rPr>
          <w:sz w:val="18"/>
          <w:szCs w:val="18"/>
        </w:rPr>
        <w:sectPr w:rsidR="00FC2322" w:rsidRPr="003F3B0A" w:rsidSect="00FC2322">
          <w:headerReference w:type="default" r:id="rId70"/>
          <w:footerReference w:type="default" r:id="rId71"/>
          <w:type w:val="continuous"/>
          <w:pgSz w:w="11906" w:h="16838"/>
          <w:pgMar w:top="1418" w:right="1701" w:bottom="1418" w:left="1701" w:header="709" w:footer="709" w:gutter="0"/>
          <w:cols w:space="708"/>
          <w:docGrid w:linePitch="360"/>
        </w:sectPr>
      </w:pPr>
    </w:p>
    <w:p w14:paraId="6428271A" w14:textId="3BE1A6A5" w:rsidR="00FC2322" w:rsidRPr="00E06512" w:rsidRDefault="00FC2322" w:rsidP="00FC2322">
      <w:pPr>
        <w:jc w:val="both"/>
        <w:rPr>
          <w:rFonts w:ascii="Arial" w:hAnsi="Arial" w:cs="Arial"/>
          <w:color w:val="000000"/>
          <w:sz w:val="18"/>
          <w:szCs w:val="18"/>
        </w:rPr>
      </w:pPr>
      <w:r w:rsidRPr="003F3B0A">
        <w:rPr>
          <w:rFonts w:ascii="Arial" w:hAnsi="Arial" w:cs="Arial"/>
          <w:color w:val="000000"/>
          <w:sz w:val="18"/>
          <w:szCs w:val="18"/>
        </w:rPr>
        <w:t xml:space="preserve">1. </w:t>
      </w:r>
      <w:hyperlink r:id="rId72" w:history="1">
        <w:r w:rsidR="00976CB2" w:rsidRPr="00976CB2">
          <w:rPr>
            <w:rFonts w:ascii="Arial" w:hAnsi="Arial" w:cs="Arial"/>
            <w:color w:val="000000"/>
            <w:sz w:val="18"/>
            <w:szCs w:val="18"/>
          </w:rPr>
          <w:t>Ekrikpo UE</w:t>
        </w:r>
      </w:hyperlink>
      <w:r w:rsidR="00976CB2" w:rsidRPr="00976CB2">
        <w:rPr>
          <w:rFonts w:ascii="Arial" w:hAnsi="Arial" w:cs="Arial"/>
          <w:color w:val="000000"/>
          <w:sz w:val="18"/>
          <w:szCs w:val="18"/>
        </w:rPr>
        <w:t xml:space="preserve">, </w:t>
      </w:r>
      <w:hyperlink r:id="rId73" w:history="1">
        <w:r w:rsidR="00976CB2" w:rsidRPr="00976CB2">
          <w:rPr>
            <w:rFonts w:ascii="Arial" w:hAnsi="Arial" w:cs="Arial"/>
            <w:color w:val="000000"/>
            <w:sz w:val="18"/>
            <w:szCs w:val="18"/>
          </w:rPr>
          <w:t>Kengne AP</w:t>
        </w:r>
      </w:hyperlink>
      <w:r w:rsidR="00976CB2" w:rsidRPr="00976CB2">
        <w:rPr>
          <w:rFonts w:ascii="Arial" w:hAnsi="Arial" w:cs="Arial"/>
          <w:color w:val="000000"/>
          <w:sz w:val="18"/>
          <w:szCs w:val="18"/>
        </w:rPr>
        <w:t xml:space="preserve">, </w:t>
      </w:r>
      <w:hyperlink r:id="rId74" w:history="1">
        <w:r w:rsidR="00976CB2" w:rsidRPr="00976CB2">
          <w:rPr>
            <w:rFonts w:ascii="Arial" w:hAnsi="Arial" w:cs="Arial"/>
            <w:color w:val="000000"/>
            <w:sz w:val="18"/>
            <w:szCs w:val="18"/>
          </w:rPr>
          <w:t>Bello AK</w:t>
        </w:r>
      </w:hyperlink>
      <w:r w:rsidR="00976CB2" w:rsidRPr="00976CB2">
        <w:rPr>
          <w:rFonts w:ascii="Arial" w:hAnsi="Arial" w:cs="Arial"/>
          <w:color w:val="000000"/>
          <w:sz w:val="18"/>
          <w:szCs w:val="18"/>
        </w:rPr>
        <w:t xml:space="preserve">, et al. </w:t>
      </w:r>
      <w:r w:rsidR="00976CB2" w:rsidRPr="00976CB2">
        <w:rPr>
          <w:rFonts w:ascii="Arial" w:hAnsi="Arial" w:cs="Arial"/>
          <w:color w:val="000000"/>
          <w:sz w:val="18"/>
          <w:szCs w:val="18"/>
          <w:lang w:val="en-US"/>
        </w:rPr>
        <w:t xml:space="preserve">Chronic kidney disease in the global adult HIV-infected population: A systematic review and meta-analysis. </w:t>
      </w:r>
      <w:hyperlink r:id="rId75" w:tooltip="PloS one." w:history="1">
        <w:r w:rsidR="00976CB2" w:rsidRPr="00976CB2">
          <w:rPr>
            <w:rFonts w:ascii="Arial" w:hAnsi="Arial" w:cs="Arial"/>
            <w:color w:val="000000"/>
            <w:sz w:val="18"/>
            <w:szCs w:val="18"/>
          </w:rPr>
          <w:t>PLoS One.</w:t>
        </w:r>
      </w:hyperlink>
      <w:r w:rsidR="00976CB2" w:rsidRPr="00976CB2">
        <w:rPr>
          <w:rFonts w:ascii="Arial" w:hAnsi="Arial" w:cs="Arial"/>
          <w:color w:val="000000"/>
          <w:sz w:val="18"/>
          <w:szCs w:val="18"/>
        </w:rPr>
        <w:t xml:space="preserve"> 2018;13:e0195443.</w:t>
      </w:r>
    </w:p>
    <w:p w14:paraId="7370EB55" w14:textId="77777777" w:rsidR="00FC2322" w:rsidRPr="00E06512" w:rsidRDefault="00FC2322" w:rsidP="00FC2322">
      <w:pPr>
        <w:jc w:val="both"/>
        <w:rPr>
          <w:rFonts w:ascii="Arial" w:hAnsi="Arial" w:cs="Arial"/>
          <w:color w:val="000000"/>
          <w:sz w:val="18"/>
          <w:szCs w:val="18"/>
        </w:rPr>
      </w:pPr>
    </w:p>
    <w:p w14:paraId="4E010261" w14:textId="426BA73B" w:rsidR="00FC2322" w:rsidRPr="00E06512" w:rsidRDefault="00FC2322" w:rsidP="00FC2322">
      <w:pPr>
        <w:jc w:val="both"/>
        <w:rPr>
          <w:rFonts w:ascii="Arial" w:hAnsi="Arial" w:cs="Arial"/>
          <w:color w:val="000000"/>
          <w:sz w:val="18"/>
          <w:szCs w:val="18"/>
          <w:lang w:val="en-US"/>
        </w:rPr>
      </w:pPr>
      <w:r w:rsidRPr="00E06512">
        <w:rPr>
          <w:rFonts w:ascii="Arial" w:hAnsi="Arial" w:cs="Arial"/>
          <w:color w:val="000000"/>
          <w:sz w:val="18"/>
          <w:szCs w:val="18"/>
        </w:rPr>
        <w:t xml:space="preserve">2. </w:t>
      </w:r>
      <w:hyperlink r:id="rId76" w:history="1">
        <w:r w:rsidR="00976CB2" w:rsidRPr="00976CB2">
          <w:rPr>
            <w:rFonts w:ascii="Arial" w:hAnsi="Arial" w:cs="Arial"/>
            <w:color w:val="000000"/>
            <w:sz w:val="18"/>
            <w:szCs w:val="18"/>
          </w:rPr>
          <w:t>Cristelli MP</w:t>
        </w:r>
      </w:hyperlink>
      <w:r w:rsidR="00976CB2" w:rsidRPr="00976CB2">
        <w:rPr>
          <w:rFonts w:ascii="Arial" w:hAnsi="Arial" w:cs="Arial"/>
          <w:color w:val="000000"/>
          <w:sz w:val="18"/>
          <w:szCs w:val="18"/>
        </w:rPr>
        <w:t xml:space="preserve">, </w:t>
      </w:r>
      <w:hyperlink r:id="rId77" w:history="1">
        <w:r w:rsidR="00976CB2" w:rsidRPr="00976CB2">
          <w:rPr>
            <w:rFonts w:ascii="Arial" w:hAnsi="Arial" w:cs="Arial"/>
            <w:color w:val="000000"/>
            <w:sz w:val="18"/>
            <w:szCs w:val="18"/>
          </w:rPr>
          <w:t>Cofán F</w:t>
        </w:r>
      </w:hyperlink>
      <w:r w:rsidR="00976CB2" w:rsidRPr="00976CB2">
        <w:rPr>
          <w:rFonts w:ascii="Arial" w:hAnsi="Arial" w:cs="Arial"/>
          <w:color w:val="000000"/>
          <w:sz w:val="18"/>
          <w:szCs w:val="18"/>
        </w:rPr>
        <w:t xml:space="preserve">, </w:t>
      </w:r>
      <w:hyperlink r:id="rId78" w:history="1">
        <w:r w:rsidR="00976CB2" w:rsidRPr="00976CB2">
          <w:rPr>
            <w:rFonts w:ascii="Arial" w:hAnsi="Arial" w:cs="Arial"/>
            <w:color w:val="000000"/>
            <w:sz w:val="18"/>
            <w:szCs w:val="18"/>
          </w:rPr>
          <w:t>Rico N</w:t>
        </w:r>
      </w:hyperlink>
      <w:r w:rsidR="00976CB2" w:rsidRPr="00976CB2">
        <w:rPr>
          <w:rFonts w:ascii="Arial" w:hAnsi="Arial" w:cs="Arial"/>
          <w:color w:val="000000"/>
          <w:sz w:val="18"/>
          <w:szCs w:val="18"/>
        </w:rPr>
        <w:t xml:space="preserve">, et al. </w:t>
      </w:r>
      <w:r w:rsidR="00976CB2" w:rsidRPr="00976CB2">
        <w:rPr>
          <w:rFonts w:ascii="Arial" w:hAnsi="Arial" w:cs="Arial"/>
          <w:color w:val="000000"/>
          <w:sz w:val="18"/>
          <w:szCs w:val="18"/>
          <w:lang w:val="en-US"/>
        </w:rPr>
        <w:t>Estimation of renal function by CKD-EPI versus MDRD in a cohort of HIV-infected patients: a cross-sectional analysis. BMC Nephrol 2017;18:58.</w:t>
      </w:r>
    </w:p>
    <w:p w14:paraId="17C52FAA" w14:textId="77777777" w:rsidR="00FC2322" w:rsidRPr="00E06512" w:rsidRDefault="00FC2322" w:rsidP="00FC2322">
      <w:pPr>
        <w:jc w:val="both"/>
        <w:rPr>
          <w:rFonts w:ascii="Arial" w:hAnsi="Arial" w:cs="Arial"/>
          <w:color w:val="000000"/>
          <w:sz w:val="18"/>
          <w:szCs w:val="18"/>
          <w:lang w:val="en-US"/>
        </w:rPr>
      </w:pPr>
    </w:p>
    <w:p w14:paraId="209229B2" w14:textId="77777777" w:rsidR="00976CB2" w:rsidRDefault="00FC2322" w:rsidP="00976CB2">
      <w:pPr>
        <w:jc w:val="both"/>
        <w:rPr>
          <w:rFonts w:ascii="Arial" w:hAnsi="Arial" w:cs="Arial"/>
          <w:sz w:val="18"/>
          <w:szCs w:val="18"/>
          <w:lang w:val="en-US"/>
        </w:rPr>
      </w:pPr>
      <w:r w:rsidRPr="00E06512">
        <w:rPr>
          <w:rFonts w:ascii="Arial" w:hAnsi="Arial" w:cs="Arial"/>
          <w:sz w:val="18"/>
          <w:szCs w:val="18"/>
          <w:lang w:val="en-US"/>
        </w:rPr>
        <w:t xml:space="preserve">3. </w:t>
      </w:r>
      <w:r w:rsidR="00976CB2" w:rsidRPr="00976CB2">
        <w:rPr>
          <w:rFonts w:ascii="Arial" w:hAnsi="Arial" w:cs="Arial"/>
          <w:sz w:val="18"/>
          <w:szCs w:val="18"/>
          <w:lang w:val="en-US"/>
        </w:rPr>
        <w:t>Gorriz JL, Gutiérrez F, Trullas JC, et al. Consensus document on the management of renal disease in HIV-infected patients. Nefrologia 2014; 34(Suppl 2):1-81.</w:t>
      </w:r>
    </w:p>
    <w:p w14:paraId="4951B88C" w14:textId="77777777" w:rsidR="00976CB2" w:rsidRDefault="00976CB2" w:rsidP="00976CB2">
      <w:pPr>
        <w:jc w:val="both"/>
        <w:rPr>
          <w:rFonts w:ascii="Arial" w:hAnsi="Arial" w:cs="Arial"/>
          <w:sz w:val="18"/>
          <w:szCs w:val="18"/>
          <w:lang w:val="en-US"/>
        </w:rPr>
      </w:pPr>
    </w:p>
    <w:p w14:paraId="6AB578D4" w14:textId="2ADF0864" w:rsidR="00976CB2" w:rsidRPr="00976CB2" w:rsidRDefault="00976CB2" w:rsidP="00976CB2">
      <w:pPr>
        <w:jc w:val="both"/>
        <w:rPr>
          <w:rFonts w:ascii="Arial" w:hAnsi="Arial" w:cs="Arial"/>
          <w:sz w:val="18"/>
          <w:szCs w:val="18"/>
          <w:lang w:val="en-US"/>
        </w:rPr>
      </w:pPr>
      <w:r>
        <w:rPr>
          <w:rFonts w:ascii="Arial" w:hAnsi="Arial" w:cs="Arial"/>
          <w:sz w:val="18"/>
          <w:szCs w:val="18"/>
          <w:lang w:val="en-US"/>
        </w:rPr>
        <w:t xml:space="preserve">4. </w:t>
      </w:r>
      <w:hyperlink r:id="rId79" w:history="1">
        <w:r w:rsidRPr="00976CB2">
          <w:rPr>
            <w:rFonts w:cs="Arial"/>
            <w:sz w:val="18"/>
            <w:szCs w:val="18"/>
            <w:lang w:val="en-US"/>
          </w:rPr>
          <w:t>Cohen SD</w:t>
        </w:r>
      </w:hyperlink>
      <w:r w:rsidRPr="00976CB2">
        <w:rPr>
          <w:rFonts w:cs="Arial"/>
          <w:sz w:val="18"/>
          <w:szCs w:val="18"/>
          <w:lang w:val="en-US"/>
        </w:rPr>
        <w:t xml:space="preserve">, </w:t>
      </w:r>
      <w:hyperlink r:id="rId80" w:history="1">
        <w:r w:rsidRPr="00976CB2">
          <w:rPr>
            <w:rFonts w:cs="Arial"/>
            <w:sz w:val="18"/>
            <w:szCs w:val="18"/>
            <w:lang w:val="en-US"/>
          </w:rPr>
          <w:t>Kopp JB</w:t>
        </w:r>
      </w:hyperlink>
      <w:r w:rsidRPr="00976CB2">
        <w:rPr>
          <w:rFonts w:cs="Arial"/>
          <w:sz w:val="18"/>
          <w:szCs w:val="18"/>
          <w:lang w:val="en-US"/>
        </w:rPr>
        <w:t xml:space="preserve">, </w:t>
      </w:r>
      <w:hyperlink r:id="rId81" w:history="1">
        <w:r w:rsidRPr="00976CB2">
          <w:rPr>
            <w:rFonts w:cs="Arial"/>
            <w:sz w:val="18"/>
            <w:szCs w:val="18"/>
            <w:lang w:val="en-US"/>
          </w:rPr>
          <w:t>Kimmel PL</w:t>
        </w:r>
      </w:hyperlink>
      <w:r w:rsidRPr="00976CB2">
        <w:rPr>
          <w:rFonts w:cs="Arial"/>
          <w:sz w:val="18"/>
          <w:szCs w:val="18"/>
          <w:lang w:val="en-US"/>
        </w:rPr>
        <w:t>. Kidney diseases associated with human immunodeficiency virus infection. N Engl J Med 2017;377:2363-74.</w:t>
      </w:r>
    </w:p>
    <w:p w14:paraId="65281F47" w14:textId="4EE948C3" w:rsidR="00FC2322" w:rsidRPr="00E7457B" w:rsidRDefault="00FC2322" w:rsidP="00FC2322">
      <w:pPr>
        <w:pStyle w:val="EndNoteBibliography"/>
        <w:spacing w:before="120" w:after="120"/>
        <w:jc w:val="both"/>
        <w:rPr>
          <w:color w:val="000000"/>
          <w:sz w:val="18"/>
          <w:szCs w:val="18"/>
        </w:rPr>
      </w:pPr>
      <w:r w:rsidRPr="003F3B0A">
        <w:rPr>
          <w:color w:val="000000"/>
          <w:sz w:val="18"/>
          <w:szCs w:val="18"/>
          <w:lang w:val="en-US"/>
        </w:rPr>
        <w:t xml:space="preserve">5. Pozniak A, Arribas JR, Gathe J, et al. Switching to tenofovir alafenamide, coformulated with elvitegravir, cobicistat, and emtricitabine, in HIV-infected patients with renal impairment: 48-week results from a single-arm, multicenter, open-label phase 3 study. </w:t>
      </w:r>
      <w:r w:rsidRPr="00E7457B">
        <w:rPr>
          <w:color w:val="000000"/>
          <w:sz w:val="18"/>
          <w:szCs w:val="18"/>
        </w:rPr>
        <w:t>J Acquir Immune Defic Syndr 2016; 71:530-7.</w:t>
      </w:r>
    </w:p>
    <w:p w14:paraId="4F44D29D" w14:textId="77777777" w:rsidR="00FC2322" w:rsidRPr="00E7457B" w:rsidRDefault="00FC2322" w:rsidP="00FC2322">
      <w:pPr>
        <w:rPr>
          <w:rFonts w:ascii="Arial" w:hAnsi="Arial" w:cs="Arial"/>
          <w:color w:val="000000"/>
          <w:sz w:val="18"/>
          <w:szCs w:val="18"/>
        </w:rPr>
        <w:sectPr w:rsidR="00FC2322" w:rsidRPr="00E7457B">
          <w:type w:val="continuous"/>
          <w:pgSz w:w="11906" w:h="16838"/>
          <w:pgMar w:top="1418" w:right="1701" w:bottom="1418" w:left="1701" w:header="709" w:footer="709" w:gutter="0"/>
          <w:cols w:num="2" w:sep="1" w:space="340"/>
          <w:docGrid w:linePitch="360"/>
        </w:sectPr>
      </w:pPr>
    </w:p>
    <w:p w14:paraId="1E50B97D" w14:textId="77777777" w:rsidR="00FC2322" w:rsidRPr="00E7457B" w:rsidRDefault="00FC2322" w:rsidP="00FC2322">
      <w:pPr>
        <w:rPr>
          <w:color w:val="000000"/>
        </w:rPr>
      </w:pPr>
    </w:p>
    <w:p w14:paraId="253DD3BE" w14:textId="77777777" w:rsidR="002C1648" w:rsidRPr="00000FF8" w:rsidRDefault="002C1648" w:rsidP="002C1648">
      <w:pPr>
        <w:rPr>
          <w:rFonts w:ascii="Arial" w:hAnsi="Arial" w:cs="Arial"/>
          <w:color w:val="000000"/>
          <w:sz w:val="18"/>
          <w:szCs w:val="18"/>
        </w:rPr>
        <w:sectPr w:rsidR="002C1648" w:rsidRPr="00000FF8">
          <w:headerReference w:type="default" r:id="rId82"/>
          <w:footerReference w:type="default" r:id="rId83"/>
          <w:type w:val="continuous"/>
          <w:pgSz w:w="11906" w:h="16838"/>
          <w:pgMar w:top="1418" w:right="1701" w:bottom="1418" w:left="1701" w:header="709" w:footer="709" w:gutter="0"/>
          <w:cols w:num="2" w:sep="1" w:space="340"/>
          <w:docGrid w:linePitch="360"/>
        </w:sectPr>
      </w:pPr>
    </w:p>
    <w:p w14:paraId="4FF0DAFE" w14:textId="77777777" w:rsidR="002C1648" w:rsidRPr="00000FF8" w:rsidRDefault="002C1648" w:rsidP="002C1648">
      <w:pPr>
        <w:rPr>
          <w:rFonts w:ascii="Arial" w:hAnsi="Arial" w:cs="Arial"/>
          <w:color w:val="000000"/>
        </w:rPr>
      </w:pPr>
    </w:p>
    <w:p w14:paraId="660E1A3D" w14:textId="77777777" w:rsidR="002C1648" w:rsidRPr="00000FF8" w:rsidRDefault="002C1648" w:rsidP="002C1648">
      <w:pPr>
        <w:rPr>
          <w:rFonts w:ascii="Arial" w:hAnsi="Arial" w:cs="Arial"/>
          <w:color w:val="000000"/>
        </w:rPr>
      </w:pPr>
    </w:p>
    <w:p w14:paraId="46117971" w14:textId="77777777" w:rsidR="002C1648" w:rsidRPr="00000FF8" w:rsidRDefault="002C1648" w:rsidP="002C1648">
      <w:pPr>
        <w:rPr>
          <w:rFonts w:ascii="Arial" w:hAnsi="Arial" w:cs="Arial"/>
        </w:rPr>
        <w:sectPr w:rsidR="002C1648" w:rsidRPr="00000FF8">
          <w:headerReference w:type="default" r:id="rId84"/>
          <w:footerReference w:type="default" r:id="rId85"/>
          <w:type w:val="continuous"/>
          <w:pgSz w:w="11906" w:h="16838"/>
          <w:pgMar w:top="1417" w:right="1701" w:bottom="1417" w:left="1701" w:header="708" w:footer="708" w:gutter="0"/>
          <w:cols w:num="2" w:sep="1" w:space="340"/>
          <w:docGrid w:linePitch="360"/>
        </w:sectPr>
      </w:pPr>
    </w:p>
    <w:p w14:paraId="276CB161" w14:textId="77777777" w:rsidR="002C1648" w:rsidRPr="00000FF8" w:rsidRDefault="002C1648" w:rsidP="002C1648">
      <w:pPr>
        <w:rPr>
          <w:rFonts w:ascii="Arial" w:hAnsi="Arial" w:cs="Arial"/>
        </w:rPr>
      </w:pPr>
    </w:p>
    <w:p w14:paraId="0FDD9B1A" w14:textId="77777777" w:rsidR="002C1648" w:rsidRPr="00000FF8" w:rsidRDefault="002C1648" w:rsidP="002C1648">
      <w:pPr>
        <w:rPr>
          <w:rFonts w:ascii="Arial" w:hAnsi="Arial" w:cs="Arial"/>
        </w:rPr>
      </w:pPr>
    </w:p>
    <w:p w14:paraId="7FDA71CF" w14:textId="77777777" w:rsidR="002C1648" w:rsidRPr="00000FF8" w:rsidRDefault="002C1648" w:rsidP="002C1648">
      <w:pPr>
        <w:rPr>
          <w:rFonts w:ascii="Arial" w:hAnsi="Arial" w:cs="Arial"/>
        </w:rPr>
        <w:sectPr w:rsidR="002C1648" w:rsidRPr="00000FF8">
          <w:type w:val="continuous"/>
          <w:pgSz w:w="11906" w:h="16838"/>
          <w:pgMar w:top="1417" w:right="1701" w:bottom="1417" w:left="1701" w:header="708" w:footer="708" w:gutter="0"/>
          <w:cols w:num="2" w:sep="1" w:space="397"/>
          <w:docGrid w:linePitch="360"/>
        </w:sectPr>
      </w:pPr>
    </w:p>
    <w:p w14:paraId="7A4D001E" w14:textId="77777777" w:rsidR="002C1648" w:rsidRPr="00095ECF" w:rsidRDefault="002C1648" w:rsidP="002C1648">
      <w:pPr>
        <w:rPr>
          <w:rFonts w:ascii="Arial" w:hAnsi="Arial" w:cs="Arial"/>
        </w:rPr>
      </w:pPr>
    </w:p>
    <w:p w14:paraId="1E4C91F0" w14:textId="77777777" w:rsidR="00E7457B" w:rsidRPr="003F3B0A" w:rsidRDefault="00E7457B" w:rsidP="00E7457B">
      <w:pPr>
        <w:spacing w:before="120" w:after="120" w:line="276" w:lineRule="auto"/>
        <w:rPr>
          <w:rFonts w:ascii="Arial" w:hAnsi="Arial" w:cs="Arial"/>
          <w:bCs/>
          <w:i/>
          <w:iCs/>
          <w:color w:val="AE1C1F"/>
        </w:rPr>
      </w:pPr>
      <w:r w:rsidRPr="003F3B0A">
        <w:rPr>
          <w:rFonts w:ascii="Arial" w:hAnsi="Arial" w:cs="Arial"/>
          <w:bCs/>
          <w:i/>
          <w:iCs/>
          <w:color w:val="AE1C1F"/>
        </w:rPr>
        <w:t>7.4.4. Hepatopatías (VHC, VHB, cirrosis)</w:t>
      </w:r>
    </w:p>
    <w:p w14:paraId="7A875842"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La AEEH y la SEIMC han actualizado recientemente una guía de manejo de la hepatitis C, que incluye al paciente coinfectado</w:t>
      </w:r>
      <w:r w:rsidRPr="003F3B0A">
        <w:rPr>
          <w:rFonts w:ascii="Arial" w:hAnsi="Arial" w:cs="Arial"/>
          <w:noProof/>
          <w:vertAlign w:val="superscript"/>
        </w:rPr>
        <w:t>1</w:t>
      </w:r>
      <w:r w:rsidRPr="003F3B0A">
        <w:rPr>
          <w:rFonts w:ascii="Arial" w:hAnsi="Arial" w:cs="Arial"/>
        </w:rPr>
        <w:t xml:space="preserve">, la cual recomendamos consultar para más detalles. Entre las causas de daño hepático en los pacientes con </w:t>
      </w:r>
      <w:r>
        <w:rPr>
          <w:rFonts w:ascii="Arial" w:hAnsi="Arial" w:cs="Arial"/>
        </w:rPr>
        <w:t xml:space="preserve">infección por el </w:t>
      </w:r>
      <w:r w:rsidRPr="003F3B0A">
        <w:rPr>
          <w:rFonts w:ascii="Arial" w:hAnsi="Arial" w:cs="Arial"/>
        </w:rPr>
        <w:t>VIH, la esteatosis/esteatohepatitis no alcohólica, es una causa frecuente de hepatopatía y cobra mayor relevancia con la menor prevalencia de la hepatitis vírica</w:t>
      </w:r>
      <w:r w:rsidRPr="003F3B0A">
        <w:rPr>
          <w:rFonts w:ascii="Arial" w:hAnsi="Arial" w:cs="Arial"/>
          <w:vertAlign w:val="superscript"/>
        </w:rPr>
        <w:t>2,3</w:t>
      </w:r>
      <w:r w:rsidRPr="003F3B0A">
        <w:rPr>
          <w:rFonts w:ascii="Arial" w:hAnsi="Arial" w:cs="Arial"/>
        </w:rPr>
        <w:t>.</w:t>
      </w:r>
    </w:p>
    <w:p w14:paraId="3551E565" w14:textId="77777777" w:rsidR="00E7457B" w:rsidRPr="003F3B0A" w:rsidRDefault="00E7457B" w:rsidP="00E7457B">
      <w:pPr>
        <w:spacing w:before="120" w:after="120" w:line="276" w:lineRule="auto"/>
        <w:rPr>
          <w:rFonts w:ascii="Arial" w:hAnsi="Arial" w:cs="Arial"/>
          <w:color w:val="AE1C1F"/>
        </w:rPr>
      </w:pPr>
      <w:r w:rsidRPr="003F3B0A">
        <w:rPr>
          <w:rFonts w:ascii="Arial" w:hAnsi="Arial" w:cs="Arial"/>
          <w:color w:val="AE1C1F"/>
        </w:rPr>
        <w:t>7.4.4.1. Cu</w:t>
      </w:r>
      <w:r>
        <w:rPr>
          <w:rFonts w:ascii="Arial" w:hAnsi="Arial" w:cs="Arial"/>
          <w:color w:val="AE1C1F"/>
        </w:rPr>
        <w:t>á</w:t>
      </w:r>
      <w:r w:rsidRPr="003F3B0A">
        <w:rPr>
          <w:rFonts w:ascii="Arial" w:hAnsi="Arial" w:cs="Arial"/>
          <w:color w:val="AE1C1F"/>
        </w:rPr>
        <w:t>ndo iniciar el TAR en pacientes coinfectados</w:t>
      </w:r>
    </w:p>
    <w:p w14:paraId="21DA32A1"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En estudios de cohortes, el control de la replicación del VIH-1 y la mejoría inmunológica por efecto del TAR se han asociado a una menor velocidad de progresión de la enfermedad hepática causada por VHC y a una mejor evolución clínica, incluso en pacientes con cirrosis descompensada</w:t>
      </w:r>
      <w:r w:rsidRPr="003F3B0A">
        <w:rPr>
          <w:rFonts w:ascii="Arial" w:hAnsi="Arial" w:cs="Arial"/>
          <w:noProof/>
          <w:vertAlign w:val="superscript"/>
        </w:rPr>
        <w:t>4,5</w:t>
      </w:r>
      <w:r w:rsidRPr="003F3B0A">
        <w:rPr>
          <w:rFonts w:ascii="Arial" w:hAnsi="Arial" w:cs="Arial"/>
        </w:rPr>
        <w:t xml:space="preserve">. </w:t>
      </w:r>
    </w:p>
    <w:p w14:paraId="4AD50349"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En los pacientes coinfectados, en los que se plantea el tratamiento del VHC, en general, es preferible iniciar el TAR y una vez controlada la replicación del VIH-1 se iniciará el tratamiento de la hepatitis. Opcionalmente, sobre todo en p</w:t>
      </w:r>
      <w:r>
        <w:rPr>
          <w:rFonts w:ascii="Arial" w:hAnsi="Arial" w:cs="Arial"/>
        </w:rPr>
        <w:t>acientes controladores de é</w:t>
      </w:r>
      <w:r w:rsidRPr="003F3B0A">
        <w:rPr>
          <w:rFonts w:ascii="Arial" w:hAnsi="Arial" w:cs="Arial"/>
        </w:rPr>
        <w:t>lite, se podría plantear tratar inicialmente el VHC.</w:t>
      </w:r>
    </w:p>
    <w:p w14:paraId="68EBD538"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Tanto TDF como TAF suprimen el VHB en la inmensa mayoría de los pacientes coinfectados por VIH-1 y VHB</w:t>
      </w:r>
      <w:r w:rsidRPr="003F3B0A">
        <w:rPr>
          <w:rFonts w:ascii="Arial" w:hAnsi="Arial" w:cs="Arial"/>
          <w:noProof/>
          <w:vertAlign w:val="superscript"/>
        </w:rPr>
        <w:t>6,7</w:t>
      </w:r>
      <w:r w:rsidRPr="003F3B0A">
        <w:rPr>
          <w:rFonts w:ascii="Arial" w:hAnsi="Arial" w:cs="Arial"/>
        </w:rPr>
        <w:t>. TAF ha demostrado no inferioridad respecto a TDF en el tratamiento del VHB tanto en H</w:t>
      </w:r>
      <w:r>
        <w:rPr>
          <w:rFonts w:ascii="Arial" w:hAnsi="Arial" w:cs="Arial"/>
        </w:rPr>
        <w:t>B</w:t>
      </w:r>
      <w:r w:rsidRPr="003F3B0A">
        <w:rPr>
          <w:rFonts w:ascii="Arial" w:hAnsi="Arial" w:cs="Arial"/>
        </w:rPr>
        <w:t>eAg+ como en anti-HBeAg</w:t>
      </w:r>
      <w:r w:rsidRPr="003F3B0A">
        <w:rPr>
          <w:rFonts w:ascii="Arial" w:hAnsi="Arial" w:cs="Arial"/>
          <w:noProof/>
          <w:vertAlign w:val="superscript"/>
        </w:rPr>
        <w:t>,8,9</w:t>
      </w:r>
      <w:r w:rsidRPr="003F3B0A">
        <w:rPr>
          <w:rFonts w:ascii="Arial" w:hAnsi="Arial" w:cs="Arial"/>
        </w:rPr>
        <w:t>. La retirada de un tratamiento eficaz frente a</w:t>
      </w:r>
      <w:r>
        <w:rPr>
          <w:rFonts w:ascii="Arial" w:hAnsi="Arial" w:cs="Arial"/>
        </w:rPr>
        <w:t>l</w:t>
      </w:r>
      <w:r w:rsidRPr="003F3B0A">
        <w:rPr>
          <w:rFonts w:ascii="Arial" w:hAnsi="Arial" w:cs="Arial"/>
        </w:rPr>
        <w:t xml:space="preserve"> VHB, puede dar lugar a una exacerbación de la hepatitis con consecuencias potencialmente graves</w:t>
      </w:r>
      <w:r w:rsidRPr="003F3B0A">
        <w:rPr>
          <w:rFonts w:ascii="Arial" w:hAnsi="Arial" w:cs="Arial"/>
          <w:noProof/>
          <w:vertAlign w:val="superscript"/>
        </w:rPr>
        <w:t>10</w:t>
      </w:r>
      <w:r w:rsidRPr="003F3B0A">
        <w:rPr>
          <w:rFonts w:ascii="Arial" w:hAnsi="Arial" w:cs="Arial"/>
        </w:rPr>
        <w:t>.</w:t>
      </w:r>
    </w:p>
    <w:p w14:paraId="3A5FAD0C" w14:textId="77777777" w:rsidR="00E7457B" w:rsidRPr="003F3B0A" w:rsidRDefault="00E7457B" w:rsidP="00E7457B">
      <w:pPr>
        <w:spacing w:before="120" w:after="120" w:line="276" w:lineRule="auto"/>
        <w:jc w:val="both"/>
        <w:rPr>
          <w:rFonts w:ascii="Arial" w:hAnsi="Arial" w:cs="Arial"/>
          <w:b/>
          <w:color w:val="AE1C1F"/>
        </w:rPr>
      </w:pPr>
      <w:r w:rsidRPr="003F3B0A">
        <w:rPr>
          <w:rFonts w:ascii="Arial" w:hAnsi="Arial" w:cs="Arial"/>
          <w:b/>
          <w:color w:val="AE1C1F"/>
        </w:rPr>
        <w:t>Recomendaciones</w:t>
      </w:r>
    </w:p>
    <w:p w14:paraId="037E67D3" w14:textId="77777777" w:rsidR="00E7457B" w:rsidRPr="003F3B0A" w:rsidRDefault="00E7457B" w:rsidP="00E7457B">
      <w:pPr>
        <w:numPr>
          <w:ilvl w:val="0"/>
          <w:numId w:val="19"/>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pacientes coinfectados por VHB o VHC se recomienda iniciar el TAR tan pronto como sea posible </w:t>
      </w:r>
      <w:r w:rsidRPr="003F3B0A">
        <w:rPr>
          <w:rFonts w:ascii="Arial" w:hAnsi="Arial" w:cs="Arial"/>
          <w:b/>
          <w:i/>
          <w:lang w:val="es-ES_tradnl" w:eastAsia="en-US"/>
        </w:rPr>
        <w:t>(A-I)</w:t>
      </w:r>
      <w:r>
        <w:rPr>
          <w:rFonts w:ascii="Arial" w:hAnsi="Arial" w:cs="Arial"/>
          <w:b/>
          <w:i/>
          <w:lang w:val="es-ES_tradnl" w:eastAsia="en-US"/>
        </w:rPr>
        <w:t>.</w:t>
      </w:r>
    </w:p>
    <w:p w14:paraId="2361C18D" w14:textId="77777777" w:rsidR="00E7457B" w:rsidRPr="003F3B0A" w:rsidRDefault="00E7457B" w:rsidP="00E7457B">
      <w:pPr>
        <w:numPr>
          <w:ilvl w:val="0"/>
          <w:numId w:val="19"/>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pacientes que precisan tratamiento de la hepatitis C, en general es preferible iniciar primero el TAR </w:t>
      </w:r>
      <w:r w:rsidRPr="003F3B0A">
        <w:rPr>
          <w:rFonts w:ascii="Arial" w:hAnsi="Arial" w:cs="Arial"/>
          <w:b/>
          <w:i/>
          <w:lang w:val="es-ES_tradnl" w:eastAsia="en-US"/>
        </w:rPr>
        <w:t>(A-III)</w:t>
      </w:r>
      <w:r>
        <w:rPr>
          <w:rFonts w:ascii="Arial" w:hAnsi="Arial" w:cs="Arial"/>
          <w:b/>
          <w:i/>
          <w:lang w:val="es-ES_tradnl" w:eastAsia="en-US"/>
        </w:rPr>
        <w:t>.</w:t>
      </w:r>
    </w:p>
    <w:p w14:paraId="784B0507" w14:textId="77777777" w:rsidR="00E7457B" w:rsidRPr="003F3B0A" w:rsidRDefault="00E7457B" w:rsidP="00E7457B">
      <w:pPr>
        <w:numPr>
          <w:ilvl w:val="0"/>
          <w:numId w:val="19"/>
        </w:numPr>
        <w:spacing w:before="120" w:after="120" w:line="276" w:lineRule="auto"/>
        <w:jc w:val="both"/>
        <w:rPr>
          <w:rFonts w:ascii="Arial" w:hAnsi="Arial" w:cs="Arial"/>
          <w:b/>
          <w:i/>
          <w:lang w:val="es-ES_tradnl" w:eastAsia="en-US"/>
        </w:rPr>
      </w:pPr>
      <w:r w:rsidRPr="003F3B0A">
        <w:rPr>
          <w:rFonts w:ascii="Arial" w:hAnsi="Arial" w:cs="Arial"/>
          <w:lang w:val="es-ES_tradnl" w:eastAsia="en-US"/>
        </w:rPr>
        <w:t xml:space="preserve">En pacientes coinfectados por VIH/VHB se debe evitar la interrupción de una pauta eficaz frente a VHB </w:t>
      </w:r>
      <w:r w:rsidRPr="003F3B0A">
        <w:rPr>
          <w:rFonts w:ascii="Arial" w:hAnsi="Arial" w:cs="Arial"/>
          <w:b/>
          <w:i/>
          <w:lang w:val="es-ES_tradnl" w:eastAsia="en-US"/>
        </w:rPr>
        <w:t>(A-II)</w:t>
      </w:r>
      <w:r>
        <w:rPr>
          <w:rFonts w:ascii="Arial" w:hAnsi="Arial" w:cs="Arial"/>
          <w:b/>
          <w:i/>
          <w:lang w:val="es-ES_tradnl" w:eastAsia="en-US"/>
        </w:rPr>
        <w:t>.</w:t>
      </w:r>
    </w:p>
    <w:p w14:paraId="710CD055" w14:textId="77777777" w:rsidR="00E7457B" w:rsidRPr="003F3B0A" w:rsidRDefault="00E7457B" w:rsidP="00E7457B">
      <w:pPr>
        <w:spacing w:before="120" w:after="120" w:line="276" w:lineRule="auto"/>
        <w:jc w:val="both"/>
        <w:rPr>
          <w:rFonts w:ascii="Arial" w:hAnsi="Arial" w:cs="Arial"/>
          <w:color w:val="AE1C1F"/>
        </w:rPr>
      </w:pPr>
      <w:r w:rsidRPr="003F3B0A">
        <w:rPr>
          <w:rFonts w:ascii="Arial" w:hAnsi="Arial" w:cs="Arial"/>
          <w:color w:val="AE1C1F"/>
        </w:rPr>
        <w:t>7.4.4.2. Elección de los fármacos antirretrovirales (FAR)</w:t>
      </w:r>
    </w:p>
    <w:p w14:paraId="13A13136"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La elección de los FAR en un paciente coinfectado por virus de la hepatitis ha de tener en cuenta su potencial hepatotoxicidad, la existencia de cirrosis hepática, la coinfección por VHB y la indicación de tratamiento contra el VHC.</w:t>
      </w:r>
    </w:p>
    <w:p w14:paraId="29E9A07D"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La hepatotoxicidad asociada al TAR es más frecuente en pacientes coinfectados. Sin embargo, si se exceptúan los casos asociados a dideoxinucleósidos (d-AN) y NVP, que pueden causar fallo hepático agudo y toxicidad crónica, los FAR utilizados actualmente se asocian con un bajo riesgo de hepatotoxicidad y la mayoría de los episodios de hepatitis tóxica por TAR son leves y autolimitados</w:t>
      </w:r>
      <w:r w:rsidRPr="003F3B0A">
        <w:rPr>
          <w:rFonts w:ascii="Arial" w:hAnsi="Arial" w:cs="Arial"/>
          <w:noProof/>
          <w:vertAlign w:val="superscript"/>
        </w:rPr>
        <w:t>11</w:t>
      </w:r>
      <w:r w:rsidRPr="003F3B0A">
        <w:rPr>
          <w:rFonts w:ascii="Arial" w:hAnsi="Arial" w:cs="Arial"/>
        </w:rPr>
        <w:t>.</w:t>
      </w:r>
    </w:p>
    <w:p w14:paraId="02BE93E9"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lastRenderedPageBreak/>
        <w:t>Por otra parte, no se ha demostrado de modo consistente que los FAR ejerzan un efecto protector específico sobre la esteatogénesis ni la fibrogénesis hepática.</w:t>
      </w:r>
    </w:p>
    <w:p w14:paraId="643D0378"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 xml:space="preserve">En pacientes con </w:t>
      </w:r>
      <w:r w:rsidRPr="006E7DCE">
        <w:rPr>
          <w:rFonts w:ascii="Arial" w:hAnsi="Arial" w:cs="Arial"/>
          <w:color w:val="000000" w:themeColor="text1"/>
        </w:rPr>
        <w:t xml:space="preserve">cirrosis </w:t>
      </w:r>
      <w:r w:rsidRPr="006E7DCE">
        <w:rPr>
          <w:rFonts w:ascii="Arial" w:hAnsi="Arial" w:cs="Arial"/>
          <w:color w:val="000000" w:themeColor="text1"/>
          <w:highlight w:val="yellow"/>
        </w:rPr>
        <w:t>estadio</w:t>
      </w:r>
      <w:r w:rsidRPr="006E7DCE">
        <w:rPr>
          <w:rFonts w:ascii="Arial" w:hAnsi="Arial" w:cs="Arial"/>
          <w:color w:val="000000" w:themeColor="text1"/>
        </w:rPr>
        <w:t xml:space="preserve"> A de </w:t>
      </w:r>
      <w:r w:rsidRPr="003F3B0A">
        <w:rPr>
          <w:rFonts w:ascii="Arial" w:hAnsi="Arial" w:cs="Arial"/>
        </w:rPr>
        <w:t xml:space="preserve">Child-Pugh se puede usar cualquier FAR, con las consideraciones antes expuestas. En pacientes con insuficiencia hepatocelular </w:t>
      </w:r>
      <w:r w:rsidRPr="006E7DCE">
        <w:rPr>
          <w:rFonts w:ascii="Arial" w:hAnsi="Arial" w:cs="Arial"/>
          <w:highlight w:val="yellow"/>
        </w:rPr>
        <w:t>(</w:t>
      </w:r>
      <w:r w:rsidRPr="006E7DCE">
        <w:rPr>
          <w:rFonts w:ascii="Arial" w:hAnsi="Arial" w:cs="Arial"/>
          <w:color w:val="000000" w:themeColor="text1"/>
          <w:highlight w:val="yellow"/>
        </w:rPr>
        <w:t>estadios</w:t>
      </w:r>
      <w:r w:rsidRPr="006E7DCE">
        <w:rPr>
          <w:rFonts w:ascii="Arial" w:hAnsi="Arial" w:cs="Arial"/>
          <w:color w:val="000000" w:themeColor="text1"/>
        </w:rPr>
        <w:t xml:space="preserve"> B</w:t>
      </w:r>
      <w:r w:rsidRPr="003F3B0A">
        <w:rPr>
          <w:rFonts w:ascii="Arial" w:hAnsi="Arial" w:cs="Arial"/>
        </w:rPr>
        <w:t xml:space="preserve"> y C de Child-Pugh) existen, en general, pocos datos (Tabla 13), aunque el tratamiento con algunos IP (ATV, FPV a dosis ajustadas) se ha mostrado seguro en este escenario</w:t>
      </w:r>
      <w:r w:rsidRPr="003F3B0A">
        <w:rPr>
          <w:rFonts w:ascii="Arial" w:hAnsi="Arial" w:cs="Arial"/>
          <w:noProof/>
          <w:vertAlign w:val="superscript"/>
        </w:rPr>
        <w:t>12,13</w:t>
      </w:r>
      <w:r w:rsidRPr="003F3B0A">
        <w:rPr>
          <w:rFonts w:ascii="Arial" w:hAnsi="Arial" w:cs="Arial"/>
        </w:rPr>
        <w:t>.</w:t>
      </w:r>
    </w:p>
    <w:p w14:paraId="13BB0AC9"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 xml:space="preserve">La monitorización de los niveles plasmáticos, teóricamente útil en pacientes con insuficiencia hepatocelular, no está disponible en la mayoría de centros y su utilidad en el tratamiento de los pacientes con insuficiencia hepática no se ha demostrado. </w:t>
      </w:r>
    </w:p>
    <w:p w14:paraId="099972A0" w14:textId="77777777" w:rsidR="00E7457B" w:rsidRPr="002E3480" w:rsidRDefault="00E7457B" w:rsidP="00E7457B">
      <w:pPr>
        <w:spacing w:before="120" w:after="120" w:line="276" w:lineRule="auto"/>
        <w:jc w:val="both"/>
        <w:rPr>
          <w:rFonts w:ascii="Arial" w:hAnsi="Arial" w:cs="Arial"/>
          <w:color w:val="FF0000"/>
        </w:rPr>
      </w:pPr>
      <w:r w:rsidRPr="003F3B0A">
        <w:rPr>
          <w:rFonts w:ascii="Arial" w:hAnsi="Arial" w:cs="Arial"/>
        </w:rPr>
        <w:t xml:space="preserve">Por sus características farmacocinéticas, los </w:t>
      </w:r>
      <w:r w:rsidRPr="006E7DCE">
        <w:rPr>
          <w:rFonts w:ascii="Arial" w:hAnsi="Arial" w:cs="Arial"/>
          <w:highlight w:val="yellow"/>
        </w:rPr>
        <w:t>INI</w:t>
      </w:r>
      <w:r w:rsidRPr="003F3B0A">
        <w:rPr>
          <w:rFonts w:ascii="Arial" w:hAnsi="Arial" w:cs="Arial"/>
        </w:rPr>
        <w:t xml:space="preserve"> ofrecen ventajas en estos pacientes. </w:t>
      </w:r>
      <w:r w:rsidRPr="006E7DCE">
        <w:rPr>
          <w:rFonts w:ascii="Arial" w:hAnsi="Arial" w:cs="Arial"/>
          <w:highlight w:val="yellow"/>
        </w:rPr>
        <w:t>En estadios A y B de Child-Pough no se requieren ajuste de dosis</w:t>
      </w:r>
      <w:r w:rsidRPr="003F3B0A">
        <w:rPr>
          <w:rFonts w:ascii="Arial" w:hAnsi="Arial" w:cs="Arial"/>
          <w:noProof/>
          <w:vertAlign w:val="superscript"/>
        </w:rPr>
        <w:t>14,15,16</w:t>
      </w:r>
      <w:r w:rsidRPr="003F3B0A">
        <w:rPr>
          <w:rFonts w:ascii="Arial" w:hAnsi="Arial" w:cs="Arial"/>
        </w:rPr>
        <w:t>. En estadio C, RAL a las dosis habituales ha demostrado buena tolerabilidad</w:t>
      </w:r>
      <w:r w:rsidRPr="003F3B0A">
        <w:rPr>
          <w:rFonts w:ascii="Arial" w:hAnsi="Arial" w:cs="Arial"/>
          <w:noProof/>
          <w:vertAlign w:val="superscript"/>
        </w:rPr>
        <w:t>17</w:t>
      </w:r>
      <w:bookmarkStart w:id="1" w:name="_Hlk502776688"/>
      <w:r>
        <w:rPr>
          <w:rFonts w:ascii="Arial" w:hAnsi="Arial" w:cs="Arial"/>
        </w:rPr>
        <w:t xml:space="preserve"> </w:t>
      </w:r>
      <w:r w:rsidRPr="006E7DCE">
        <w:rPr>
          <w:rFonts w:ascii="Arial" w:hAnsi="Arial" w:cs="Arial"/>
          <w:highlight w:val="yellow"/>
        </w:rPr>
        <w:t xml:space="preserve">y su metabolismo </w:t>
      </w:r>
      <w:r w:rsidRPr="006E7DCE">
        <w:rPr>
          <w:rFonts w:ascii="Arial" w:hAnsi="Arial" w:cs="Arial"/>
        </w:rPr>
        <w:t>no depende del citocromo P450.</w:t>
      </w:r>
      <w:r w:rsidRPr="003F3B0A">
        <w:rPr>
          <w:rFonts w:ascii="Arial" w:hAnsi="Arial" w:cs="Arial"/>
        </w:rPr>
        <w:t xml:space="preserve"> El metabolismo de </w:t>
      </w:r>
      <w:r w:rsidRPr="006E7DCE">
        <w:rPr>
          <w:rFonts w:ascii="Arial" w:hAnsi="Arial" w:cs="Arial"/>
          <w:color w:val="000000" w:themeColor="text1"/>
        </w:rPr>
        <w:t xml:space="preserve">DTG </w:t>
      </w:r>
      <w:r w:rsidRPr="006E7DCE">
        <w:rPr>
          <w:rFonts w:ascii="Arial" w:hAnsi="Arial" w:cs="Arial"/>
          <w:bCs/>
          <w:color w:val="000000" w:themeColor="text1"/>
        </w:rPr>
        <w:t>y BIC</w:t>
      </w:r>
      <w:r w:rsidRPr="006E7DCE">
        <w:rPr>
          <w:rFonts w:ascii="Arial" w:hAnsi="Arial" w:cs="Arial"/>
          <w:color w:val="000000" w:themeColor="text1"/>
        </w:rPr>
        <w:t xml:space="preserve"> depende en parte del citocromo CYP3A4, por lo que debe usarse con precaución. </w:t>
      </w:r>
      <w:r w:rsidRPr="006E7DCE">
        <w:rPr>
          <w:rFonts w:ascii="Arial" w:hAnsi="Arial" w:cs="Arial"/>
          <w:color w:val="000000" w:themeColor="text1"/>
          <w:highlight w:val="yellow"/>
        </w:rPr>
        <w:t xml:space="preserve">Respecto a EVG/c el riesgo de toxicidad es mayor ya que además de su parcial metabolismo por el citocromo </w:t>
      </w:r>
      <w:r w:rsidRPr="006E7DCE">
        <w:rPr>
          <w:rFonts w:ascii="Arial" w:hAnsi="Arial" w:cs="Arial"/>
          <w:highlight w:val="yellow"/>
        </w:rPr>
        <w:t>CYP3A se sobreañade el efecto inhibitorio de cobicistat a este sistema.</w:t>
      </w:r>
      <w:r>
        <w:rPr>
          <w:rFonts w:ascii="Arial" w:hAnsi="Arial" w:cs="Arial"/>
        </w:rPr>
        <w:t xml:space="preserve"> </w:t>
      </w:r>
    </w:p>
    <w:bookmarkEnd w:id="1"/>
    <w:p w14:paraId="5ECF210A" w14:textId="77777777" w:rsidR="00E7457B" w:rsidRPr="003F3B0A" w:rsidRDefault="00E7457B" w:rsidP="00E7457B">
      <w:pPr>
        <w:spacing w:before="120" w:after="120" w:line="276" w:lineRule="auto"/>
        <w:jc w:val="both"/>
        <w:rPr>
          <w:rFonts w:ascii="Arial" w:hAnsi="Arial" w:cs="Arial"/>
        </w:rPr>
      </w:pPr>
      <w:r w:rsidRPr="003F3B0A">
        <w:rPr>
          <w:rFonts w:ascii="Arial" w:hAnsi="Arial" w:cs="Arial"/>
        </w:rPr>
        <w:t>Existen múltiples interacciones entre los FAR y los antivirales de acción directa (AAD) frente al VHC que pueden condicionar una modificación de la dosis o desaconsejar su coadministración</w:t>
      </w:r>
      <w:r w:rsidRPr="003F3B0A">
        <w:rPr>
          <w:rFonts w:ascii="Arial" w:hAnsi="Arial" w:cs="Arial"/>
          <w:noProof/>
          <w:vertAlign w:val="superscript"/>
        </w:rPr>
        <w:t>18,19</w:t>
      </w:r>
      <w:r>
        <w:rPr>
          <w:rFonts w:ascii="Arial" w:hAnsi="Arial" w:cs="Arial"/>
        </w:rPr>
        <w:t xml:space="preserve">, </w:t>
      </w:r>
      <w:r w:rsidRPr="003F3B0A">
        <w:rPr>
          <w:rFonts w:ascii="Arial" w:hAnsi="Arial" w:cs="Arial"/>
        </w:rPr>
        <w:t>(</w:t>
      </w:r>
      <w:hyperlink r:id="rId86" w:history="1">
        <w:r w:rsidRPr="003F3B0A">
          <w:rPr>
            <w:rStyle w:val="Hipervnculo"/>
            <w:rFonts w:ascii="Arial" w:hAnsi="Arial" w:cs="Arial"/>
          </w:rPr>
          <w:t>https://www.hiv-druginteractions.org</w:t>
        </w:r>
      </w:hyperlink>
      <w:r w:rsidRPr="003F3B0A">
        <w:rPr>
          <w:rFonts w:ascii="Arial" w:hAnsi="Arial" w:cs="Arial"/>
        </w:rPr>
        <w:t xml:space="preserve"> )</w:t>
      </w:r>
      <w:r w:rsidRPr="003F3B0A">
        <w:rPr>
          <w:rFonts w:ascii="Arial" w:hAnsi="Arial" w:cs="Arial"/>
          <w:noProof/>
          <w:vertAlign w:val="superscript"/>
        </w:rPr>
        <w:t>19</w:t>
      </w:r>
      <w:r>
        <w:rPr>
          <w:rFonts w:ascii="Arial" w:hAnsi="Arial" w:cs="Arial"/>
          <w:noProof/>
        </w:rPr>
        <w:t xml:space="preserve">. </w:t>
      </w:r>
      <w:r w:rsidRPr="003F3B0A">
        <w:rPr>
          <w:rFonts w:ascii="Arial" w:hAnsi="Arial" w:cs="Arial"/>
        </w:rPr>
        <w:t xml:space="preserve">En este sentido, en el paciente coinfectado </w:t>
      </w:r>
      <w:r>
        <w:rPr>
          <w:rFonts w:ascii="Arial" w:hAnsi="Arial" w:cs="Arial"/>
        </w:rPr>
        <w:t xml:space="preserve">por VIHC </w:t>
      </w:r>
      <w:r w:rsidRPr="003F3B0A">
        <w:rPr>
          <w:rFonts w:ascii="Arial" w:hAnsi="Arial" w:cs="Arial"/>
        </w:rPr>
        <w:t>que inicia el TAR, se debería tomar en consideración en la elección de la pauta</w:t>
      </w:r>
      <w:r>
        <w:rPr>
          <w:rFonts w:ascii="Arial" w:hAnsi="Arial" w:cs="Arial"/>
        </w:rPr>
        <w:t xml:space="preserve"> de TAR</w:t>
      </w:r>
      <w:r w:rsidRPr="003F3B0A">
        <w:rPr>
          <w:rFonts w:ascii="Arial" w:hAnsi="Arial" w:cs="Arial"/>
        </w:rPr>
        <w:t xml:space="preserve"> las interacciones potenciales con el tratamiento frente a VHC, ya que es previsible el tratamiento a corto plazo de ambas infecciones.</w:t>
      </w:r>
    </w:p>
    <w:p w14:paraId="4B337052" w14:textId="77777777" w:rsidR="00E7457B" w:rsidRPr="003F3B0A" w:rsidRDefault="00E7457B" w:rsidP="00E7457B">
      <w:pPr>
        <w:spacing w:before="120" w:after="120" w:line="276" w:lineRule="auto"/>
        <w:jc w:val="both"/>
        <w:rPr>
          <w:rFonts w:ascii="Arial" w:hAnsi="Arial" w:cs="Arial"/>
        </w:rPr>
      </w:pPr>
    </w:p>
    <w:p w14:paraId="0F68E504" w14:textId="77777777" w:rsidR="00E7457B" w:rsidRPr="003F3B0A" w:rsidRDefault="00E7457B" w:rsidP="00E7457B">
      <w:pPr>
        <w:spacing w:before="120" w:after="120" w:line="276" w:lineRule="auto"/>
        <w:jc w:val="both"/>
        <w:rPr>
          <w:rFonts w:ascii="Arial" w:hAnsi="Arial" w:cs="Arial"/>
          <w:b/>
          <w:color w:val="AE1C1F"/>
        </w:rPr>
      </w:pPr>
      <w:r w:rsidRPr="003F3B0A">
        <w:rPr>
          <w:rFonts w:ascii="Arial" w:hAnsi="Arial" w:cs="Arial"/>
          <w:b/>
          <w:color w:val="AE1C1F"/>
        </w:rPr>
        <w:t>Recomendaciones</w:t>
      </w:r>
    </w:p>
    <w:p w14:paraId="46267B28" w14:textId="77777777" w:rsidR="00E7457B" w:rsidRDefault="00E7457B" w:rsidP="00E7457B">
      <w:pPr>
        <w:numPr>
          <w:ilvl w:val="0"/>
          <w:numId w:val="18"/>
        </w:numPr>
        <w:spacing w:before="120" w:after="120" w:line="276" w:lineRule="auto"/>
        <w:jc w:val="both"/>
        <w:rPr>
          <w:rFonts w:ascii="Arial" w:hAnsi="Arial" w:cs="Arial"/>
          <w:lang w:val="es-ES_tradnl" w:eastAsia="en-US"/>
        </w:rPr>
      </w:pPr>
      <w:r w:rsidRPr="006E7DCE">
        <w:rPr>
          <w:rFonts w:ascii="Arial" w:hAnsi="Arial" w:cs="Arial"/>
          <w:highlight w:val="yellow"/>
        </w:rPr>
        <w:t xml:space="preserve">El cuidado y seguimiento del paciente con daño hepático avanzado se debe de hacer como en la población general y se aconseja seguir las recomendaciones de las guías clínicas existentes </w:t>
      </w:r>
      <w:r w:rsidRPr="006E7DCE">
        <w:rPr>
          <w:rFonts w:ascii="Arial" w:hAnsi="Arial" w:cs="Arial"/>
          <w:b/>
          <w:i/>
          <w:highlight w:val="yellow"/>
          <w:lang w:val="es-ES_tradnl" w:eastAsia="en-US"/>
        </w:rPr>
        <w:t>(A-III)</w:t>
      </w:r>
      <w:r>
        <w:rPr>
          <w:rFonts w:ascii="Arial" w:hAnsi="Arial" w:cs="Arial"/>
          <w:b/>
          <w:i/>
          <w:lang w:val="es-ES_tradnl" w:eastAsia="en-US"/>
        </w:rPr>
        <w:t>.</w:t>
      </w:r>
    </w:p>
    <w:p w14:paraId="4D4F89EB" w14:textId="77777777" w:rsidR="00E7457B" w:rsidRPr="003F3B0A" w:rsidRDefault="00E7457B" w:rsidP="00E7457B">
      <w:pPr>
        <w:numPr>
          <w:ilvl w:val="0"/>
          <w:numId w:val="18"/>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pacientes con hepatopatía crónica y función hepática conservada, incluida la cirrosis </w:t>
      </w:r>
      <w:r w:rsidRPr="006E7DCE">
        <w:rPr>
          <w:rFonts w:ascii="Arial" w:hAnsi="Arial" w:cs="Arial"/>
          <w:highlight w:val="yellow"/>
          <w:lang w:val="es-ES_tradnl" w:eastAsia="en-US"/>
        </w:rPr>
        <w:t>estadio</w:t>
      </w:r>
      <w:r w:rsidRPr="003F3B0A">
        <w:rPr>
          <w:rFonts w:ascii="Arial" w:hAnsi="Arial" w:cs="Arial"/>
          <w:lang w:val="es-ES_tradnl" w:eastAsia="en-US"/>
        </w:rPr>
        <w:t xml:space="preserve"> A de Child-Pugh se puede utilizar cualquier FAR </w:t>
      </w:r>
      <w:r w:rsidRPr="003F3B0A">
        <w:rPr>
          <w:rFonts w:ascii="Arial" w:hAnsi="Arial" w:cs="Arial"/>
          <w:b/>
          <w:i/>
          <w:lang w:val="es-ES_tradnl" w:eastAsia="en-US"/>
        </w:rPr>
        <w:t>(A-I)</w:t>
      </w:r>
      <w:r w:rsidRPr="003F3B0A">
        <w:rPr>
          <w:rFonts w:ascii="Arial" w:hAnsi="Arial" w:cs="Arial"/>
          <w:lang w:val="es-ES_tradnl" w:eastAsia="en-US"/>
        </w:rPr>
        <w:t xml:space="preserve">, </w:t>
      </w:r>
      <w:r w:rsidRPr="006E7DCE">
        <w:rPr>
          <w:rFonts w:ascii="Arial" w:hAnsi="Arial" w:cs="Arial"/>
          <w:highlight w:val="yellow"/>
          <w:lang w:val="es-ES_tradnl" w:eastAsia="en-US"/>
        </w:rPr>
        <w:t xml:space="preserve">pero </w:t>
      </w:r>
      <w:r w:rsidRPr="006E7DCE">
        <w:rPr>
          <w:rFonts w:ascii="Arial" w:hAnsi="Arial" w:cs="Arial"/>
          <w:color w:val="000000" w:themeColor="text1"/>
          <w:highlight w:val="yellow"/>
          <w:lang w:val="es-ES_tradnl" w:eastAsia="en-US"/>
        </w:rPr>
        <w:t>se recomienda</w:t>
      </w:r>
      <w:r w:rsidRPr="008F0E3F">
        <w:rPr>
          <w:rFonts w:ascii="Arial" w:hAnsi="Arial" w:cs="Arial"/>
          <w:color w:val="000000" w:themeColor="text1"/>
          <w:lang w:val="es-ES_tradnl" w:eastAsia="en-US"/>
        </w:rPr>
        <w:t xml:space="preserve"> </w:t>
      </w:r>
      <w:r w:rsidRPr="003F3B0A">
        <w:rPr>
          <w:rFonts w:ascii="Arial" w:hAnsi="Arial" w:cs="Arial"/>
          <w:lang w:val="es-ES_tradnl" w:eastAsia="en-US"/>
        </w:rPr>
        <w:t>evitar los dideoxinucleósidos y NVP</w:t>
      </w:r>
      <w:r w:rsidRPr="003F3B0A">
        <w:rPr>
          <w:rFonts w:ascii="Arial" w:hAnsi="Arial" w:cs="Arial"/>
          <w:b/>
          <w:i/>
          <w:lang w:val="es-ES_tradnl" w:eastAsia="en-US"/>
        </w:rPr>
        <w:t xml:space="preserve"> (A-III)</w:t>
      </w:r>
      <w:r>
        <w:rPr>
          <w:rFonts w:ascii="Arial" w:hAnsi="Arial" w:cs="Arial"/>
          <w:b/>
          <w:i/>
          <w:lang w:val="es-ES_tradnl" w:eastAsia="en-US"/>
        </w:rPr>
        <w:t>.</w:t>
      </w:r>
    </w:p>
    <w:p w14:paraId="7F6AD4C8" w14:textId="77777777" w:rsidR="00E7457B" w:rsidRDefault="00E7457B" w:rsidP="00E7457B">
      <w:pPr>
        <w:numPr>
          <w:ilvl w:val="0"/>
          <w:numId w:val="18"/>
        </w:numPr>
        <w:spacing w:before="120" w:after="120" w:line="276" w:lineRule="auto"/>
        <w:jc w:val="both"/>
        <w:rPr>
          <w:rFonts w:ascii="Arial" w:hAnsi="Arial" w:cs="Arial"/>
          <w:lang w:val="es-ES_tradnl" w:eastAsia="en-US"/>
        </w:rPr>
      </w:pPr>
      <w:r w:rsidRPr="003F3B0A">
        <w:rPr>
          <w:rFonts w:ascii="Arial" w:hAnsi="Arial" w:cs="Arial"/>
          <w:lang w:val="es-ES_tradnl" w:eastAsia="en-US"/>
        </w:rPr>
        <w:t xml:space="preserve">En pacientes con insuficiencia hepatocelular leve/moderada </w:t>
      </w:r>
      <w:r>
        <w:rPr>
          <w:rFonts w:ascii="Arial" w:hAnsi="Arial" w:cs="Arial"/>
          <w:lang w:val="es-ES_tradnl" w:eastAsia="en-US"/>
        </w:rPr>
        <w:t>(Child-Pugh A o B), los ITIAN (</w:t>
      </w:r>
      <w:r w:rsidRPr="003F3B0A">
        <w:rPr>
          <w:rFonts w:ascii="Arial" w:hAnsi="Arial" w:cs="Arial"/>
          <w:lang w:val="es-ES_tradnl" w:eastAsia="en-US"/>
        </w:rPr>
        <w:t xml:space="preserve">salvo ABC), los INI, RPV, DOR o DRV no precisan ajuste de dosis  y son fármacos </w:t>
      </w:r>
      <w:r w:rsidRPr="006E7DCE">
        <w:rPr>
          <w:rFonts w:ascii="Arial" w:hAnsi="Arial" w:cs="Arial"/>
          <w:lang w:val="es-ES_tradnl" w:eastAsia="en-US"/>
        </w:rPr>
        <w:t>de elección</w:t>
      </w:r>
      <w:r w:rsidRPr="006E7DCE">
        <w:rPr>
          <w:rFonts w:ascii="Arial" w:hAnsi="Arial" w:cs="Arial"/>
          <w:b/>
          <w:i/>
          <w:lang w:val="es-ES_tradnl" w:eastAsia="en-US"/>
        </w:rPr>
        <w:t xml:space="preserve"> </w:t>
      </w:r>
      <w:r w:rsidRPr="006E7DCE">
        <w:rPr>
          <w:rFonts w:ascii="Arial" w:hAnsi="Arial" w:cs="Arial"/>
          <w:b/>
          <w:i/>
          <w:highlight w:val="yellow"/>
          <w:lang w:val="es-ES_tradnl" w:eastAsia="en-US"/>
        </w:rPr>
        <w:t>(A-II)</w:t>
      </w:r>
      <w:r w:rsidRPr="006E7DCE">
        <w:rPr>
          <w:rFonts w:ascii="Arial" w:hAnsi="Arial" w:cs="Arial"/>
          <w:highlight w:val="yellow"/>
          <w:lang w:val="es-ES_tradnl" w:eastAsia="en-US"/>
        </w:rPr>
        <w:t>.</w:t>
      </w:r>
      <w:r w:rsidRPr="003F3B0A">
        <w:rPr>
          <w:rFonts w:ascii="Arial" w:hAnsi="Arial" w:cs="Arial"/>
          <w:lang w:val="es-ES_tradnl" w:eastAsia="en-US"/>
        </w:rPr>
        <w:t xml:space="preserve"> </w:t>
      </w:r>
    </w:p>
    <w:p w14:paraId="407209BF" w14:textId="77777777" w:rsidR="00E7457B" w:rsidRPr="002E3480" w:rsidRDefault="00E7457B" w:rsidP="00E7457B">
      <w:pPr>
        <w:numPr>
          <w:ilvl w:val="0"/>
          <w:numId w:val="18"/>
        </w:numPr>
        <w:spacing w:before="120" w:after="120" w:line="276" w:lineRule="auto"/>
        <w:jc w:val="both"/>
        <w:rPr>
          <w:rFonts w:ascii="Arial" w:hAnsi="Arial" w:cs="Arial"/>
          <w:lang w:val="es-ES_tradnl" w:eastAsia="en-US"/>
        </w:rPr>
      </w:pPr>
      <w:r w:rsidRPr="003F3B0A">
        <w:rPr>
          <w:rFonts w:ascii="Arial" w:hAnsi="Arial" w:cs="Arial"/>
          <w:lang w:val="es-ES_tradnl" w:eastAsia="en-US"/>
        </w:rPr>
        <w:t>En pacientes en estadio de Child-Pu</w:t>
      </w:r>
      <w:r>
        <w:rPr>
          <w:rFonts w:ascii="Arial" w:hAnsi="Arial" w:cs="Arial"/>
          <w:lang w:val="es-ES_tradnl" w:eastAsia="en-US"/>
        </w:rPr>
        <w:t xml:space="preserve">gh C, </w:t>
      </w:r>
      <w:r w:rsidRPr="00C21A52">
        <w:rPr>
          <w:rFonts w:ascii="Arial" w:hAnsi="Arial" w:cs="Arial"/>
          <w:highlight w:val="yellow"/>
          <w:lang w:val="es-ES_tradnl" w:eastAsia="en-US"/>
        </w:rPr>
        <w:t>se deben considerar como pautas preferentes aquellas basadas en RAL y DTG</w:t>
      </w:r>
      <w:r>
        <w:rPr>
          <w:rFonts w:ascii="Arial" w:hAnsi="Arial" w:cs="Arial"/>
          <w:lang w:val="es-ES_tradnl" w:eastAsia="en-US"/>
        </w:rPr>
        <w:t xml:space="preserve"> </w:t>
      </w:r>
      <w:r w:rsidRPr="003F3B0A">
        <w:rPr>
          <w:rFonts w:ascii="Arial" w:hAnsi="Arial" w:cs="Arial"/>
          <w:b/>
          <w:i/>
          <w:lang w:val="es-ES_tradnl" w:eastAsia="en-US"/>
        </w:rPr>
        <w:t>(A-III)</w:t>
      </w:r>
      <w:r>
        <w:rPr>
          <w:rFonts w:ascii="Arial" w:hAnsi="Arial" w:cs="Arial"/>
          <w:b/>
          <w:i/>
          <w:lang w:val="es-ES_tradnl" w:eastAsia="en-US"/>
        </w:rPr>
        <w:t>.</w:t>
      </w:r>
    </w:p>
    <w:p w14:paraId="71ECBF6C" w14:textId="77777777" w:rsidR="00E7457B" w:rsidRPr="00C21A52" w:rsidRDefault="00E7457B" w:rsidP="00E7457B">
      <w:pPr>
        <w:numPr>
          <w:ilvl w:val="0"/>
          <w:numId w:val="18"/>
        </w:numPr>
        <w:spacing w:before="120" w:after="120" w:line="276" w:lineRule="auto"/>
        <w:jc w:val="both"/>
        <w:rPr>
          <w:rFonts w:ascii="Arial" w:hAnsi="Arial" w:cs="Arial"/>
          <w:b/>
          <w:color w:val="C00000"/>
          <w:lang w:val="es-ES_tradnl" w:eastAsia="en-US"/>
        </w:rPr>
      </w:pPr>
      <w:r w:rsidRPr="00C21A52">
        <w:rPr>
          <w:rFonts w:ascii="Arial" w:hAnsi="Arial" w:cs="Arial"/>
          <w:lang w:val="es-ES_tradnl" w:eastAsia="en-US"/>
        </w:rPr>
        <w:lastRenderedPageBreak/>
        <w:t xml:space="preserve">Antes de prescribir un tratamiento con AAD en un paciente que recibe TAR, debe consultarse una aplicación informática actualizada de interacciones farmacológicas </w:t>
      </w:r>
      <w:r w:rsidRPr="00C21A52">
        <w:rPr>
          <w:rFonts w:ascii="Arial" w:hAnsi="Arial" w:cs="Arial"/>
          <w:b/>
          <w:i/>
          <w:lang w:val="es-ES_tradnl" w:eastAsia="en-US"/>
        </w:rPr>
        <w:t>(A-II).</w:t>
      </w:r>
    </w:p>
    <w:p w14:paraId="227886AD" w14:textId="77777777" w:rsidR="00E7457B" w:rsidRPr="003F3B0A" w:rsidRDefault="00E7457B" w:rsidP="00E7457B">
      <w:pPr>
        <w:numPr>
          <w:ilvl w:val="0"/>
          <w:numId w:val="18"/>
        </w:numPr>
        <w:spacing w:before="120" w:after="120" w:line="276" w:lineRule="auto"/>
        <w:jc w:val="both"/>
        <w:rPr>
          <w:rFonts w:ascii="Arial" w:hAnsi="Arial" w:cs="Arial"/>
          <w:b/>
          <w:i/>
          <w:lang w:val="es-ES_tradnl" w:eastAsia="en-US"/>
        </w:rPr>
      </w:pPr>
      <w:r w:rsidRPr="003F3B0A">
        <w:rPr>
          <w:rFonts w:ascii="Arial" w:hAnsi="Arial" w:cs="Arial"/>
          <w:lang w:val="es-ES_tradnl" w:eastAsia="en-US"/>
        </w:rPr>
        <w:t xml:space="preserve">En pacientes coinfectados por VIH/VHB se debe iniciar el TAR incluyendo TDF o TAF y FTC o 3TC </w:t>
      </w:r>
      <w:r w:rsidRPr="003F3B0A">
        <w:rPr>
          <w:rFonts w:ascii="Arial" w:hAnsi="Arial" w:cs="Arial"/>
          <w:b/>
          <w:i/>
          <w:lang w:val="es-ES_tradnl" w:eastAsia="en-US"/>
        </w:rPr>
        <w:t>(A-I)</w:t>
      </w:r>
      <w:r>
        <w:rPr>
          <w:rFonts w:ascii="Arial" w:hAnsi="Arial" w:cs="Arial"/>
          <w:b/>
          <w:i/>
          <w:lang w:val="es-ES_tradnl" w:eastAsia="en-US"/>
        </w:rPr>
        <w:t>.</w:t>
      </w:r>
    </w:p>
    <w:p w14:paraId="04D358D1" w14:textId="77777777" w:rsidR="00E7457B" w:rsidRPr="003F3B0A" w:rsidRDefault="00E7457B" w:rsidP="00E7457B">
      <w:pPr>
        <w:jc w:val="center"/>
        <w:rPr>
          <w:rFonts w:ascii="Arial" w:hAnsi="Arial" w:cs="Arial"/>
          <w:b/>
          <w:noProof/>
          <w:color w:val="AE1C1F"/>
        </w:rPr>
      </w:pPr>
    </w:p>
    <w:p w14:paraId="3B0305B8" w14:textId="77777777" w:rsidR="00E7457B" w:rsidRPr="003F3B0A" w:rsidRDefault="00E7457B" w:rsidP="00E7457B">
      <w:pPr>
        <w:jc w:val="center"/>
        <w:rPr>
          <w:rFonts w:ascii="Arial" w:hAnsi="Arial" w:cs="Arial"/>
          <w:b/>
          <w:noProof/>
          <w:color w:val="AE1C1F"/>
        </w:rPr>
      </w:pPr>
      <w:r w:rsidRPr="003F3B0A">
        <w:rPr>
          <w:rFonts w:ascii="Arial" w:hAnsi="Arial" w:cs="Arial"/>
          <w:b/>
          <w:noProof/>
          <w:color w:val="AE1C1F"/>
        </w:rPr>
        <w:t>Referencias bibliográficas</w:t>
      </w:r>
    </w:p>
    <w:p w14:paraId="7DFF3BBB" w14:textId="77777777" w:rsidR="00E7457B" w:rsidRPr="003F3B0A" w:rsidRDefault="00E7457B" w:rsidP="00E7457B">
      <w:pPr>
        <w:jc w:val="center"/>
        <w:rPr>
          <w:rFonts w:ascii="Arial" w:hAnsi="Arial" w:cs="Arial"/>
          <w:noProof/>
        </w:rPr>
      </w:pPr>
    </w:p>
    <w:p w14:paraId="43A3779C" w14:textId="77777777" w:rsidR="00E7457B" w:rsidRPr="003F3B0A" w:rsidRDefault="00E7457B" w:rsidP="00E7457B">
      <w:pPr>
        <w:spacing w:before="120" w:after="120"/>
        <w:jc w:val="both"/>
        <w:rPr>
          <w:rFonts w:ascii="Arial" w:hAnsi="Arial" w:cs="Arial"/>
          <w:noProof/>
          <w:sz w:val="18"/>
          <w:szCs w:val="18"/>
        </w:rPr>
        <w:sectPr w:rsidR="00E7457B" w:rsidRPr="003F3B0A" w:rsidSect="00A53EA0">
          <w:headerReference w:type="default" r:id="rId87"/>
          <w:footerReference w:type="default" r:id="rId88"/>
          <w:pgSz w:w="11906" w:h="16838"/>
          <w:pgMar w:top="1417" w:right="1701" w:bottom="1417" w:left="1701" w:header="708" w:footer="708" w:gutter="0"/>
          <w:cols w:space="708"/>
          <w:docGrid w:linePitch="360"/>
        </w:sectPr>
      </w:pPr>
    </w:p>
    <w:p w14:paraId="71306D1E" w14:textId="77777777" w:rsidR="00E7457B" w:rsidRPr="003F3B0A" w:rsidRDefault="00E7457B" w:rsidP="00E7457B">
      <w:pPr>
        <w:autoSpaceDE w:val="0"/>
        <w:autoSpaceDN w:val="0"/>
        <w:adjustRightInd w:val="0"/>
        <w:jc w:val="both"/>
        <w:rPr>
          <w:rFonts w:ascii="Arial" w:hAnsi="Arial" w:cs="Arial"/>
          <w:sz w:val="18"/>
          <w:szCs w:val="18"/>
        </w:rPr>
      </w:pPr>
      <w:r w:rsidRPr="003F3B0A">
        <w:rPr>
          <w:rFonts w:ascii="Arial" w:hAnsi="Arial" w:cs="Arial"/>
          <w:noProof/>
          <w:sz w:val="18"/>
          <w:szCs w:val="18"/>
        </w:rPr>
        <w:lastRenderedPageBreak/>
        <w:t xml:space="preserve">1. </w:t>
      </w:r>
      <w:r w:rsidRPr="003F3B0A">
        <w:rPr>
          <w:rFonts w:ascii="Arial" w:hAnsi="Arial" w:cs="Arial"/>
          <w:bCs/>
          <w:sz w:val="18"/>
          <w:szCs w:val="18"/>
          <w:lang w:eastAsia="en-US"/>
        </w:rPr>
        <w:t>Guía AEEH-SEIMC de tratamiento de la infección por virus de la Hepatitis C 2018. Accesible en:</w:t>
      </w:r>
      <w:r w:rsidRPr="003F3B0A">
        <w:rPr>
          <w:rFonts w:ascii="Arial" w:hAnsi="Arial" w:cs="Arial"/>
          <w:b/>
          <w:bCs/>
          <w:sz w:val="18"/>
          <w:szCs w:val="18"/>
          <w:lang w:eastAsia="en-US"/>
        </w:rPr>
        <w:t xml:space="preserve"> </w:t>
      </w:r>
      <w:hyperlink r:id="rId89" w:history="1">
        <w:r w:rsidRPr="003F3B0A">
          <w:rPr>
            <w:rStyle w:val="Hipervnculo"/>
            <w:rFonts w:ascii="Arial" w:hAnsi="Arial" w:cs="Arial"/>
            <w:bCs/>
            <w:sz w:val="18"/>
            <w:szCs w:val="18"/>
            <w:lang w:eastAsia="en-US"/>
          </w:rPr>
          <w:t>https://seimc.org/contenidos/gruposdeestudio/gehep/dcientificos/documentos/gehep-seimc_AEEH-dc-2018-HepatitisC.pdf</w:t>
        </w:r>
      </w:hyperlink>
      <w:r w:rsidRPr="003F3B0A">
        <w:rPr>
          <w:rFonts w:ascii="Arial" w:hAnsi="Arial" w:cs="Arial"/>
          <w:bCs/>
          <w:sz w:val="18"/>
          <w:szCs w:val="18"/>
          <w:lang w:eastAsia="en-US"/>
        </w:rPr>
        <w:t xml:space="preserve"> (accedido el </w:t>
      </w:r>
      <w:r w:rsidRPr="006E7DCE">
        <w:rPr>
          <w:rFonts w:ascii="Arial" w:hAnsi="Arial" w:cs="Arial"/>
          <w:bCs/>
          <w:sz w:val="18"/>
          <w:szCs w:val="18"/>
          <w:highlight w:val="yellow"/>
          <w:lang w:eastAsia="en-US"/>
        </w:rPr>
        <w:t>30/11/2019</w:t>
      </w:r>
      <w:r w:rsidRPr="003F3B0A">
        <w:rPr>
          <w:rFonts w:ascii="Arial" w:hAnsi="Arial" w:cs="Arial"/>
          <w:bCs/>
          <w:sz w:val="18"/>
          <w:szCs w:val="18"/>
          <w:lang w:eastAsia="en-US"/>
        </w:rPr>
        <w:t>).</w:t>
      </w:r>
    </w:p>
    <w:p w14:paraId="69D702BE"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fr-FR"/>
        </w:rPr>
        <w:t xml:space="preserve">2. Maurice JB, Patel A, Scott AJ, et al. </w:t>
      </w:r>
      <w:r w:rsidRPr="003F3B0A">
        <w:rPr>
          <w:rFonts w:ascii="Arial" w:hAnsi="Arial" w:cs="Arial"/>
          <w:noProof/>
          <w:sz w:val="18"/>
          <w:szCs w:val="18"/>
          <w:lang w:val="en-US"/>
        </w:rPr>
        <w:t>Prevalence and risk factors of nonalcoholic fatty liver disease in HIV-monoinfection.</w:t>
      </w:r>
      <w:r w:rsidRPr="003F3B0A">
        <w:rPr>
          <w:lang w:val="en-US"/>
        </w:rPr>
        <w:t xml:space="preserve"> </w:t>
      </w:r>
      <w:r>
        <w:rPr>
          <w:rFonts w:ascii="Arial" w:hAnsi="Arial" w:cs="Arial"/>
          <w:noProof/>
          <w:sz w:val="18"/>
          <w:szCs w:val="18"/>
          <w:lang w:val="en-US"/>
        </w:rPr>
        <w:t>AIDS 2017;31:1621-</w:t>
      </w:r>
      <w:r w:rsidRPr="003F3B0A">
        <w:rPr>
          <w:rFonts w:ascii="Arial" w:hAnsi="Arial" w:cs="Arial"/>
          <w:noProof/>
          <w:sz w:val="18"/>
          <w:szCs w:val="18"/>
          <w:lang w:val="en-US"/>
        </w:rPr>
        <w:t>32.</w:t>
      </w:r>
    </w:p>
    <w:p w14:paraId="7891341F" w14:textId="77777777" w:rsidR="00E7457B" w:rsidRPr="00054EA8"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 xml:space="preserve">3. Soti S, Corey KE, Lake JE, et al. NAFLD and HIV: Do sex, race, and ethnicity explain HIV-related risk?. </w:t>
      </w:r>
      <w:r w:rsidRPr="00054EA8">
        <w:rPr>
          <w:rFonts w:ascii="Arial" w:hAnsi="Arial" w:cs="Arial"/>
          <w:noProof/>
          <w:sz w:val="18"/>
          <w:szCs w:val="18"/>
          <w:lang w:val="en-US"/>
        </w:rPr>
        <w:t>Curr HIV/AIDS Rep 2018;15:212-22.</w:t>
      </w:r>
    </w:p>
    <w:p w14:paraId="75898830" w14:textId="77777777" w:rsidR="00E7457B" w:rsidRPr="00A223A2" w:rsidRDefault="00E7457B" w:rsidP="00E7457B">
      <w:pPr>
        <w:spacing w:before="120" w:after="120"/>
        <w:jc w:val="both"/>
        <w:rPr>
          <w:rFonts w:ascii="Arial" w:hAnsi="Arial" w:cs="Arial"/>
          <w:noProof/>
          <w:sz w:val="18"/>
          <w:szCs w:val="18"/>
        </w:rPr>
      </w:pPr>
      <w:r w:rsidRPr="00054EA8">
        <w:rPr>
          <w:rFonts w:ascii="Arial" w:hAnsi="Arial" w:cs="Arial"/>
          <w:noProof/>
          <w:sz w:val="18"/>
          <w:szCs w:val="18"/>
          <w:lang w:val="en-US"/>
        </w:rPr>
        <w:t xml:space="preserve">4. Macias J, Berenguer J, Japon MA, et al. </w:t>
      </w:r>
      <w:r w:rsidRPr="003F3B0A">
        <w:rPr>
          <w:rFonts w:ascii="Arial" w:hAnsi="Arial" w:cs="Arial"/>
          <w:noProof/>
          <w:sz w:val="18"/>
          <w:szCs w:val="18"/>
          <w:lang w:val="en-US"/>
        </w:rPr>
        <w:t xml:space="preserve">Fast fibrosis progression between repeated liver biopsies in patients coinfected with human immunodeficiency virus/hepatitis C virus. </w:t>
      </w:r>
      <w:r w:rsidRPr="00A223A2">
        <w:rPr>
          <w:rFonts w:ascii="Arial" w:hAnsi="Arial" w:cs="Arial"/>
          <w:noProof/>
          <w:sz w:val="18"/>
          <w:szCs w:val="18"/>
        </w:rPr>
        <w:t>Hepatology 2009;50:1056-63.</w:t>
      </w:r>
    </w:p>
    <w:p w14:paraId="383A8E40" w14:textId="77777777" w:rsidR="00E7457B" w:rsidRPr="003F3B0A" w:rsidRDefault="00E7457B" w:rsidP="00E7457B">
      <w:pPr>
        <w:spacing w:before="120" w:after="120"/>
        <w:jc w:val="both"/>
        <w:rPr>
          <w:rFonts w:ascii="Arial" w:hAnsi="Arial" w:cs="Arial"/>
          <w:noProof/>
          <w:sz w:val="18"/>
          <w:szCs w:val="18"/>
          <w:lang w:val="en-US"/>
        </w:rPr>
      </w:pPr>
      <w:r w:rsidRPr="00A223A2">
        <w:rPr>
          <w:rFonts w:ascii="Arial" w:hAnsi="Arial" w:cs="Arial"/>
          <w:noProof/>
          <w:sz w:val="18"/>
          <w:szCs w:val="18"/>
        </w:rPr>
        <w:t xml:space="preserve">5. Pineda JA, Garcia-Garcia JA, Aguilar-Guisado M, et al. </w:t>
      </w:r>
      <w:r w:rsidRPr="003F3B0A">
        <w:rPr>
          <w:rFonts w:ascii="Arial" w:hAnsi="Arial" w:cs="Arial"/>
          <w:noProof/>
          <w:sz w:val="18"/>
          <w:szCs w:val="18"/>
          <w:lang w:val="en-US"/>
        </w:rPr>
        <w:t>Clinical progression of hepatitis C virus-related chronic liver disease in human immunodeficiency virus-infected patients undergoing highly active antiretro</w:t>
      </w:r>
      <w:r>
        <w:rPr>
          <w:rFonts w:ascii="Arial" w:hAnsi="Arial" w:cs="Arial"/>
          <w:noProof/>
          <w:sz w:val="18"/>
          <w:szCs w:val="18"/>
          <w:lang w:val="en-US"/>
        </w:rPr>
        <w:t>viral therapy. Hepatology 2007;</w:t>
      </w:r>
      <w:r w:rsidRPr="003F3B0A">
        <w:rPr>
          <w:rFonts w:ascii="Arial" w:hAnsi="Arial" w:cs="Arial"/>
          <w:noProof/>
          <w:sz w:val="18"/>
          <w:szCs w:val="18"/>
          <w:lang w:val="en-US"/>
        </w:rPr>
        <w:t>46:622-30.</w:t>
      </w:r>
    </w:p>
    <w:p w14:paraId="39700DFC" w14:textId="77777777" w:rsidR="00E7457B" w:rsidRPr="00054EA8"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 xml:space="preserve">6. Price H, Dunn D, Pillay D, et al. Suppression of HBV by tenofovir in HBV/HIV coinfected patients: a systematic review and meta-analysis. </w:t>
      </w:r>
      <w:r w:rsidRPr="00054EA8">
        <w:rPr>
          <w:rFonts w:ascii="Arial" w:hAnsi="Arial" w:cs="Arial"/>
          <w:noProof/>
          <w:sz w:val="18"/>
          <w:szCs w:val="18"/>
          <w:lang w:val="en-US"/>
        </w:rPr>
        <w:t>PLoS One 2013;8:e68152.</w:t>
      </w:r>
    </w:p>
    <w:p w14:paraId="1AD54322" w14:textId="77777777" w:rsidR="00E7457B" w:rsidRPr="003F3B0A" w:rsidRDefault="00E7457B" w:rsidP="00E7457B">
      <w:pPr>
        <w:spacing w:before="120" w:after="120"/>
        <w:jc w:val="both"/>
        <w:rPr>
          <w:rFonts w:ascii="Arial" w:hAnsi="Arial" w:cs="Arial"/>
          <w:noProof/>
          <w:sz w:val="18"/>
          <w:szCs w:val="18"/>
          <w:lang w:val="en-US"/>
        </w:rPr>
      </w:pPr>
      <w:r w:rsidRPr="00054EA8">
        <w:rPr>
          <w:rFonts w:ascii="Arial" w:hAnsi="Arial" w:cs="Arial"/>
          <w:noProof/>
          <w:sz w:val="18"/>
          <w:szCs w:val="18"/>
          <w:lang w:val="en-US"/>
        </w:rPr>
        <w:t xml:space="preserve">7. Gallant J, Brunetta J, Crofoot G, et al. </w:t>
      </w:r>
      <w:r w:rsidRPr="003F3B0A">
        <w:rPr>
          <w:rFonts w:ascii="Arial" w:hAnsi="Arial" w:cs="Arial"/>
          <w:noProof/>
          <w:sz w:val="18"/>
          <w:szCs w:val="18"/>
          <w:lang w:val="en-US"/>
        </w:rPr>
        <w:t xml:space="preserve">Efficacy and safety of switching to a single-tablet regimen of elvitegravir/cobicistat/emtricitabine/tenofovir alafenamide in HIV-1/hepatitis B-coinfected adults. J </w:t>
      </w:r>
      <w:r>
        <w:rPr>
          <w:rFonts w:ascii="Arial" w:hAnsi="Arial" w:cs="Arial"/>
          <w:noProof/>
          <w:sz w:val="18"/>
          <w:szCs w:val="18"/>
          <w:lang w:val="en-US"/>
        </w:rPr>
        <w:t>Acquir Immune Defic Syndr 2016;</w:t>
      </w:r>
      <w:r w:rsidRPr="003F3B0A">
        <w:rPr>
          <w:rFonts w:ascii="Arial" w:hAnsi="Arial" w:cs="Arial"/>
          <w:noProof/>
          <w:sz w:val="18"/>
          <w:szCs w:val="18"/>
          <w:lang w:val="en-US"/>
        </w:rPr>
        <w:t>73:294-8.</w:t>
      </w:r>
    </w:p>
    <w:p w14:paraId="027D26E1" w14:textId="77777777" w:rsidR="00E7457B" w:rsidRPr="00054EA8"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 xml:space="preserve">8. Chan HL, Fung S, Seto WK, et al. Tenofovir alafenamide versus tenofovir disoproxil fumarate for the treatment of HBeAg-positive chronic hepatitis B virus infection: a randomised, double-blind, phase 3, non-inferiority trial. </w:t>
      </w:r>
      <w:r w:rsidRPr="00054EA8">
        <w:rPr>
          <w:rFonts w:ascii="Arial" w:hAnsi="Arial" w:cs="Arial"/>
          <w:noProof/>
          <w:sz w:val="18"/>
          <w:szCs w:val="18"/>
          <w:lang w:val="en-US"/>
        </w:rPr>
        <w:t>Lancet Gastroenterol Hepatol 2016;1:185-95.</w:t>
      </w:r>
    </w:p>
    <w:p w14:paraId="164929B5" w14:textId="77777777" w:rsidR="00E7457B" w:rsidRPr="003F3B0A" w:rsidRDefault="00E7457B" w:rsidP="00E7457B">
      <w:pPr>
        <w:spacing w:before="120" w:after="120"/>
        <w:jc w:val="both"/>
        <w:rPr>
          <w:rFonts w:ascii="Arial" w:hAnsi="Arial" w:cs="Arial"/>
          <w:noProof/>
          <w:sz w:val="18"/>
          <w:szCs w:val="18"/>
          <w:lang w:val="en-US"/>
        </w:rPr>
      </w:pPr>
      <w:r w:rsidRPr="00054EA8">
        <w:rPr>
          <w:rFonts w:ascii="Arial" w:hAnsi="Arial" w:cs="Arial"/>
          <w:noProof/>
          <w:sz w:val="18"/>
          <w:szCs w:val="18"/>
          <w:lang w:val="en-US"/>
        </w:rPr>
        <w:t xml:space="preserve">9. Buti M, Gane E, Seto WK, et al. </w:t>
      </w:r>
      <w:r w:rsidRPr="003F3B0A">
        <w:rPr>
          <w:rFonts w:ascii="Arial" w:hAnsi="Arial" w:cs="Arial"/>
          <w:noProof/>
          <w:sz w:val="18"/>
          <w:szCs w:val="18"/>
          <w:lang w:val="en-US"/>
        </w:rPr>
        <w:t>Tenofovir alafenamide versus tenofovir disoproxil fumarate for the treatment of patients with HBeAg-negative chronic hepatitis B virus infection: a randomised, double-blind, phase 3, non-inferiority trial. Lan</w:t>
      </w:r>
      <w:r>
        <w:rPr>
          <w:rFonts w:ascii="Arial" w:hAnsi="Arial" w:cs="Arial"/>
          <w:noProof/>
          <w:sz w:val="18"/>
          <w:szCs w:val="18"/>
          <w:lang w:val="en-US"/>
        </w:rPr>
        <w:t>cet Gastroenterol Hepatol 2016;</w:t>
      </w:r>
      <w:r w:rsidRPr="003F3B0A">
        <w:rPr>
          <w:rFonts w:ascii="Arial" w:hAnsi="Arial" w:cs="Arial"/>
          <w:noProof/>
          <w:sz w:val="18"/>
          <w:szCs w:val="18"/>
          <w:lang w:val="en-US"/>
        </w:rPr>
        <w:t>1:196-206.</w:t>
      </w:r>
    </w:p>
    <w:p w14:paraId="0FD1BF6E" w14:textId="77777777" w:rsidR="00E7457B" w:rsidRPr="003F3B0A" w:rsidRDefault="00E7457B" w:rsidP="00E7457B">
      <w:pPr>
        <w:spacing w:before="120" w:after="120"/>
        <w:jc w:val="both"/>
        <w:rPr>
          <w:rFonts w:ascii="Arial" w:hAnsi="Arial" w:cs="Arial"/>
          <w:noProof/>
          <w:sz w:val="18"/>
          <w:szCs w:val="18"/>
          <w:lang w:val="en-US"/>
        </w:rPr>
      </w:pPr>
      <w:r w:rsidRPr="00054EA8">
        <w:rPr>
          <w:rFonts w:ascii="Arial" w:hAnsi="Arial" w:cs="Arial"/>
          <w:noProof/>
          <w:sz w:val="18"/>
          <w:szCs w:val="18"/>
          <w:lang w:val="en-US"/>
        </w:rPr>
        <w:t xml:space="preserve">10. Bellini C, Keiser O, Chave JP, et al. </w:t>
      </w:r>
      <w:r w:rsidRPr="003F3B0A">
        <w:rPr>
          <w:rFonts w:ascii="Arial" w:hAnsi="Arial" w:cs="Arial"/>
          <w:noProof/>
          <w:sz w:val="18"/>
          <w:szCs w:val="18"/>
          <w:lang w:val="en-US"/>
        </w:rPr>
        <w:t xml:space="preserve">Liver enzyme elevation after lamivudine withdrawal in HIV-hepatitis B virus co-infected patients: the Swiss </w:t>
      </w:r>
      <w:r>
        <w:rPr>
          <w:rFonts w:ascii="Arial" w:hAnsi="Arial" w:cs="Arial"/>
          <w:noProof/>
          <w:sz w:val="18"/>
          <w:szCs w:val="18"/>
          <w:lang w:val="en-US"/>
        </w:rPr>
        <w:t>HIV Cohort Study. HIV Med 2009;10:12-</w:t>
      </w:r>
      <w:r w:rsidRPr="003F3B0A">
        <w:rPr>
          <w:rFonts w:ascii="Arial" w:hAnsi="Arial" w:cs="Arial"/>
          <w:noProof/>
          <w:sz w:val="18"/>
          <w:szCs w:val="18"/>
          <w:lang w:val="en-US"/>
        </w:rPr>
        <w:t>8.</w:t>
      </w:r>
    </w:p>
    <w:p w14:paraId="7CA98BB1" w14:textId="77777777" w:rsidR="00E7457B" w:rsidRPr="003F3B0A" w:rsidRDefault="00E7457B" w:rsidP="00E7457B">
      <w:pPr>
        <w:spacing w:before="120" w:after="120"/>
        <w:jc w:val="both"/>
        <w:rPr>
          <w:rFonts w:ascii="Arial" w:hAnsi="Arial" w:cs="Arial"/>
          <w:noProof/>
          <w:sz w:val="18"/>
          <w:szCs w:val="18"/>
        </w:rPr>
      </w:pPr>
      <w:r w:rsidRPr="003F3B0A">
        <w:rPr>
          <w:rFonts w:ascii="Arial" w:hAnsi="Arial" w:cs="Arial"/>
          <w:noProof/>
          <w:sz w:val="18"/>
          <w:szCs w:val="18"/>
          <w:lang w:val="en-US"/>
        </w:rPr>
        <w:t xml:space="preserve">11. Macias J, Neukam K, Mallolas J, et al. Liver toxicity of initial antiretroviral drug regimens including two nucleoside analogs plus one non-nucleoside analog or one ritonavir-boosted protease inhibitor in HIV/HCV-coinfected patients. </w:t>
      </w:r>
      <w:r>
        <w:rPr>
          <w:rFonts w:ascii="Arial" w:hAnsi="Arial" w:cs="Arial"/>
          <w:noProof/>
          <w:sz w:val="18"/>
          <w:szCs w:val="18"/>
        </w:rPr>
        <w:t>HIV Clin Trials 2012;</w:t>
      </w:r>
      <w:r w:rsidRPr="003F3B0A">
        <w:rPr>
          <w:rFonts w:ascii="Arial" w:hAnsi="Arial" w:cs="Arial"/>
          <w:noProof/>
          <w:sz w:val="18"/>
          <w:szCs w:val="18"/>
        </w:rPr>
        <w:t>13:61-9.</w:t>
      </w:r>
    </w:p>
    <w:p w14:paraId="0F60F001" w14:textId="77777777" w:rsidR="00E7457B" w:rsidRPr="00A223A2" w:rsidRDefault="00E7457B" w:rsidP="00E7457B">
      <w:pPr>
        <w:spacing w:before="120" w:after="120"/>
        <w:jc w:val="both"/>
        <w:rPr>
          <w:rFonts w:ascii="Arial" w:hAnsi="Arial" w:cs="Arial"/>
          <w:noProof/>
          <w:sz w:val="18"/>
          <w:szCs w:val="18"/>
        </w:rPr>
      </w:pPr>
      <w:r w:rsidRPr="003F3B0A">
        <w:rPr>
          <w:rFonts w:ascii="Arial" w:hAnsi="Arial" w:cs="Arial"/>
          <w:noProof/>
          <w:sz w:val="18"/>
          <w:szCs w:val="18"/>
        </w:rPr>
        <w:t xml:space="preserve">12. Rodriguez JM, Hermida JM, Casado JL, et al. </w:t>
      </w:r>
      <w:r w:rsidRPr="003F3B0A">
        <w:rPr>
          <w:rFonts w:ascii="Arial" w:hAnsi="Arial" w:cs="Arial"/>
          <w:noProof/>
          <w:sz w:val="18"/>
          <w:szCs w:val="18"/>
          <w:lang w:val="en-US"/>
        </w:rPr>
        <w:t xml:space="preserve">The use of atazanavir in HIV-infected patients with liver cirrhosis: lack of hepatotoxicity and no significant changes in bilirubin values or model for end-stage liver disease score. </w:t>
      </w:r>
      <w:r w:rsidRPr="00A223A2">
        <w:rPr>
          <w:rFonts w:ascii="Arial" w:hAnsi="Arial" w:cs="Arial"/>
          <w:noProof/>
          <w:sz w:val="18"/>
          <w:szCs w:val="18"/>
        </w:rPr>
        <w:t>AIDS 2011; 25:1006-9.</w:t>
      </w:r>
    </w:p>
    <w:p w14:paraId="14E3FCA8" w14:textId="77777777" w:rsidR="00E7457B" w:rsidRPr="003F3B0A" w:rsidRDefault="00E7457B" w:rsidP="00E7457B">
      <w:pPr>
        <w:spacing w:before="120" w:after="120"/>
        <w:jc w:val="both"/>
        <w:rPr>
          <w:rFonts w:ascii="Arial" w:hAnsi="Arial" w:cs="Arial"/>
          <w:noProof/>
          <w:sz w:val="18"/>
          <w:szCs w:val="18"/>
          <w:lang w:val="en-US"/>
        </w:rPr>
      </w:pPr>
      <w:r w:rsidRPr="00A223A2">
        <w:rPr>
          <w:rFonts w:ascii="Arial" w:hAnsi="Arial" w:cs="Arial"/>
          <w:noProof/>
          <w:sz w:val="18"/>
          <w:szCs w:val="18"/>
        </w:rPr>
        <w:t xml:space="preserve">13. Perez-Elias MJ, Morellon ML, Ortega E, et al. </w:t>
      </w:r>
      <w:r w:rsidRPr="003F3B0A">
        <w:rPr>
          <w:rFonts w:ascii="Arial" w:hAnsi="Arial" w:cs="Arial"/>
          <w:noProof/>
          <w:sz w:val="18"/>
          <w:szCs w:val="18"/>
          <w:lang w:val="en-US"/>
        </w:rPr>
        <w:t>Pharmacokinetics of fosamprenavir plus ritonavir in human immunodeficiency virus type 1-infected adult subjects with hepatic impairment. An</w:t>
      </w:r>
      <w:r>
        <w:rPr>
          <w:rFonts w:ascii="Arial" w:hAnsi="Arial" w:cs="Arial"/>
          <w:noProof/>
          <w:sz w:val="18"/>
          <w:szCs w:val="18"/>
          <w:lang w:val="en-US"/>
        </w:rPr>
        <w:t>timicrob Agents Chemother 2009;</w:t>
      </w:r>
      <w:r w:rsidRPr="003F3B0A">
        <w:rPr>
          <w:rFonts w:ascii="Arial" w:hAnsi="Arial" w:cs="Arial"/>
          <w:noProof/>
          <w:sz w:val="18"/>
          <w:szCs w:val="18"/>
          <w:lang w:val="en-US"/>
        </w:rPr>
        <w:t>53:5185-96.</w:t>
      </w:r>
    </w:p>
    <w:p w14:paraId="0960658B"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 xml:space="preserve">14. Song IH, Borland J, Savina </w:t>
      </w:r>
      <w:r>
        <w:rPr>
          <w:rFonts w:ascii="Arial" w:hAnsi="Arial" w:cs="Arial"/>
          <w:noProof/>
          <w:sz w:val="18"/>
          <w:szCs w:val="18"/>
          <w:lang w:val="en-US"/>
        </w:rPr>
        <w:t>PM, et al. Pharmacokinetics of single-dose dolutegravir in HIV-seronegative subjects with moderate hepatic impairment c</w:t>
      </w:r>
      <w:r w:rsidRPr="003F3B0A">
        <w:rPr>
          <w:rFonts w:ascii="Arial" w:hAnsi="Arial" w:cs="Arial"/>
          <w:noProof/>
          <w:sz w:val="18"/>
          <w:szCs w:val="18"/>
          <w:lang w:val="en-US"/>
        </w:rPr>
        <w:t>ompared</w:t>
      </w:r>
      <w:r>
        <w:rPr>
          <w:rFonts w:ascii="Arial" w:hAnsi="Arial" w:cs="Arial"/>
          <w:noProof/>
          <w:sz w:val="18"/>
          <w:szCs w:val="18"/>
          <w:lang w:val="en-US"/>
        </w:rPr>
        <w:t xml:space="preserve"> to healthy matched c</w:t>
      </w:r>
      <w:r w:rsidRPr="003F3B0A">
        <w:rPr>
          <w:rFonts w:ascii="Arial" w:hAnsi="Arial" w:cs="Arial"/>
          <w:noProof/>
          <w:sz w:val="18"/>
          <w:szCs w:val="18"/>
          <w:lang w:val="en-US"/>
        </w:rPr>
        <w:t xml:space="preserve">ontrols. Clinical </w:t>
      </w:r>
      <w:r>
        <w:rPr>
          <w:rFonts w:ascii="Arial" w:hAnsi="Arial" w:cs="Arial"/>
          <w:noProof/>
          <w:sz w:val="18"/>
          <w:szCs w:val="18"/>
          <w:lang w:val="en-US"/>
        </w:rPr>
        <w:t>Pharmacol Drug Dev 2013;</w:t>
      </w:r>
      <w:r w:rsidRPr="003F3B0A">
        <w:rPr>
          <w:rFonts w:ascii="Arial" w:hAnsi="Arial" w:cs="Arial"/>
          <w:noProof/>
          <w:sz w:val="18"/>
          <w:szCs w:val="18"/>
          <w:lang w:val="en-US"/>
        </w:rPr>
        <w:t>2:342-8.</w:t>
      </w:r>
    </w:p>
    <w:p w14:paraId="522434ED"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15. Custodio JM, Rhee M, Shen G, et al. Pharmacokinetics and safety of boosted elvitegravir in subjects with hepatic impairment. Ant</w:t>
      </w:r>
      <w:r>
        <w:rPr>
          <w:rFonts w:ascii="Arial" w:hAnsi="Arial" w:cs="Arial"/>
          <w:noProof/>
          <w:sz w:val="18"/>
          <w:szCs w:val="18"/>
          <w:lang w:val="en-US"/>
        </w:rPr>
        <w:t xml:space="preserve">imicrob Agents Chemother 2014; </w:t>
      </w:r>
      <w:r w:rsidRPr="003F3B0A">
        <w:rPr>
          <w:rFonts w:ascii="Arial" w:hAnsi="Arial" w:cs="Arial"/>
          <w:noProof/>
          <w:sz w:val="18"/>
          <w:szCs w:val="18"/>
          <w:lang w:val="en-US"/>
        </w:rPr>
        <w:t>58:2564-9.</w:t>
      </w:r>
    </w:p>
    <w:p w14:paraId="520F411D"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16 Merli M, Galli L, Marinaro L. Pharmacokinetics of dolutegravir and rilpivirine in combination with simeprevir and sofosbuvir in HIV/hepatitis C virus-coinfected patients with liver cirrhosi</w:t>
      </w:r>
      <w:r>
        <w:rPr>
          <w:rFonts w:ascii="Arial" w:hAnsi="Arial" w:cs="Arial"/>
          <w:noProof/>
          <w:sz w:val="18"/>
          <w:szCs w:val="18"/>
          <w:lang w:val="en-US"/>
        </w:rPr>
        <w:t>s. J Antimicrob Chemother 2017;72:812-</w:t>
      </w:r>
      <w:r w:rsidRPr="003F3B0A">
        <w:rPr>
          <w:rFonts w:ascii="Arial" w:hAnsi="Arial" w:cs="Arial"/>
          <w:noProof/>
          <w:sz w:val="18"/>
          <w:szCs w:val="18"/>
          <w:lang w:val="en-US"/>
        </w:rPr>
        <w:t>5.</w:t>
      </w:r>
    </w:p>
    <w:p w14:paraId="2E41C749"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17. Hernandez-Novoa B, Moreno A, Perez-Elias MJ, et al. Raltegravir pharmacokinetics in HIV/ HCV-coinfected patients with advanced liver cirrhosis (Child-Pugh C</w:t>
      </w:r>
      <w:r>
        <w:rPr>
          <w:rFonts w:ascii="Arial" w:hAnsi="Arial" w:cs="Arial"/>
          <w:noProof/>
          <w:sz w:val="18"/>
          <w:szCs w:val="18"/>
          <w:lang w:val="en-US"/>
        </w:rPr>
        <w:t>). J Antimicrob Chemother 2014;</w:t>
      </w:r>
      <w:r w:rsidRPr="003F3B0A">
        <w:rPr>
          <w:rFonts w:ascii="Arial" w:hAnsi="Arial" w:cs="Arial"/>
          <w:noProof/>
          <w:sz w:val="18"/>
          <w:szCs w:val="18"/>
          <w:lang w:val="en-US"/>
        </w:rPr>
        <w:t>69:471-5.</w:t>
      </w:r>
    </w:p>
    <w:p w14:paraId="2C86F584"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18. El-Sherif O, Back D. Drug interactions of hepatitis C direct-acting antivirals in the HIV-infected person.</w:t>
      </w:r>
      <w:r>
        <w:rPr>
          <w:rFonts w:ascii="Arial" w:hAnsi="Arial" w:cs="Arial"/>
          <w:noProof/>
          <w:sz w:val="18"/>
          <w:szCs w:val="18"/>
          <w:lang w:val="en-US"/>
        </w:rPr>
        <w:t xml:space="preserve"> Current HIV/AIDS reports 2015;</w:t>
      </w:r>
      <w:r w:rsidRPr="003F3B0A">
        <w:rPr>
          <w:rFonts w:ascii="Arial" w:hAnsi="Arial" w:cs="Arial"/>
          <w:noProof/>
          <w:sz w:val="18"/>
          <w:szCs w:val="18"/>
          <w:lang w:val="en-US"/>
        </w:rPr>
        <w:t>12:336-43.</w:t>
      </w:r>
    </w:p>
    <w:p w14:paraId="5085930E" w14:textId="77777777" w:rsidR="00E7457B" w:rsidRPr="003F3B0A" w:rsidRDefault="00E7457B" w:rsidP="00E7457B">
      <w:pPr>
        <w:spacing w:before="120" w:after="120"/>
        <w:jc w:val="both"/>
        <w:rPr>
          <w:rFonts w:ascii="Arial" w:hAnsi="Arial" w:cs="Arial"/>
          <w:noProof/>
          <w:sz w:val="18"/>
          <w:szCs w:val="18"/>
          <w:lang w:val="en-US"/>
        </w:rPr>
      </w:pPr>
      <w:r w:rsidRPr="003F3B0A">
        <w:rPr>
          <w:rFonts w:ascii="Arial" w:hAnsi="Arial" w:cs="Arial"/>
          <w:noProof/>
          <w:sz w:val="18"/>
          <w:szCs w:val="18"/>
          <w:lang w:val="en-US"/>
        </w:rPr>
        <w:t xml:space="preserve">19. HEP drug interaction checker. University of Liverpool. http://www.hep-druginteractions.org/ (Consultada el </w:t>
      </w:r>
      <w:r w:rsidRPr="006E7DCE">
        <w:rPr>
          <w:rFonts w:ascii="Arial" w:hAnsi="Arial" w:cs="Arial"/>
          <w:noProof/>
          <w:sz w:val="18"/>
          <w:szCs w:val="18"/>
          <w:highlight w:val="yellow"/>
          <w:lang w:val="en-US"/>
        </w:rPr>
        <w:t>30.11.2019</w:t>
      </w:r>
      <w:r w:rsidRPr="003F3B0A">
        <w:rPr>
          <w:rFonts w:ascii="Arial" w:hAnsi="Arial" w:cs="Arial"/>
          <w:noProof/>
          <w:sz w:val="18"/>
          <w:szCs w:val="18"/>
          <w:lang w:val="en-US"/>
        </w:rPr>
        <w:t xml:space="preserve">). </w:t>
      </w:r>
    </w:p>
    <w:p w14:paraId="68A1F9EC" w14:textId="77777777" w:rsidR="00E7457B" w:rsidRDefault="00E7457B" w:rsidP="000C6155">
      <w:pPr>
        <w:spacing w:before="120" w:after="120"/>
        <w:jc w:val="both"/>
        <w:rPr>
          <w:rFonts w:ascii="Arial" w:hAnsi="Arial" w:cs="Arial"/>
          <w:noProof/>
          <w:sz w:val="18"/>
          <w:szCs w:val="18"/>
          <w:lang w:val="en-US"/>
        </w:rPr>
        <w:sectPr w:rsidR="00E7457B" w:rsidSect="00E7457B">
          <w:headerReference w:type="default" r:id="rId90"/>
          <w:footerReference w:type="default" r:id="rId91"/>
          <w:pgSz w:w="11906" w:h="16838"/>
          <w:pgMar w:top="1417" w:right="1701" w:bottom="1417" w:left="1701" w:header="708" w:footer="708" w:gutter="0"/>
          <w:cols w:num="2" w:sep="1" w:space="720"/>
          <w:docGrid w:linePitch="360"/>
        </w:sectPr>
      </w:pPr>
    </w:p>
    <w:p w14:paraId="001327CF" w14:textId="5F7362CB" w:rsidR="000C6155" w:rsidRPr="00B32B65" w:rsidRDefault="000C6155" w:rsidP="000C6155">
      <w:pPr>
        <w:spacing w:before="120" w:after="120"/>
        <w:jc w:val="both"/>
        <w:rPr>
          <w:rFonts w:ascii="Arial" w:hAnsi="Arial" w:cs="Arial"/>
          <w:noProof/>
          <w:sz w:val="18"/>
          <w:szCs w:val="18"/>
          <w:lang w:val="en-US"/>
        </w:rPr>
      </w:pPr>
    </w:p>
    <w:p w14:paraId="3A583CB8" w14:textId="77777777" w:rsidR="000C6155" w:rsidRPr="000C6155" w:rsidRDefault="000C6155">
      <w:pPr>
        <w:rPr>
          <w:rFonts w:ascii="Arial" w:hAnsi="Arial" w:cs="Arial"/>
          <w:i/>
          <w:iCs/>
          <w:color w:val="AE1C1F"/>
          <w:lang w:val="en-US"/>
        </w:rPr>
      </w:pPr>
      <w:r w:rsidRPr="000C6155">
        <w:rPr>
          <w:rFonts w:ascii="Arial" w:hAnsi="Arial" w:cs="Arial"/>
          <w:i/>
          <w:iCs/>
          <w:color w:val="AE1C1F"/>
          <w:lang w:val="en-US"/>
        </w:rPr>
        <w:br w:type="page"/>
      </w:r>
    </w:p>
    <w:p w14:paraId="78586AE4" w14:textId="77777777" w:rsidR="00582AFE" w:rsidRPr="00EE52E6" w:rsidRDefault="00582AFE" w:rsidP="00582AFE">
      <w:pPr>
        <w:spacing w:before="120" w:after="120" w:line="276" w:lineRule="auto"/>
        <w:jc w:val="both"/>
        <w:rPr>
          <w:rFonts w:ascii="Arial" w:hAnsi="Arial" w:cs="Arial"/>
          <w:i/>
          <w:iCs/>
          <w:color w:val="AE1C1F"/>
        </w:rPr>
      </w:pPr>
      <w:r w:rsidRPr="00EE52E6">
        <w:rPr>
          <w:rFonts w:ascii="Arial" w:hAnsi="Arial" w:cs="Arial"/>
          <w:i/>
          <w:iCs/>
          <w:color w:val="AE1C1F"/>
        </w:rPr>
        <w:lastRenderedPageBreak/>
        <w:t xml:space="preserve">7.4.5. Neoplasias </w:t>
      </w:r>
    </w:p>
    <w:p w14:paraId="7309A6F5" w14:textId="77777777" w:rsidR="00582AFE" w:rsidRPr="00EE52E6" w:rsidRDefault="00582AFE" w:rsidP="00582AFE">
      <w:pPr>
        <w:autoSpaceDE w:val="0"/>
        <w:autoSpaceDN w:val="0"/>
        <w:adjustRightInd w:val="0"/>
        <w:spacing w:before="120" w:after="120" w:line="276" w:lineRule="auto"/>
        <w:jc w:val="both"/>
        <w:rPr>
          <w:rFonts w:ascii="Arial" w:hAnsi="Arial" w:cs="Arial"/>
          <w:color w:val="000000"/>
          <w:lang w:eastAsia="en-US"/>
        </w:rPr>
      </w:pPr>
      <w:r w:rsidRPr="00EE52E6">
        <w:rPr>
          <w:rFonts w:ascii="Arial" w:hAnsi="Arial" w:cs="Arial"/>
          <w:color w:val="000000"/>
          <w:lang w:eastAsia="en-US"/>
        </w:rPr>
        <w:t>Se recomienda la lectura de documentos específicos acerca de las neoplasias en pacientes con infección por el VIH</w:t>
      </w:r>
      <w:r w:rsidRPr="00EE52E6">
        <w:rPr>
          <w:rFonts w:ascii="Arial" w:hAnsi="Arial" w:cs="Arial"/>
          <w:noProof/>
          <w:color w:val="000000"/>
          <w:vertAlign w:val="superscript"/>
          <w:lang w:eastAsia="en-US"/>
        </w:rPr>
        <w:t>1-3</w:t>
      </w:r>
      <w:r w:rsidRPr="00EE52E6">
        <w:rPr>
          <w:rFonts w:ascii="Arial" w:hAnsi="Arial" w:cs="Arial"/>
          <w:color w:val="000000"/>
          <w:lang w:eastAsia="en-US"/>
        </w:rPr>
        <w:t>. En general, el TAR debe iniciarse lo antes posible.</w:t>
      </w:r>
    </w:p>
    <w:p w14:paraId="54570834" w14:textId="77777777" w:rsidR="00582AFE" w:rsidRPr="00EE52E6" w:rsidRDefault="00582AFE" w:rsidP="00582AFE">
      <w:pPr>
        <w:autoSpaceDE w:val="0"/>
        <w:autoSpaceDN w:val="0"/>
        <w:adjustRightInd w:val="0"/>
        <w:spacing w:before="120" w:after="120" w:line="276" w:lineRule="auto"/>
        <w:jc w:val="both"/>
        <w:rPr>
          <w:rFonts w:ascii="Arial" w:hAnsi="Arial" w:cs="Arial"/>
          <w:color w:val="000000"/>
          <w:lang w:eastAsia="en-US"/>
        </w:rPr>
      </w:pPr>
      <w:r w:rsidRPr="00EE52E6">
        <w:rPr>
          <w:rFonts w:ascii="Arial" w:hAnsi="Arial" w:cs="Arial"/>
          <w:color w:val="000000"/>
          <w:lang w:val="es-ES_tradnl" w:eastAsia="en-US"/>
        </w:rPr>
        <w:t xml:space="preserve">Los pacientes con cáncer tratados con quimioterapia o radioterapia tienen riesgo de inmunodepresión y disminución </w:t>
      </w:r>
      <w:r w:rsidRPr="001D1670">
        <w:rPr>
          <w:rFonts w:ascii="Arial" w:hAnsi="Arial" w:cs="Arial"/>
          <w:color w:val="000000"/>
          <w:highlight w:val="yellow"/>
          <w:lang w:val="es-ES_tradnl" w:eastAsia="en-US"/>
        </w:rPr>
        <w:t>de la cifra de linfocitos CD4+ en sangre</w:t>
      </w:r>
      <w:r w:rsidRPr="00EE52E6">
        <w:rPr>
          <w:rFonts w:ascii="Arial" w:hAnsi="Arial" w:cs="Arial"/>
          <w:color w:val="000000"/>
          <w:lang w:val="es-ES_tradnl" w:eastAsia="en-US"/>
        </w:rPr>
        <w:t>, lo que de por sí justificaría el inicio de TAR</w:t>
      </w:r>
      <w:r w:rsidRPr="00EE52E6">
        <w:rPr>
          <w:rFonts w:ascii="Arial" w:hAnsi="Arial" w:cs="Arial"/>
          <w:noProof/>
          <w:color w:val="000000"/>
          <w:vertAlign w:val="superscript"/>
          <w:lang w:eastAsia="en-US"/>
        </w:rPr>
        <w:t>2,3</w:t>
      </w:r>
      <w:r w:rsidRPr="00EE52E6">
        <w:rPr>
          <w:rFonts w:ascii="Arial" w:hAnsi="Arial" w:cs="Arial"/>
          <w:color w:val="000000"/>
          <w:lang w:val="es-ES_tradnl" w:eastAsia="en-US"/>
        </w:rPr>
        <w:t xml:space="preserve">. </w:t>
      </w:r>
      <w:r w:rsidRPr="00EE52E6">
        <w:rPr>
          <w:rFonts w:ascii="Arial" w:hAnsi="Arial" w:cs="Arial"/>
          <w:color w:val="000000"/>
          <w:lang w:eastAsia="en-US"/>
        </w:rPr>
        <w:t>Es importante considerar el perfil de toxicidad y las posibles interacciones farmacocinéticas con los fármacos antineoplásicos, principalmente de aquellos FAR que se metabolizan por la vía del CYP450</w:t>
      </w:r>
      <w:r w:rsidRPr="00EE52E6">
        <w:rPr>
          <w:rFonts w:ascii="Arial" w:hAnsi="Arial" w:cs="Arial"/>
          <w:noProof/>
          <w:color w:val="000000"/>
          <w:vertAlign w:val="superscript"/>
          <w:lang w:eastAsia="en-US"/>
        </w:rPr>
        <w:t>2,4</w:t>
      </w:r>
      <w:r w:rsidRPr="00EE52E6">
        <w:rPr>
          <w:rFonts w:ascii="Arial" w:hAnsi="Arial" w:cs="Arial"/>
          <w:color w:val="000000"/>
          <w:lang w:eastAsia="en-US"/>
        </w:rPr>
        <w:t>. Los IP/p se asocian a neutropenia más profunda y prolongada cuando se coadministran con la quimioterapia de los linfomas</w:t>
      </w:r>
      <w:r w:rsidRPr="00EE52E6">
        <w:rPr>
          <w:rFonts w:ascii="Arial" w:hAnsi="Arial" w:cs="Arial"/>
          <w:noProof/>
          <w:color w:val="000000"/>
          <w:vertAlign w:val="superscript"/>
          <w:lang w:eastAsia="en-US"/>
        </w:rPr>
        <w:t>2-4</w:t>
      </w:r>
      <w:r w:rsidRPr="00EE52E6">
        <w:rPr>
          <w:rFonts w:ascii="Arial" w:hAnsi="Arial" w:cs="Arial"/>
          <w:color w:val="000000"/>
          <w:lang w:eastAsia="en-US"/>
        </w:rPr>
        <w:t>. Algunos de ellos</w:t>
      </w:r>
      <w:r>
        <w:rPr>
          <w:rFonts w:ascii="Arial" w:hAnsi="Arial" w:cs="Arial"/>
          <w:color w:val="000000"/>
          <w:lang w:eastAsia="en-US"/>
        </w:rPr>
        <w:t>,</w:t>
      </w:r>
      <w:r w:rsidRPr="00EE52E6">
        <w:rPr>
          <w:rFonts w:ascii="Arial" w:hAnsi="Arial" w:cs="Arial"/>
          <w:color w:val="000000"/>
          <w:lang w:eastAsia="en-US"/>
        </w:rPr>
        <w:t xml:space="preserve"> así como la RPV</w:t>
      </w:r>
      <w:r>
        <w:rPr>
          <w:rFonts w:ascii="Arial" w:hAnsi="Arial" w:cs="Arial"/>
          <w:color w:val="000000"/>
          <w:lang w:eastAsia="en-US"/>
        </w:rPr>
        <w:t>,</w:t>
      </w:r>
      <w:r w:rsidRPr="00EE52E6">
        <w:rPr>
          <w:rFonts w:ascii="Arial" w:hAnsi="Arial" w:cs="Arial"/>
          <w:color w:val="000000"/>
          <w:lang w:eastAsia="en-US"/>
        </w:rPr>
        <w:t xml:space="preserve"> alargan el intervalo QT, lo que podría potenciar este efecto cuando se usan junto a determinados fármacos antineoplásicos</w:t>
      </w:r>
      <w:r w:rsidRPr="00EE52E6">
        <w:rPr>
          <w:rFonts w:ascii="Arial" w:hAnsi="Arial" w:cs="Arial"/>
          <w:noProof/>
          <w:color w:val="000000"/>
          <w:vertAlign w:val="superscript"/>
          <w:lang w:eastAsia="en-US"/>
        </w:rPr>
        <w:t>2,4</w:t>
      </w:r>
      <w:r w:rsidRPr="00EE52E6">
        <w:rPr>
          <w:rFonts w:ascii="Arial" w:hAnsi="Arial" w:cs="Arial"/>
          <w:color w:val="000000"/>
          <w:lang w:eastAsia="en-US"/>
        </w:rPr>
        <w:t>. Además, los IP/p pueden presentar mayor toxicidad, más interacciones y menor eficacia virológica que los ITINN y RAL</w:t>
      </w:r>
      <w:r w:rsidRPr="00EE52E6">
        <w:rPr>
          <w:rFonts w:ascii="Arial" w:hAnsi="Arial" w:cs="Arial"/>
          <w:noProof/>
          <w:color w:val="000000"/>
          <w:vertAlign w:val="superscript"/>
          <w:lang w:eastAsia="en-US"/>
        </w:rPr>
        <w:t>5</w:t>
      </w:r>
      <w:r w:rsidRPr="00EE52E6">
        <w:rPr>
          <w:rFonts w:ascii="Arial" w:hAnsi="Arial" w:cs="Arial"/>
          <w:color w:val="000000"/>
          <w:lang w:eastAsia="en-US"/>
        </w:rPr>
        <w:t>.</w:t>
      </w:r>
    </w:p>
    <w:p w14:paraId="29E28ED4" w14:textId="77777777" w:rsidR="00582AFE" w:rsidRPr="00EE52E6" w:rsidRDefault="00582AFE" w:rsidP="00582AFE">
      <w:pPr>
        <w:autoSpaceDE w:val="0"/>
        <w:autoSpaceDN w:val="0"/>
        <w:adjustRightInd w:val="0"/>
        <w:spacing w:before="120" w:after="120" w:line="276" w:lineRule="auto"/>
        <w:jc w:val="both"/>
        <w:rPr>
          <w:rFonts w:ascii="Arial" w:hAnsi="Arial" w:cs="Arial"/>
          <w:color w:val="AE1C1F"/>
          <w:lang w:eastAsia="en-US"/>
        </w:rPr>
      </w:pPr>
      <w:r w:rsidRPr="00EE52E6">
        <w:rPr>
          <w:rFonts w:ascii="Arial" w:hAnsi="Arial" w:cs="Arial"/>
          <w:b/>
          <w:bCs/>
          <w:color w:val="AE1C1F"/>
          <w:lang w:eastAsia="en-US"/>
        </w:rPr>
        <w:t>Recomendaciones</w:t>
      </w:r>
    </w:p>
    <w:p w14:paraId="738E2FFB" w14:textId="3D4CFB56" w:rsidR="00582AFE" w:rsidRPr="00EE52E6" w:rsidRDefault="00582AFE" w:rsidP="00582AFE">
      <w:pPr>
        <w:pStyle w:val="Prrafodelista"/>
        <w:numPr>
          <w:ilvl w:val="0"/>
          <w:numId w:val="25"/>
        </w:numPr>
        <w:autoSpaceDE w:val="0"/>
        <w:autoSpaceDN w:val="0"/>
        <w:adjustRightInd w:val="0"/>
        <w:spacing w:before="120" w:after="120" w:line="276" w:lineRule="auto"/>
        <w:ind w:left="714" w:hanging="357"/>
        <w:contextualSpacing w:val="0"/>
        <w:jc w:val="both"/>
        <w:rPr>
          <w:rFonts w:ascii="Arial" w:hAnsi="Arial" w:cs="Arial"/>
          <w:color w:val="000000"/>
        </w:rPr>
      </w:pPr>
      <w:r w:rsidRPr="00EE52E6">
        <w:rPr>
          <w:rFonts w:ascii="Arial" w:hAnsi="Arial" w:cs="Arial"/>
          <w:color w:val="000000"/>
        </w:rPr>
        <w:t>El TAR es un pilar fundamental en el tratamiento de los pacientes con infección por el VIH-1 con SK o LNH (</w:t>
      </w:r>
      <w:r w:rsidRPr="00EE52E6">
        <w:rPr>
          <w:rFonts w:ascii="Arial" w:hAnsi="Arial" w:cs="Arial"/>
          <w:b/>
          <w:bCs/>
          <w:i/>
          <w:iCs/>
          <w:color w:val="000000"/>
        </w:rPr>
        <w:t>A-II</w:t>
      </w:r>
      <w:r w:rsidRPr="00EE52E6">
        <w:rPr>
          <w:rFonts w:ascii="Arial" w:hAnsi="Arial" w:cs="Arial"/>
          <w:color w:val="000000"/>
        </w:rPr>
        <w:t>)</w:t>
      </w:r>
      <w:r w:rsidR="006C5154">
        <w:rPr>
          <w:rFonts w:ascii="Arial" w:hAnsi="Arial" w:cs="Arial"/>
          <w:color w:val="000000"/>
        </w:rPr>
        <w:t>.</w:t>
      </w:r>
    </w:p>
    <w:p w14:paraId="30D3AFA3" w14:textId="4D52D946" w:rsidR="00582AFE" w:rsidRPr="008A3FE0" w:rsidRDefault="00582AFE" w:rsidP="00582AFE">
      <w:pPr>
        <w:pStyle w:val="Prrafodelista"/>
        <w:numPr>
          <w:ilvl w:val="0"/>
          <w:numId w:val="25"/>
        </w:numPr>
        <w:autoSpaceDE w:val="0"/>
        <w:autoSpaceDN w:val="0"/>
        <w:adjustRightInd w:val="0"/>
        <w:spacing w:before="120" w:after="120" w:line="276" w:lineRule="auto"/>
        <w:ind w:left="714" w:hanging="357"/>
        <w:contextualSpacing w:val="0"/>
        <w:jc w:val="both"/>
        <w:rPr>
          <w:rFonts w:ascii="Arial" w:hAnsi="Arial" w:cs="Arial"/>
          <w:color w:val="000000"/>
        </w:rPr>
      </w:pPr>
      <w:r w:rsidRPr="00EE52E6">
        <w:rPr>
          <w:rFonts w:ascii="Arial" w:hAnsi="Arial" w:cs="Arial"/>
          <w:color w:val="000000"/>
        </w:rPr>
        <w:t xml:space="preserve">En pacientes con otras neoplasias, en general, si no reciben TAR, éste ha de empezarse lo antes </w:t>
      </w:r>
      <w:r w:rsidRPr="008A3FE0">
        <w:rPr>
          <w:rFonts w:ascii="Arial" w:hAnsi="Arial" w:cs="Arial"/>
          <w:color w:val="000000"/>
        </w:rPr>
        <w:t>posible (</w:t>
      </w:r>
      <w:r w:rsidRPr="008A3FE0">
        <w:rPr>
          <w:rFonts w:ascii="Arial" w:hAnsi="Arial" w:cs="Arial"/>
          <w:b/>
          <w:bCs/>
          <w:i/>
          <w:iCs/>
          <w:color w:val="000000"/>
        </w:rPr>
        <w:t>A-II</w:t>
      </w:r>
      <w:r w:rsidRPr="008A3FE0">
        <w:rPr>
          <w:rFonts w:ascii="Arial" w:hAnsi="Arial" w:cs="Arial"/>
          <w:color w:val="000000"/>
        </w:rPr>
        <w:t>)</w:t>
      </w:r>
      <w:r w:rsidR="006C5154">
        <w:rPr>
          <w:rFonts w:ascii="Arial" w:hAnsi="Arial" w:cs="Arial"/>
          <w:color w:val="000000"/>
        </w:rPr>
        <w:t>.</w:t>
      </w:r>
    </w:p>
    <w:p w14:paraId="4405D901" w14:textId="7E6633C2" w:rsidR="00582AFE" w:rsidRPr="00EE52E6" w:rsidRDefault="00582AFE" w:rsidP="00582AFE">
      <w:pPr>
        <w:pStyle w:val="Prrafodelista"/>
        <w:numPr>
          <w:ilvl w:val="0"/>
          <w:numId w:val="25"/>
        </w:numPr>
        <w:autoSpaceDE w:val="0"/>
        <w:autoSpaceDN w:val="0"/>
        <w:adjustRightInd w:val="0"/>
        <w:spacing w:before="120" w:after="120" w:line="276" w:lineRule="auto"/>
        <w:ind w:left="714" w:hanging="357"/>
        <w:contextualSpacing w:val="0"/>
        <w:jc w:val="both"/>
        <w:rPr>
          <w:rFonts w:ascii="Arial" w:hAnsi="Arial" w:cs="Arial"/>
          <w:color w:val="000000"/>
        </w:rPr>
      </w:pPr>
      <w:r w:rsidRPr="00EE52E6">
        <w:rPr>
          <w:rFonts w:ascii="Arial" w:hAnsi="Arial" w:cs="Arial"/>
        </w:rPr>
        <w:t xml:space="preserve">RAL, por sus características farmacológicas, excelente tolerancia y mínimas interacciones, debe ser el FAR de elección en pacientes que reciban quimioterapia </w:t>
      </w:r>
      <w:r w:rsidRPr="00692981">
        <w:rPr>
          <w:rFonts w:ascii="Arial" w:hAnsi="Arial" w:cs="Arial"/>
          <w:highlight w:val="yellow"/>
        </w:rPr>
        <w:t>(</w:t>
      </w:r>
      <w:r w:rsidRPr="00692981">
        <w:rPr>
          <w:rFonts w:ascii="Arial" w:hAnsi="Arial" w:cs="Arial"/>
          <w:b/>
          <w:bCs/>
          <w:i/>
          <w:iCs/>
          <w:highlight w:val="yellow"/>
        </w:rPr>
        <w:t>A-II</w:t>
      </w:r>
      <w:r w:rsidRPr="00692981">
        <w:rPr>
          <w:rFonts w:ascii="Arial" w:hAnsi="Arial" w:cs="Arial"/>
          <w:highlight w:val="yellow"/>
        </w:rPr>
        <w:t>).</w:t>
      </w:r>
      <w:r w:rsidRPr="00EE52E6">
        <w:rPr>
          <w:rFonts w:ascii="Arial" w:hAnsi="Arial" w:cs="Arial"/>
        </w:rPr>
        <w:t xml:space="preserve"> Como alternativa a RAL se puede considerar el uso de DTG</w:t>
      </w:r>
      <w:r>
        <w:rPr>
          <w:rFonts w:ascii="Arial" w:hAnsi="Arial" w:cs="Arial"/>
        </w:rPr>
        <w:t xml:space="preserve"> y </w:t>
      </w:r>
      <w:r w:rsidRPr="00A90A90">
        <w:rPr>
          <w:rFonts w:ascii="Arial" w:hAnsi="Arial" w:cs="Arial"/>
          <w:highlight w:val="yellow"/>
        </w:rPr>
        <w:t>DOR</w:t>
      </w:r>
      <w:r w:rsidRPr="00EE52E6">
        <w:rPr>
          <w:rFonts w:ascii="Arial" w:hAnsi="Arial" w:cs="Arial"/>
        </w:rPr>
        <w:t xml:space="preserve"> (</w:t>
      </w:r>
      <w:r w:rsidRPr="00EE52E6">
        <w:rPr>
          <w:rFonts w:ascii="Arial" w:hAnsi="Arial" w:cs="Arial"/>
          <w:b/>
          <w:i/>
        </w:rPr>
        <w:t>C-III</w:t>
      </w:r>
      <w:r w:rsidRPr="00EE52E6">
        <w:rPr>
          <w:rFonts w:ascii="Arial" w:hAnsi="Arial" w:cs="Arial"/>
        </w:rPr>
        <w:t>)</w:t>
      </w:r>
      <w:r w:rsidR="006C5154">
        <w:rPr>
          <w:rFonts w:ascii="Arial" w:hAnsi="Arial" w:cs="Arial"/>
        </w:rPr>
        <w:t>.</w:t>
      </w:r>
    </w:p>
    <w:p w14:paraId="2F62DE92" w14:textId="77777777" w:rsidR="00582AFE" w:rsidRPr="00EE52E6" w:rsidRDefault="00582AFE" w:rsidP="00582AFE">
      <w:pPr>
        <w:pStyle w:val="EndNoteBibliographyTitle"/>
        <w:spacing w:line="480" w:lineRule="auto"/>
        <w:jc w:val="both"/>
        <w:rPr>
          <w:rFonts w:cs="Arial"/>
          <w:b/>
          <w:color w:val="AE1C1F"/>
          <w:szCs w:val="24"/>
        </w:rPr>
      </w:pPr>
    </w:p>
    <w:p w14:paraId="7F014D65" w14:textId="77777777" w:rsidR="00582AFE" w:rsidRPr="00EE52E6" w:rsidRDefault="00582AFE" w:rsidP="00582AFE">
      <w:pPr>
        <w:pStyle w:val="EndNoteBibliographyTitle"/>
        <w:spacing w:line="276" w:lineRule="auto"/>
        <w:rPr>
          <w:rFonts w:cs="Arial"/>
          <w:b/>
          <w:color w:val="AE1C1F"/>
          <w:szCs w:val="24"/>
        </w:rPr>
      </w:pPr>
      <w:r w:rsidRPr="00EE52E6">
        <w:rPr>
          <w:rFonts w:cs="Arial"/>
          <w:b/>
          <w:color w:val="AE1C1F"/>
          <w:szCs w:val="24"/>
        </w:rPr>
        <w:t>Referencias bibliográficas</w:t>
      </w:r>
    </w:p>
    <w:p w14:paraId="7A91E277" w14:textId="12286BD7" w:rsidR="00582AFE" w:rsidRDefault="00582AFE" w:rsidP="00582AFE">
      <w:pPr>
        <w:pStyle w:val="Textocomentario"/>
        <w:spacing w:beforeLines="120" w:before="288" w:afterLines="120" w:after="288" w:line="276" w:lineRule="auto"/>
        <w:jc w:val="both"/>
        <w:rPr>
          <w:rFonts w:ascii="Arial" w:hAnsi="Arial" w:cs="Arial"/>
          <w:highlight w:val="yellow"/>
        </w:rPr>
        <w:sectPr w:rsidR="00582AFE" w:rsidSect="00E7457B">
          <w:type w:val="continuous"/>
          <w:pgSz w:w="11906" w:h="16838"/>
          <w:pgMar w:top="1417" w:right="1701" w:bottom="1417" w:left="1701" w:header="708" w:footer="708" w:gutter="0"/>
          <w:cols w:sep="1" w:space="720"/>
          <w:docGrid w:linePitch="360"/>
        </w:sectPr>
      </w:pPr>
    </w:p>
    <w:p w14:paraId="70030B08" w14:textId="27336AB8" w:rsidR="00582AFE" w:rsidRPr="00582AFE" w:rsidRDefault="00582AFE" w:rsidP="00582AFE">
      <w:pPr>
        <w:pStyle w:val="Textocomentario"/>
        <w:spacing w:beforeLines="120" w:before="288" w:afterLines="120" w:after="288" w:line="276" w:lineRule="auto"/>
        <w:jc w:val="both"/>
        <w:rPr>
          <w:rFonts w:ascii="Arial" w:hAnsi="Arial" w:cs="Arial"/>
          <w:sz w:val="18"/>
          <w:szCs w:val="18"/>
        </w:rPr>
      </w:pPr>
      <w:r w:rsidRPr="00582AFE">
        <w:rPr>
          <w:rFonts w:ascii="Arial" w:hAnsi="Arial" w:cs="Arial"/>
          <w:sz w:val="18"/>
          <w:szCs w:val="18"/>
          <w:highlight w:val="yellow"/>
        </w:rPr>
        <w:t xml:space="preserve">1. Panel de expertos de GeSIDA. Guía de práctica clínica sobre los Tumores No Definitorios de SIDA e Infección por el VIH (actualización marzo 2019). Accesible en: </w:t>
      </w:r>
      <w:hyperlink r:id="rId92" w:history="1">
        <w:r w:rsidRPr="00582AFE">
          <w:rPr>
            <w:rStyle w:val="Hipervnculo"/>
            <w:rFonts w:ascii="Arial" w:hAnsi="Arial" w:cs="Arial"/>
            <w:sz w:val="18"/>
            <w:szCs w:val="18"/>
            <w:highlight w:val="yellow"/>
          </w:rPr>
          <w:t>http://gesida-seimc.org/wp-content/uploads/2019/05/gesida_DC_TumoresNoDefinitorios_Marzo_2019_14_05_19.pdf</w:t>
        </w:r>
      </w:hyperlink>
      <w:r w:rsidRPr="00582AFE">
        <w:rPr>
          <w:rFonts w:ascii="Arial" w:hAnsi="Arial" w:cs="Arial"/>
          <w:sz w:val="18"/>
          <w:szCs w:val="18"/>
          <w:highlight w:val="yellow"/>
        </w:rPr>
        <w:t>. (Consultada el 30.11.2019).</w:t>
      </w:r>
    </w:p>
    <w:p w14:paraId="3FCB2F1D" w14:textId="77777777" w:rsidR="00582AFE" w:rsidRPr="00582AFE" w:rsidRDefault="00582AFE" w:rsidP="00582AFE">
      <w:pPr>
        <w:pStyle w:val="EndNoteBibliography"/>
        <w:spacing w:beforeLines="120" w:before="288" w:afterLines="120" w:after="288" w:line="276" w:lineRule="auto"/>
        <w:jc w:val="both"/>
        <w:rPr>
          <w:rFonts w:cs="Arial"/>
          <w:sz w:val="18"/>
          <w:szCs w:val="18"/>
        </w:rPr>
      </w:pPr>
      <w:r w:rsidRPr="00582AFE">
        <w:rPr>
          <w:rFonts w:cs="Arial"/>
          <w:sz w:val="18"/>
          <w:szCs w:val="18"/>
        </w:rPr>
        <w:t xml:space="preserve">2. Spano JP, Poizot-Martin I, Costagliola D, et al. </w:t>
      </w:r>
      <w:r w:rsidRPr="00582AFE">
        <w:rPr>
          <w:rFonts w:cs="Arial"/>
          <w:sz w:val="18"/>
          <w:szCs w:val="18"/>
          <w:lang w:val="en-US"/>
        </w:rPr>
        <w:t xml:space="preserve">Non-AIDS-related malignancies: expert consensus review and practical applications from the multidisciplinary CANCERVIH Working Group. </w:t>
      </w:r>
      <w:r w:rsidRPr="00582AFE">
        <w:rPr>
          <w:rFonts w:cs="Arial"/>
          <w:sz w:val="18"/>
          <w:szCs w:val="18"/>
        </w:rPr>
        <w:t>Ann Oncol 2016;27:397-408.</w:t>
      </w:r>
    </w:p>
    <w:p w14:paraId="70DB3317" w14:textId="77777777" w:rsidR="00582AFE" w:rsidRPr="00582AFE" w:rsidRDefault="00582AFE" w:rsidP="00582AFE">
      <w:pPr>
        <w:pStyle w:val="EndNoteBibliography"/>
        <w:spacing w:beforeLines="120" w:before="288" w:afterLines="120" w:after="288" w:line="276" w:lineRule="auto"/>
        <w:jc w:val="both"/>
        <w:rPr>
          <w:rFonts w:cs="Arial"/>
          <w:sz w:val="18"/>
          <w:szCs w:val="18"/>
        </w:rPr>
      </w:pPr>
      <w:r w:rsidRPr="00582AFE">
        <w:rPr>
          <w:rFonts w:cs="Arial"/>
          <w:sz w:val="18"/>
          <w:szCs w:val="18"/>
        </w:rPr>
        <w:t xml:space="preserve">3. Recomendaciones de Gesida/PETHEMA sobre el diagnóstico y tratamiento de los linfomas </w:t>
      </w:r>
      <w:r w:rsidRPr="00582AFE">
        <w:rPr>
          <w:rFonts w:cs="Arial"/>
          <w:sz w:val="18"/>
          <w:szCs w:val="18"/>
        </w:rPr>
        <w:t xml:space="preserve">en pacientes infectados por el virus de la inmunodeficiencia humana. Accesible en: http://gesida-seimc.org/wp-content/uploads/2017/08/Gesida_Manual_Linfomas_v2.pdf (Consultada el 18.10.2017). </w:t>
      </w:r>
    </w:p>
    <w:p w14:paraId="2443E51B" w14:textId="77777777" w:rsidR="00582AFE" w:rsidRPr="00582AFE" w:rsidRDefault="00582AFE" w:rsidP="00582AFE">
      <w:pPr>
        <w:pStyle w:val="EndNoteBibliography"/>
        <w:spacing w:beforeLines="120" w:before="288" w:afterLines="120" w:after="288" w:line="276" w:lineRule="auto"/>
        <w:jc w:val="both"/>
        <w:rPr>
          <w:rFonts w:cs="Arial"/>
          <w:sz w:val="18"/>
          <w:szCs w:val="18"/>
          <w:lang w:val="en-US"/>
        </w:rPr>
      </w:pPr>
      <w:r w:rsidRPr="00582AFE">
        <w:rPr>
          <w:rFonts w:cs="Arial"/>
          <w:sz w:val="18"/>
          <w:szCs w:val="18"/>
        </w:rPr>
        <w:t xml:space="preserve">4. Berretta M, Caraglia M, Martellotta F, et al. </w:t>
      </w:r>
      <w:r w:rsidRPr="00582AFE">
        <w:rPr>
          <w:rFonts w:cs="Arial"/>
          <w:sz w:val="18"/>
          <w:szCs w:val="18"/>
          <w:lang w:val="en-US"/>
        </w:rPr>
        <w:t>Drug-drug interactions based on pharmacogenetic profile between highly active antiretroviral therapy and antiblastic chemotherapy in cancer patients with HIV Infection. Front Pharmacol 2016;7:71.</w:t>
      </w:r>
    </w:p>
    <w:p w14:paraId="5BB8F813" w14:textId="77777777" w:rsidR="00582AFE" w:rsidRPr="00582AFE" w:rsidRDefault="00582AFE" w:rsidP="00582AFE">
      <w:pPr>
        <w:pStyle w:val="EndNoteBibliography"/>
        <w:spacing w:beforeLines="120" w:before="288" w:afterLines="120" w:after="288" w:line="276" w:lineRule="auto"/>
        <w:jc w:val="both"/>
        <w:rPr>
          <w:rFonts w:cs="Arial"/>
          <w:sz w:val="18"/>
          <w:szCs w:val="18"/>
        </w:rPr>
      </w:pPr>
      <w:r w:rsidRPr="00582AFE">
        <w:rPr>
          <w:rFonts w:cs="Arial"/>
          <w:sz w:val="18"/>
          <w:szCs w:val="18"/>
          <w:lang w:val="en-US"/>
        </w:rPr>
        <w:t xml:space="preserve">5. Torres HA, Rallapalli V, Saxena A, et al. Efficacy and safety of antiretrovirals in HIV-infected patients with cancer. </w:t>
      </w:r>
      <w:r w:rsidRPr="00582AFE">
        <w:rPr>
          <w:rFonts w:cs="Arial"/>
          <w:sz w:val="18"/>
          <w:szCs w:val="18"/>
        </w:rPr>
        <w:t>Clin Microbiol Infect 2014;20:O672-9.</w:t>
      </w:r>
    </w:p>
    <w:p w14:paraId="185BBB2D" w14:textId="77777777" w:rsidR="00582AFE" w:rsidRDefault="00582AFE" w:rsidP="00582AFE">
      <w:pPr>
        <w:spacing w:line="276" w:lineRule="auto"/>
        <w:jc w:val="both"/>
        <w:rPr>
          <w:rFonts w:ascii="Arial" w:hAnsi="Arial" w:cs="Arial"/>
          <w:sz w:val="18"/>
          <w:szCs w:val="18"/>
        </w:rPr>
        <w:sectPr w:rsidR="00582AFE" w:rsidSect="00582AFE">
          <w:type w:val="continuous"/>
          <w:pgSz w:w="11906" w:h="16838"/>
          <w:pgMar w:top="1417" w:right="1701" w:bottom="1417" w:left="1701" w:header="708" w:footer="708" w:gutter="0"/>
          <w:cols w:num="2" w:sep="1" w:space="720"/>
          <w:docGrid w:linePitch="360"/>
        </w:sectPr>
      </w:pPr>
    </w:p>
    <w:p w14:paraId="6CF055B2" w14:textId="49A9F653" w:rsidR="00000FF8" w:rsidRDefault="00000FF8" w:rsidP="00582AFE">
      <w:pPr>
        <w:spacing w:line="276" w:lineRule="auto"/>
        <w:jc w:val="both"/>
        <w:rPr>
          <w:rFonts w:ascii="Arial" w:hAnsi="Arial" w:cs="Arial"/>
          <w:sz w:val="18"/>
          <w:szCs w:val="18"/>
        </w:rPr>
      </w:pPr>
    </w:p>
    <w:p w14:paraId="5CEEED55" w14:textId="5513C1B3" w:rsidR="00CF353E" w:rsidRDefault="00CF353E" w:rsidP="00582AFE">
      <w:pPr>
        <w:spacing w:line="276" w:lineRule="auto"/>
        <w:rPr>
          <w:rFonts w:ascii="Arial" w:hAnsi="Arial" w:cs="Arial"/>
          <w:sz w:val="18"/>
          <w:szCs w:val="18"/>
        </w:rPr>
      </w:pPr>
      <w:r>
        <w:rPr>
          <w:rFonts w:ascii="Arial" w:hAnsi="Arial" w:cs="Arial"/>
          <w:sz w:val="18"/>
          <w:szCs w:val="18"/>
        </w:rPr>
        <w:br w:type="page"/>
      </w:r>
    </w:p>
    <w:p w14:paraId="39EA9394" w14:textId="77777777" w:rsidR="005B7823" w:rsidRPr="003F3B0A" w:rsidRDefault="005B7823" w:rsidP="005B7823">
      <w:pPr>
        <w:spacing w:line="276" w:lineRule="auto"/>
        <w:jc w:val="both"/>
        <w:rPr>
          <w:rFonts w:ascii="Arial" w:hAnsi="Arial" w:cs="Arial"/>
          <w:b/>
          <w:color w:val="AE1C1F"/>
          <w:lang w:val="es-ES_tradnl"/>
        </w:rPr>
      </w:pPr>
      <w:r w:rsidRPr="003F3B0A">
        <w:rPr>
          <w:rFonts w:ascii="Arial" w:hAnsi="Arial" w:cs="Arial"/>
          <w:b/>
          <w:color w:val="AE1C1F"/>
          <w:lang w:val="es-ES_tradnl"/>
        </w:rPr>
        <w:lastRenderedPageBreak/>
        <w:t xml:space="preserve">8. COSTE COMPARATIVO DE LAS DIFERENTES COMBINACIONES DE FÁRMACOS ANTIRRETROVIRALES </w:t>
      </w:r>
    </w:p>
    <w:p w14:paraId="772C5D85" w14:textId="77777777" w:rsidR="005B7823" w:rsidRPr="003F3B0A" w:rsidRDefault="005B7823" w:rsidP="005B7823">
      <w:pPr>
        <w:spacing w:line="276" w:lineRule="auto"/>
        <w:jc w:val="both"/>
        <w:rPr>
          <w:rFonts w:ascii="Arial" w:hAnsi="Arial" w:cs="Arial"/>
          <w:lang w:val="es-ES_tradnl"/>
        </w:rPr>
      </w:pPr>
    </w:p>
    <w:p w14:paraId="7C0C9F77" w14:textId="77777777" w:rsidR="005B7823" w:rsidRPr="003F3B0A" w:rsidRDefault="005B7823" w:rsidP="005B7823">
      <w:pPr>
        <w:spacing w:line="276" w:lineRule="auto"/>
        <w:jc w:val="both"/>
        <w:rPr>
          <w:rFonts w:ascii="Arial" w:hAnsi="Arial" w:cs="Arial"/>
          <w:color w:val="000000"/>
          <w:lang w:val="es-ES_tradnl"/>
        </w:rPr>
      </w:pPr>
      <w:r w:rsidRPr="003F3B0A">
        <w:rPr>
          <w:rFonts w:ascii="Arial" w:hAnsi="Arial" w:cs="Arial"/>
          <w:color w:val="000000"/>
          <w:lang w:val="es-ES_tradnl"/>
        </w:rPr>
        <w:t xml:space="preserve">El TAR ha reducido la mortalidad relacionada con el </w:t>
      </w:r>
      <w:r>
        <w:rPr>
          <w:rFonts w:ascii="Arial" w:hAnsi="Arial" w:cs="Arial"/>
          <w:color w:val="000000"/>
          <w:lang w:val="es-ES_tradnl"/>
        </w:rPr>
        <w:t>SIDA</w:t>
      </w:r>
      <w:r w:rsidRPr="003F3B0A">
        <w:rPr>
          <w:rFonts w:ascii="Arial" w:hAnsi="Arial" w:cs="Arial"/>
          <w:color w:val="000000"/>
          <w:lang w:val="es-ES_tradnl"/>
        </w:rPr>
        <w:t xml:space="preserve"> y ha mejorado la calidad de vida de los pacientes. Sin embargo, su coste es elevado y, en un entorno donde los recursos son limitados, es necesario gestionar adecuadamente el presupuesto. Entre las diferentes combinaciones de TAR utilizadas como terapia de inicio existen diferencias sustanciales: el gasto mensual con pautas de eficacia similar puede diferir en cantidades de más de 500 euros. </w:t>
      </w:r>
    </w:p>
    <w:p w14:paraId="0B4E84A8" w14:textId="77777777" w:rsidR="005B7823" w:rsidRPr="003F3B0A" w:rsidRDefault="005B7823" w:rsidP="005B7823">
      <w:pPr>
        <w:spacing w:line="276" w:lineRule="auto"/>
        <w:jc w:val="both"/>
        <w:rPr>
          <w:rFonts w:ascii="Arial" w:hAnsi="Arial" w:cs="Arial"/>
          <w:color w:val="000000"/>
          <w:lang w:val="es-ES_tradnl"/>
        </w:rPr>
      </w:pPr>
      <w:r w:rsidRPr="003F3B0A">
        <w:rPr>
          <w:rFonts w:ascii="Arial" w:hAnsi="Arial" w:cs="Arial"/>
          <w:color w:val="000000"/>
          <w:lang w:val="es-ES_tradnl"/>
        </w:rPr>
        <w:t xml:space="preserve">Una evaluación farmacoeconómica con objeto de determinar el posicionamiento de nuevas estrategias o de nuevos medicamentos debe contemplar no solamente el coste, sino también la eficacia (ensayos clínicos) o la efectividad (práctica clínica habitual) de forma conjunta. Por este motivo, en los últimos años se </w:t>
      </w:r>
      <w:r w:rsidRPr="00E027A0">
        <w:rPr>
          <w:rFonts w:ascii="Arial" w:hAnsi="Arial" w:cs="Arial"/>
          <w:color w:val="000000"/>
          <w:highlight w:val="yellow"/>
          <w:lang w:val="es-ES_tradnl"/>
        </w:rPr>
        <w:t>ha</w:t>
      </w:r>
      <w:r>
        <w:rPr>
          <w:rFonts w:ascii="Arial" w:hAnsi="Arial" w:cs="Arial"/>
          <w:color w:val="000000"/>
          <w:lang w:val="es-ES_tradnl"/>
        </w:rPr>
        <w:t xml:space="preserve"> </w:t>
      </w:r>
      <w:r w:rsidRPr="003F3B0A">
        <w:rPr>
          <w:rFonts w:ascii="Arial" w:hAnsi="Arial" w:cs="Arial"/>
          <w:color w:val="000000"/>
          <w:lang w:val="es-ES_tradnl"/>
        </w:rPr>
        <w:t>publica</w:t>
      </w:r>
      <w:r w:rsidRPr="00E027A0">
        <w:rPr>
          <w:rFonts w:ascii="Arial" w:hAnsi="Arial" w:cs="Arial"/>
          <w:color w:val="000000"/>
          <w:highlight w:val="yellow"/>
          <w:lang w:val="es-ES_tradnl"/>
        </w:rPr>
        <w:t>do</w:t>
      </w:r>
      <w:r w:rsidRPr="003F3B0A">
        <w:rPr>
          <w:rFonts w:ascii="Arial" w:hAnsi="Arial" w:cs="Arial"/>
          <w:color w:val="000000"/>
          <w:lang w:val="es-ES_tradnl"/>
        </w:rPr>
        <w:t xml:space="preserve"> </w:t>
      </w:r>
      <w:r>
        <w:rPr>
          <w:rFonts w:ascii="Arial" w:hAnsi="Arial" w:cs="Arial"/>
          <w:color w:val="000000"/>
          <w:lang w:val="es-ES_tradnl"/>
        </w:rPr>
        <w:t>en relación</w:t>
      </w:r>
      <w:r w:rsidRPr="003F3B0A">
        <w:rPr>
          <w:rFonts w:ascii="Arial" w:hAnsi="Arial" w:cs="Arial"/>
          <w:color w:val="000000"/>
          <w:lang w:val="es-ES_tradnl"/>
        </w:rPr>
        <w:t xml:space="preserve"> con estas guías</w:t>
      </w:r>
      <w:r>
        <w:rPr>
          <w:rFonts w:ascii="Arial" w:hAnsi="Arial" w:cs="Arial"/>
          <w:color w:val="000000"/>
          <w:lang w:val="es-ES_tradnl"/>
        </w:rPr>
        <w:t>, pero posterior en el tiempo,</w:t>
      </w:r>
      <w:r w:rsidRPr="003F3B0A">
        <w:rPr>
          <w:rFonts w:ascii="Arial" w:hAnsi="Arial" w:cs="Arial"/>
          <w:color w:val="000000"/>
          <w:lang w:val="es-ES_tradnl"/>
        </w:rPr>
        <w:t xml:space="preserve"> un estudio farmacoeconómico</w:t>
      </w:r>
      <w:r w:rsidRPr="003F3B0A">
        <w:rPr>
          <w:rFonts w:ascii="Arial" w:hAnsi="Arial" w:cs="Arial"/>
          <w:color w:val="000000"/>
          <w:vertAlign w:val="superscript"/>
          <w:lang w:val="es-ES_tradnl"/>
        </w:rPr>
        <w:t>1</w:t>
      </w:r>
      <w:r w:rsidRPr="003F3B0A">
        <w:rPr>
          <w:rFonts w:ascii="Arial" w:hAnsi="Arial" w:cs="Arial"/>
          <w:color w:val="000000"/>
          <w:lang w:val="es-ES_tradnl"/>
        </w:rPr>
        <w:t xml:space="preserve"> en el que se realiza una evaluación de costes y eficiencia (coste/eficacia) mediante construcción de árboles de decisión a partir de las pautas preferentes y alternativas recomendadas.</w:t>
      </w:r>
    </w:p>
    <w:p w14:paraId="5E43CE36" w14:textId="77777777" w:rsidR="005B7823" w:rsidRPr="003F3B0A" w:rsidRDefault="005B7823" w:rsidP="005B7823">
      <w:pPr>
        <w:spacing w:line="276" w:lineRule="auto"/>
        <w:jc w:val="both"/>
        <w:rPr>
          <w:rFonts w:ascii="Arial" w:hAnsi="Arial" w:cs="Arial"/>
          <w:color w:val="000000"/>
          <w:lang w:val="es-ES_tradnl"/>
        </w:rPr>
      </w:pPr>
      <w:r w:rsidRPr="003F3B0A">
        <w:rPr>
          <w:rFonts w:ascii="Arial" w:hAnsi="Arial" w:cs="Arial"/>
          <w:color w:val="000000"/>
          <w:lang w:val="es-ES_tradnl"/>
        </w:rPr>
        <w:t xml:space="preserve">El precio que el </w:t>
      </w:r>
      <w:r>
        <w:rPr>
          <w:rFonts w:ascii="Arial" w:hAnsi="Arial" w:cs="Arial"/>
          <w:color w:val="000000"/>
          <w:lang w:val="es-ES_tradnl"/>
        </w:rPr>
        <w:t>S</w:t>
      </w:r>
      <w:r w:rsidRPr="003F3B0A">
        <w:rPr>
          <w:rFonts w:ascii="Arial" w:hAnsi="Arial" w:cs="Arial"/>
          <w:color w:val="000000"/>
          <w:lang w:val="es-ES_tradnl"/>
        </w:rPr>
        <w:t xml:space="preserve">istema </w:t>
      </w:r>
      <w:r>
        <w:rPr>
          <w:rFonts w:ascii="Arial" w:hAnsi="Arial" w:cs="Arial"/>
          <w:color w:val="000000"/>
          <w:lang w:val="es-ES_tradnl"/>
        </w:rPr>
        <w:t>N</w:t>
      </w:r>
      <w:r w:rsidRPr="003F3B0A">
        <w:rPr>
          <w:rFonts w:ascii="Arial" w:hAnsi="Arial" w:cs="Arial"/>
          <w:color w:val="000000"/>
          <w:lang w:val="es-ES_tradnl"/>
        </w:rPr>
        <w:t xml:space="preserve">acional de </w:t>
      </w:r>
      <w:r>
        <w:rPr>
          <w:rFonts w:ascii="Arial" w:hAnsi="Arial" w:cs="Arial"/>
          <w:color w:val="000000"/>
          <w:lang w:val="es-ES_tradnl"/>
        </w:rPr>
        <w:t>S</w:t>
      </w:r>
      <w:r w:rsidRPr="003F3B0A">
        <w:rPr>
          <w:rFonts w:ascii="Arial" w:hAnsi="Arial" w:cs="Arial"/>
          <w:color w:val="000000"/>
          <w:lang w:val="es-ES_tradnl"/>
        </w:rPr>
        <w:t>alud paga por un fármaco se obtiene a partir del precio de venta laboratorio (PVL) con la deducción obligatoria del 7,5% sobre el precio de compra de medicamentos no genéricos y no afectados por el sistema de precios de referencia (Real Decreto-ley 8/2010, de 20 de mayo: Medidas extraordinarias para la reducción del déficit público). En el caso de que hubieran transcurrido 10 años desde la fecha de inicio de financiación con fondos públicos (11 años en el caso de haber sido autorizada una nueva indicación), la deducción sería del 15%, salvo en los medicamentos que cuenten con protección de patente de producto en todos los estados miembros de la Unión Europea (Real Decreto-ley 9/2011, de 19 de agosto). A esta cifra habría que sumar el 4% de IVA. Además, cabe considerar que pueden existir variaciones entre los precios finales de adquisición entre distintas comunidades autónomas e, incluso, entre distintos hospitales en una misma comunidad.</w:t>
      </w:r>
    </w:p>
    <w:p w14:paraId="6A4ADBC2" w14:textId="77777777" w:rsidR="005B7823" w:rsidRPr="003F3B0A" w:rsidRDefault="005B7823" w:rsidP="005B7823">
      <w:pPr>
        <w:spacing w:line="276" w:lineRule="auto"/>
        <w:jc w:val="both"/>
        <w:rPr>
          <w:rFonts w:ascii="Arial" w:hAnsi="Arial" w:cs="Arial"/>
          <w:color w:val="000000"/>
          <w:lang w:val="es-ES_tradnl"/>
        </w:rPr>
      </w:pPr>
      <w:r w:rsidRPr="003F3B0A">
        <w:rPr>
          <w:rFonts w:ascii="Arial" w:hAnsi="Arial" w:cs="Arial"/>
          <w:color w:val="000000"/>
          <w:lang w:val="es-ES_tradnl"/>
        </w:rPr>
        <w:t>Por ello, es importante que cada centro utilice sus propios precios para obtener datos de eficiencia. A tal efecto, el estudio mencionado</w:t>
      </w:r>
      <w:r w:rsidRPr="003F3B0A">
        <w:rPr>
          <w:rFonts w:ascii="Arial" w:hAnsi="Arial" w:cs="Arial"/>
          <w:color w:val="000000"/>
          <w:vertAlign w:val="superscript"/>
          <w:lang w:val="es-ES_tradnl"/>
        </w:rPr>
        <w:t>1</w:t>
      </w:r>
      <w:r w:rsidRPr="003F3B0A">
        <w:rPr>
          <w:rFonts w:ascii="Arial" w:hAnsi="Arial" w:cs="Arial"/>
          <w:color w:val="000000"/>
          <w:lang w:val="es-ES_tradnl"/>
        </w:rPr>
        <w:t xml:space="preserve"> ofrece una aplicación informática en la que, introduciendo los precios que cada hospital paga, se obtiene el posicionamiento de las distintas pautas de inicio. La aplicación puede descargarse de forma gratuita en la web de GeSIDA, en “Guías clínicas”, en el apartado </w:t>
      </w:r>
      <w:hyperlink r:id="rId93" w:history="1">
        <w:r>
          <w:rPr>
            <w:rStyle w:val="Hipervnculo"/>
            <w:rFonts w:eastAsia="Calibri"/>
          </w:rPr>
          <w:t>http://gesida-seimc.org/category/guias-clinicas/antirretroviral-vigentes/</w:t>
        </w:r>
      </w:hyperlink>
      <w:r w:rsidRPr="003F3B0A">
        <w:rPr>
          <w:rFonts w:ascii="Arial" w:hAnsi="Arial" w:cs="Arial"/>
          <w:color w:val="000000"/>
          <w:lang w:val="es-ES_tradnl"/>
        </w:rPr>
        <w:t xml:space="preserve"> (Aplicación cálculo coste y eficacia</w:t>
      </w:r>
      <w:r>
        <w:rPr>
          <w:rFonts w:ascii="Arial" w:hAnsi="Arial" w:cs="Arial"/>
          <w:color w:val="000000"/>
          <w:lang w:val="es-ES_tradnl"/>
        </w:rPr>
        <w:t>)</w:t>
      </w:r>
      <w:r w:rsidRPr="003F3B0A">
        <w:rPr>
          <w:rFonts w:ascii="Arial" w:hAnsi="Arial" w:cs="Arial"/>
          <w:color w:val="000000"/>
          <w:lang w:val="es-ES_tradnl"/>
        </w:rPr>
        <w:t xml:space="preserve">. </w:t>
      </w:r>
    </w:p>
    <w:p w14:paraId="54DDA221" w14:textId="77777777" w:rsidR="005B7823" w:rsidRPr="003F3B0A" w:rsidRDefault="005B7823" w:rsidP="005B7823">
      <w:pPr>
        <w:spacing w:line="276" w:lineRule="auto"/>
        <w:jc w:val="both"/>
        <w:rPr>
          <w:rFonts w:ascii="Arial" w:hAnsi="Arial" w:cs="Arial"/>
          <w:color w:val="000000"/>
          <w:lang w:val="es-ES_tradnl"/>
        </w:rPr>
      </w:pPr>
      <w:r w:rsidRPr="003F3B0A">
        <w:rPr>
          <w:rFonts w:ascii="Arial" w:hAnsi="Arial" w:cs="Arial"/>
          <w:color w:val="000000"/>
          <w:lang w:val="es-ES_tradnl"/>
        </w:rPr>
        <w:t>Otra consideración a tener en cuenta es que los estudios farmacoeconómicos probablemente subestimen la efectividad del TAR, dado que habitualmente no incluyen la reducción en el riesgo de transmisión de la enfermedad de los pacientes tratados. Este hecho puede tener un impacto económico importante.</w:t>
      </w:r>
    </w:p>
    <w:p w14:paraId="55A1A11B" w14:textId="77777777" w:rsidR="005B7823" w:rsidRPr="003F3B0A" w:rsidRDefault="005B7823" w:rsidP="005B7823">
      <w:pPr>
        <w:spacing w:line="276" w:lineRule="auto"/>
        <w:jc w:val="both"/>
        <w:rPr>
          <w:rFonts w:ascii="Arial" w:hAnsi="Arial" w:cs="Arial"/>
          <w:b/>
          <w:color w:val="000000"/>
          <w:lang w:val="es-ES_tradnl"/>
        </w:rPr>
      </w:pPr>
    </w:p>
    <w:p w14:paraId="34AE6FD6" w14:textId="77777777" w:rsidR="005B7823" w:rsidRPr="003F3B0A" w:rsidRDefault="005B7823" w:rsidP="005B7823">
      <w:pPr>
        <w:spacing w:line="276" w:lineRule="auto"/>
        <w:jc w:val="both"/>
        <w:rPr>
          <w:rFonts w:ascii="Arial" w:hAnsi="Arial" w:cs="Arial"/>
          <w:b/>
          <w:color w:val="AE1C1F"/>
          <w:lang w:val="es-ES_tradnl"/>
        </w:rPr>
      </w:pPr>
      <w:r w:rsidRPr="003F3B0A">
        <w:rPr>
          <w:rFonts w:ascii="Arial" w:hAnsi="Arial" w:cs="Arial"/>
          <w:b/>
          <w:color w:val="AE1C1F"/>
          <w:lang w:val="es-ES_tradnl"/>
        </w:rPr>
        <w:lastRenderedPageBreak/>
        <w:t>Recomendaciones</w:t>
      </w:r>
    </w:p>
    <w:p w14:paraId="23053538" w14:textId="77777777" w:rsidR="005B7823" w:rsidRPr="003F3B0A" w:rsidRDefault="005B7823" w:rsidP="005B7823">
      <w:pPr>
        <w:spacing w:line="276" w:lineRule="auto"/>
        <w:jc w:val="both"/>
        <w:rPr>
          <w:rFonts w:ascii="Arial" w:hAnsi="Arial" w:cs="Arial"/>
          <w:b/>
          <w:color w:val="AE1C1F"/>
          <w:lang w:val="es-ES_tradnl"/>
        </w:rPr>
      </w:pPr>
      <w:r w:rsidRPr="003F3B0A">
        <w:rPr>
          <w:rFonts w:ascii="Arial" w:hAnsi="Arial" w:cs="Arial"/>
          <w:b/>
          <w:color w:val="AE1C1F"/>
          <w:lang w:val="es-ES_tradnl"/>
        </w:rPr>
        <w:t xml:space="preserve"> </w:t>
      </w:r>
    </w:p>
    <w:p w14:paraId="19D75BF8" w14:textId="77777777" w:rsidR="005B7823" w:rsidRPr="003F3B0A" w:rsidRDefault="005B7823" w:rsidP="005B7823">
      <w:pPr>
        <w:numPr>
          <w:ilvl w:val="0"/>
          <w:numId w:val="25"/>
        </w:numPr>
        <w:spacing w:line="276" w:lineRule="auto"/>
        <w:jc w:val="both"/>
        <w:rPr>
          <w:rFonts w:ascii="Arial" w:hAnsi="Arial" w:cs="Arial"/>
          <w:color w:val="000000"/>
          <w:lang w:val="es-ES_tradnl"/>
        </w:rPr>
      </w:pPr>
      <w:r w:rsidRPr="003F3B0A">
        <w:rPr>
          <w:rFonts w:ascii="Arial" w:hAnsi="Arial" w:cs="Arial"/>
          <w:color w:val="000000"/>
          <w:lang w:val="es-ES_tradnl"/>
        </w:rPr>
        <w:t xml:space="preserve">Se recomienda incluir criterios de coste-efectividad en la toma de decisiones sobre el TAR de inicio </w:t>
      </w:r>
      <w:r w:rsidRPr="00C62FDB">
        <w:rPr>
          <w:rFonts w:ascii="Arial" w:hAnsi="Arial" w:cs="Arial"/>
          <w:b/>
          <w:i/>
          <w:color w:val="000000"/>
          <w:lang w:val="es-ES_tradnl"/>
        </w:rPr>
        <w:t>(A-III).</w:t>
      </w:r>
    </w:p>
    <w:p w14:paraId="75EFFC87" w14:textId="77777777" w:rsidR="005B7823" w:rsidRPr="003F3B0A" w:rsidRDefault="005B7823" w:rsidP="005B7823">
      <w:pPr>
        <w:rPr>
          <w:rFonts w:ascii="Arial" w:hAnsi="Arial" w:cs="Arial"/>
          <w:b/>
          <w:color w:val="AE1C1F"/>
          <w:lang w:val="es-ES_tradnl"/>
        </w:rPr>
      </w:pPr>
    </w:p>
    <w:p w14:paraId="12B7B32B" w14:textId="77777777" w:rsidR="005B7823" w:rsidRPr="003F3B0A" w:rsidRDefault="005B7823" w:rsidP="005B7823">
      <w:pPr>
        <w:rPr>
          <w:rFonts w:ascii="Arial" w:hAnsi="Arial" w:cs="Arial"/>
          <w:b/>
          <w:color w:val="AE1C1F"/>
          <w:lang w:val="es-ES_tradnl"/>
        </w:rPr>
      </w:pPr>
    </w:p>
    <w:p w14:paraId="2C61304B" w14:textId="77777777" w:rsidR="005B7823" w:rsidRPr="001D1670" w:rsidRDefault="005B7823" w:rsidP="005B7823">
      <w:pPr>
        <w:rPr>
          <w:rFonts w:ascii="Arial" w:hAnsi="Arial" w:cs="Arial"/>
          <w:b/>
          <w:color w:val="AE1C1F"/>
          <w:lang w:val="en-US"/>
        </w:rPr>
      </w:pPr>
      <w:r w:rsidRPr="001D1670">
        <w:rPr>
          <w:rFonts w:ascii="Arial" w:hAnsi="Arial" w:cs="Arial"/>
          <w:b/>
          <w:color w:val="AE1C1F"/>
          <w:lang w:val="en-US"/>
        </w:rPr>
        <w:t>Referencias bibliográficas</w:t>
      </w:r>
    </w:p>
    <w:p w14:paraId="27868583" w14:textId="77777777" w:rsidR="005B7823" w:rsidRPr="001D1670" w:rsidRDefault="005B7823" w:rsidP="005B7823">
      <w:pPr>
        <w:spacing w:line="276" w:lineRule="auto"/>
        <w:jc w:val="both"/>
        <w:rPr>
          <w:rFonts w:ascii="Arial" w:hAnsi="Arial" w:cs="Arial"/>
          <w:color w:val="000000"/>
          <w:sz w:val="18"/>
          <w:szCs w:val="18"/>
          <w:lang w:val="en-US"/>
        </w:rPr>
      </w:pPr>
    </w:p>
    <w:p w14:paraId="6EBCCB61" w14:textId="77777777" w:rsidR="005B7823" w:rsidRPr="001D1670" w:rsidRDefault="005B7823" w:rsidP="005B7823">
      <w:pPr>
        <w:spacing w:line="276" w:lineRule="auto"/>
        <w:jc w:val="both"/>
        <w:rPr>
          <w:rFonts w:ascii="Arial" w:hAnsi="Arial" w:cs="Arial"/>
          <w:color w:val="000000"/>
          <w:sz w:val="18"/>
          <w:szCs w:val="18"/>
          <w:lang w:val="en-US"/>
        </w:rPr>
      </w:pPr>
    </w:p>
    <w:p w14:paraId="5BD32B71" w14:textId="77777777" w:rsidR="005B7823" w:rsidRPr="003B5E9D" w:rsidRDefault="005B7823" w:rsidP="005B7823">
      <w:pPr>
        <w:pStyle w:val="Prrafodelista"/>
        <w:numPr>
          <w:ilvl w:val="0"/>
          <w:numId w:val="36"/>
        </w:numPr>
        <w:spacing w:line="276" w:lineRule="auto"/>
        <w:jc w:val="both"/>
        <w:rPr>
          <w:rFonts w:ascii="Arial" w:hAnsi="Arial" w:cs="Arial"/>
          <w:color w:val="000000"/>
          <w:sz w:val="18"/>
          <w:szCs w:val="18"/>
          <w:highlight w:val="yellow"/>
          <w:lang w:val="es-ES_tradnl"/>
        </w:rPr>
      </w:pPr>
      <w:r w:rsidRPr="003B5E9D">
        <w:rPr>
          <w:rFonts w:ascii="Arial" w:hAnsi="Arial" w:cs="Arial"/>
          <w:color w:val="000000"/>
          <w:sz w:val="18"/>
          <w:szCs w:val="18"/>
          <w:highlight w:val="yellow"/>
          <w:lang w:val="es-ES_tradnl"/>
        </w:rPr>
        <w:t xml:space="preserve">Pérez-Molina JA, Martínez E, Blasco AJ, et al. </w:t>
      </w:r>
      <w:r w:rsidRPr="001D1670">
        <w:rPr>
          <w:rFonts w:ascii="Arial" w:hAnsi="Arial" w:cs="Arial"/>
          <w:color w:val="000000"/>
          <w:sz w:val="18"/>
          <w:szCs w:val="18"/>
          <w:highlight w:val="yellow"/>
          <w:lang w:val="en-US"/>
        </w:rPr>
        <w:t xml:space="preserve">Analysis of the costs and cost-effectiveness of the guidelines recommended by the 2018 GESIDA/Spanish National AIDS Plan for initial antiretroviral therapy in HIV-infected adults. </w:t>
      </w:r>
      <w:r w:rsidRPr="003B5E9D">
        <w:rPr>
          <w:rFonts w:ascii="Arial" w:hAnsi="Arial" w:cs="Arial"/>
          <w:color w:val="000000"/>
          <w:sz w:val="18"/>
          <w:szCs w:val="18"/>
          <w:highlight w:val="yellow"/>
          <w:lang w:val="es-ES_tradnl"/>
        </w:rPr>
        <w:t>Enferm Infecc Microbiol Clin. 2019;37(3):151-159.</w:t>
      </w:r>
    </w:p>
    <w:p w14:paraId="4F367AC5" w14:textId="77777777" w:rsidR="005B7823" w:rsidRPr="003F3B0A" w:rsidRDefault="005B7823" w:rsidP="005B7823">
      <w:pPr>
        <w:spacing w:line="276" w:lineRule="auto"/>
        <w:jc w:val="both"/>
        <w:rPr>
          <w:rFonts w:ascii="Arial" w:hAnsi="Arial" w:cs="Arial"/>
          <w:color w:val="000000"/>
          <w:sz w:val="18"/>
          <w:szCs w:val="18"/>
          <w:lang w:val="es-ES_tradnl"/>
        </w:rPr>
        <w:sectPr w:rsidR="005B7823" w:rsidRPr="003F3B0A" w:rsidSect="005B7823">
          <w:type w:val="continuous"/>
          <w:pgSz w:w="11906" w:h="16838"/>
          <w:pgMar w:top="1417" w:right="1701" w:bottom="1417" w:left="1701" w:header="708" w:footer="708" w:gutter="0"/>
          <w:cols w:sep="1" w:space="720"/>
          <w:docGrid w:linePitch="360"/>
        </w:sectPr>
      </w:pPr>
    </w:p>
    <w:p w14:paraId="7810C6E8" w14:textId="77777777" w:rsidR="005B7823" w:rsidRPr="003F3B0A" w:rsidRDefault="005B7823" w:rsidP="005B7823">
      <w:pPr>
        <w:spacing w:line="276" w:lineRule="auto"/>
        <w:jc w:val="both"/>
        <w:rPr>
          <w:rFonts w:ascii="Arial" w:hAnsi="Arial" w:cs="Arial"/>
          <w:color w:val="000000"/>
          <w:sz w:val="18"/>
          <w:szCs w:val="18"/>
          <w:lang w:val="es-ES_tradnl"/>
        </w:rPr>
      </w:pPr>
    </w:p>
    <w:p w14:paraId="36ABAF56" w14:textId="77777777" w:rsidR="005B7823" w:rsidRPr="003F3B0A" w:rsidRDefault="005B7823" w:rsidP="005B7823">
      <w:pPr>
        <w:spacing w:line="276" w:lineRule="auto"/>
        <w:jc w:val="both"/>
        <w:rPr>
          <w:rFonts w:ascii="Arial" w:hAnsi="Arial" w:cs="Arial"/>
          <w:color w:val="000000"/>
          <w:sz w:val="18"/>
          <w:szCs w:val="18"/>
          <w:lang w:val="es-ES_tradnl"/>
        </w:rPr>
      </w:pPr>
    </w:p>
    <w:p w14:paraId="109E06C7" w14:textId="77777777" w:rsidR="00251963" w:rsidRPr="003F3B0A" w:rsidRDefault="00251963" w:rsidP="00251963">
      <w:pPr>
        <w:spacing w:after="160" w:line="276" w:lineRule="auto"/>
        <w:rPr>
          <w:rFonts w:ascii="Calibri" w:hAnsi="Calibri" w:cs="Calibri"/>
          <w:b/>
          <w:bCs/>
          <w:color w:val="0000CC"/>
        </w:rPr>
      </w:pPr>
      <w:r w:rsidRPr="003F3B0A">
        <w:rPr>
          <w:rFonts w:ascii="Calibri" w:hAnsi="Calibri" w:cs="Calibri"/>
          <w:b/>
          <w:bCs/>
          <w:color w:val="AE1C1F"/>
        </w:rPr>
        <w:t>Tabla 1. Exploraciones complementarias en la valoración inicial y el seguimiento de los pacientes con infección por el VIH-1</w:t>
      </w:r>
    </w:p>
    <w:tbl>
      <w:tblPr>
        <w:tblW w:w="8575" w:type="dxa"/>
        <w:tblInd w:w="2" w:type="dxa"/>
        <w:tblLayout w:type="fixed"/>
        <w:tblCellMar>
          <w:left w:w="10" w:type="dxa"/>
          <w:right w:w="10" w:type="dxa"/>
        </w:tblCellMar>
        <w:tblLook w:val="0000" w:firstRow="0" w:lastRow="0" w:firstColumn="0" w:lastColumn="0" w:noHBand="0" w:noVBand="0"/>
      </w:tblPr>
      <w:tblGrid>
        <w:gridCol w:w="3528"/>
        <w:gridCol w:w="1285"/>
        <w:gridCol w:w="3762"/>
      </w:tblGrid>
      <w:tr w:rsidR="00251963" w:rsidRPr="003F3B0A" w14:paraId="3F5DAB5A" w14:textId="77777777" w:rsidTr="00A53EA0">
        <w:tc>
          <w:tcPr>
            <w:tcW w:w="3528" w:type="dxa"/>
            <w:tcBorders>
              <w:top w:val="single" w:sz="4" w:space="0" w:color="000080"/>
              <w:left w:val="single" w:sz="4" w:space="0" w:color="000080"/>
              <w:bottom w:val="single" w:sz="4" w:space="0" w:color="000080"/>
            </w:tcBorders>
            <w:shd w:val="clear" w:color="auto" w:fill="FBE4D5"/>
            <w:vAlign w:val="center"/>
          </w:tcPr>
          <w:p w14:paraId="1976A9BB" w14:textId="77777777" w:rsidR="00251963" w:rsidRPr="003F3B0A" w:rsidRDefault="00251963" w:rsidP="00A53EA0">
            <w:pPr>
              <w:suppressAutoHyphens/>
              <w:spacing w:before="60" w:after="60"/>
              <w:jc w:val="center"/>
              <w:textAlignment w:val="baseline"/>
              <w:rPr>
                <w:rFonts w:ascii="Arial" w:eastAsia="Arial Unicode MS" w:hAnsi="Arial" w:cs="Arial"/>
                <w:b/>
                <w:color w:val="AE1C1F"/>
                <w:kern w:val="1"/>
                <w:sz w:val="20"/>
                <w:szCs w:val="20"/>
                <w:lang w:eastAsia="ar-SA"/>
              </w:rPr>
            </w:pPr>
            <w:r w:rsidRPr="003F3B0A">
              <w:rPr>
                <w:rFonts w:ascii="Arial" w:eastAsia="Arial Unicode MS" w:hAnsi="Arial" w:cs="Arial"/>
                <w:b/>
                <w:color w:val="AE1C1F"/>
                <w:kern w:val="1"/>
                <w:sz w:val="20"/>
                <w:szCs w:val="20"/>
                <w:lang w:eastAsia="ar-SA"/>
              </w:rPr>
              <w:t>Actividad / Exploración</w:t>
            </w:r>
          </w:p>
        </w:tc>
        <w:tc>
          <w:tcPr>
            <w:tcW w:w="1285" w:type="dxa"/>
            <w:tcBorders>
              <w:top w:val="single" w:sz="4" w:space="0" w:color="000080"/>
              <w:left w:val="single" w:sz="4" w:space="0" w:color="000080"/>
              <w:bottom w:val="single" w:sz="4" w:space="0" w:color="000080"/>
            </w:tcBorders>
            <w:shd w:val="clear" w:color="auto" w:fill="FBE4D5"/>
            <w:vAlign w:val="center"/>
          </w:tcPr>
          <w:p w14:paraId="785A2F91" w14:textId="77777777" w:rsidR="00251963" w:rsidRPr="003F3B0A" w:rsidRDefault="00251963" w:rsidP="00A53EA0">
            <w:pPr>
              <w:suppressAutoHyphens/>
              <w:spacing w:before="60" w:after="60"/>
              <w:jc w:val="center"/>
              <w:textAlignment w:val="baseline"/>
              <w:rPr>
                <w:rFonts w:ascii="Arial" w:eastAsia="Arial Unicode MS" w:hAnsi="Arial" w:cs="Arial"/>
                <w:b/>
                <w:color w:val="AE1C1F"/>
                <w:kern w:val="1"/>
                <w:sz w:val="20"/>
                <w:szCs w:val="20"/>
                <w:lang w:eastAsia="ar-SA"/>
              </w:rPr>
            </w:pPr>
            <w:r w:rsidRPr="003F3B0A">
              <w:rPr>
                <w:rFonts w:ascii="Arial" w:eastAsia="Arial Unicode MS" w:hAnsi="Arial" w:cs="Arial"/>
                <w:b/>
                <w:color w:val="AE1C1F"/>
                <w:kern w:val="1"/>
                <w:sz w:val="20"/>
                <w:szCs w:val="20"/>
                <w:lang w:eastAsia="ar-SA"/>
              </w:rPr>
              <w:t>Valoración Inicial</w:t>
            </w:r>
          </w:p>
        </w:tc>
        <w:tc>
          <w:tcPr>
            <w:tcW w:w="3762" w:type="dxa"/>
            <w:tcBorders>
              <w:top w:val="single" w:sz="4" w:space="0" w:color="000080"/>
              <w:left w:val="single" w:sz="4" w:space="0" w:color="000080"/>
              <w:bottom w:val="single" w:sz="4" w:space="0" w:color="000080"/>
              <w:right w:val="single" w:sz="4" w:space="0" w:color="000080"/>
            </w:tcBorders>
            <w:shd w:val="clear" w:color="auto" w:fill="FBE4D5"/>
            <w:vAlign w:val="center"/>
          </w:tcPr>
          <w:p w14:paraId="36DFB634" w14:textId="77777777" w:rsidR="00251963" w:rsidRPr="003F3B0A" w:rsidRDefault="00251963" w:rsidP="00A53EA0">
            <w:pPr>
              <w:suppressAutoHyphens/>
              <w:spacing w:before="60" w:after="60"/>
              <w:jc w:val="center"/>
              <w:textAlignment w:val="baseline"/>
              <w:rPr>
                <w:rFonts w:ascii="Arial" w:hAnsi="Arial" w:cs="Arial"/>
                <w:color w:val="AE1C1F"/>
                <w:kern w:val="1"/>
                <w:sz w:val="20"/>
                <w:szCs w:val="20"/>
                <w:lang w:eastAsia="ar-SA"/>
              </w:rPr>
            </w:pPr>
            <w:r w:rsidRPr="003F3B0A">
              <w:rPr>
                <w:rFonts w:ascii="Arial" w:eastAsia="Arial Unicode MS" w:hAnsi="Arial" w:cs="Arial"/>
                <w:b/>
                <w:color w:val="AE1C1F"/>
                <w:kern w:val="1"/>
                <w:sz w:val="20"/>
                <w:szCs w:val="20"/>
                <w:lang w:eastAsia="ar-SA"/>
              </w:rPr>
              <w:t>Seguimiento</w:t>
            </w:r>
          </w:p>
        </w:tc>
      </w:tr>
      <w:tr w:rsidR="00251963" w:rsidRPr="003F3B0A" w14:paraId="3E130B3D" w14:textId="77777777" w:rsidTr="00A53EA0">
        <w:tc>
          <w:tcPr>
            <w:tcW w:w="3528" w:type="dxa"/>
            <w:tcBorders>
              <w:top w:val="single" w:sz="4" w:space="0" w:color="000080"/>
              <w:left w:val="single" w:sz="4" w:space="0" w:color="000080"/>
              <w:bottom w:val="single" w:sz="4" w:space="0" w:color="000080"/>
            </w:tcBorders>
          </w:tcPr>
          <w:p w14:paraId="078379F5"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Anamnesis completa</w:t>
            </w:r>
            <w:r w:rsidRPr="003F3B0A">
              <w:rPr>
                <w:rFonts w:ascii="Arial" w:eastAsia="Arial Unicode MS" w:hAnsi="Arial" w:cs="Arial"/>
                <w:kern w:val="1"/>
                <w:sz w:val="20"/>
                <w:szCs w:val="20"/>
                <w:vertAlign w:val="superscript"/>
                <w:lang w:eastAsia="ar-SA"/>
              </w:rPr>
              <w:t xml:space="preserve">1 </w:t>
            </w:r>
          </w:p>
        </w:tc>
        <w:tc>
          <w:tcPr>
            <w:tcW w:w="1285" w:type="dxa"/>
            <w:tcBorders>
              <w:top w:val="single" w:sz="4" w:space="0" w:color="000080"/>
              <w:left w:val="single" w:sz="4" w:space="0" w:color="000080"/>
              <w:bottom w:val="single" w:sz="4" w:space="0" w:color="000080"/>
            </w:tcBorders>
          </w:tcPr>
          <w:p w14:paraId="59EA72CF"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24361FE"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vertAlign w:val="superscript"/>
                <w:lang w:eastAsia="ar-SA"/>
              </w:rPr>
            </w:pPr>
            <w:r w:rsidRPr="003F3B0A">
              <w:rPr>
                <w:rFonts w:ascii="Arial" w:eastAsia="Arial Unicode MS" w:hAnsi="Arial" w:cs="Arial"/>
                <w:kern w:val="1"/>
                <w:sz w:val="20"/>
                <w:szCs w:val="20"/>
                <w:lang w:eastAsia="ar-SA"/>
              </w:rPr>
              <w:t>Anual</w:t>
            </w:r>
            <w:r w:rsidRPr="003F3B0A">
              <w:rPr>
                <w:rFonts w:ascii="Arial" w:eastAsia="Arial Unicode MS" w:hAnsi="Arial" w:cs="Arial"/>
                <w:kern w:val="1"/>
                <w:sz w:val="20"/>
                <w:szCs w:val="20"/>
                <w:vertAlign w:val="superscript"/>
                <w:lang w:eastAsia="ar-SA"/>
              </w:rPr>
              <w:t>2</w:t>
            </w:r>
          </w:p>
        </w:tc>
      </w:tr>
      <w:tr w:rsidR="00251963" w:rsidRPr="003F3B0A" w14:paraId="0B1DD2FB" w14:textId="77777777" w:rsidTr="00A53EA0">
        <w:tc>
          <w:tcPr>
            <w:tcW w:w="3528" w:type="dxa"/>
            <w:tcBorders>
              <w:top w:val="single" w:sz="4" w:space="0" w:color="000080"/>
              <w:left w:val="single" w:sz="4" w:space="0" w:color="000080"/>
              <w:bottom w:val="single" w:sz="4" w:space="0" w:color="000080"/>
            </w:tcBorders>
          </w:tcPr>
          <w:p w14:paraId="7BA30550"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Exploración física completa</w:t>
            </w:r>
            <w:r w:rsidRPr="003F3B0A">
              <w:rPr>
                <w:rFonts w:ascii="Arial" w:eastAsia="Arial Unicode MS" w:hAnsi="Arial" w:cs="Arial"/>
                <w:kern w:val="1"/>
                <w:sz w:val="20"/>
                <w:szCs w:val="20"/>
                <w:vertAlign w:val="superscript"/>
                <w:lang w:eastAsia="ar-SA"/>
              </w:rPr>
              <w:t>3</w:t>
            </w:r>
          </w:p>
        </w:tc>
        <w:tc>
          <w:tcPr>
            <w:tcW w:w="1285" w:type="dxa"/>
            <w:tcBorders>
              <w:top w:val="single" w:sz="4" w:space="0" w:color="000080"/>
              <w:left w:val="single" w:sz="4" w:space="0" w:color="000080"/>
              <w:bottom w:val="single" w:sz="4" w:space="0" w:color="000080"/>
            </w:tcBorders>
          </w:tcPr>
          <w:p w14:paraId="380FCC51"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511E1BD0" w14:textId="77777777" w:rsidR="00251963" w:rsidRPr="003F3B0A" w:rsidRDefault="00251963" w:rsidP="00A53EA0">
            <w:pPr>
              <w:suppressAutoHyphens/>
              <w:spacing w:before="60" w:after="60"/>
              <w:textAlignment w:val="baseline"/>
              <w:rPr>
                <w:rFonts w:ascii="Arial" w:hAnsi="Arial" w:cs="Arial"/>
                <w:kern w:val="1"/>
                <w:sz w:val="20"/>
                <w:szCs w:val="20"/>
                <w:vertAlign w:val="superscript"/>
                <w:lang w:eastAsia="ar-SA"/>
              </w:rPr>
            </w:pPr>
            <w:r w:rsidRPr="003F3B0A">
              <w:rPr>
                <w:rFonts w:ascii="Arial" w:eastAsia="Arial Unicode MS" w:hAnsi="Arial" w:cs="Arial"/>
                <w:kern w:val="1"/>
                <w:sz w:val="20"/>
                <w:szCs w:val="20"/>
                <w:lang w:eastAsia="ar-SA"/>
              </w:rPr>
              <w:t>Anual</w:t>
            </w:r>
            <w:r w:rsidRPr="003F3B0A">
              <w:rPr>
                <w:rFonts w:ascii="Arial" w:eastAsia="Arial Unicode MS" w:hAnsi="Arial" w:cs="Arial"/>
                <w:kern w:val="1"/>
                <w:sz w:val="20"/>
                <w:szCs w:val="20"/>
                <w:vertAlign w:val="superscript"/>
                <w:lang w:eastAsia="ar-SA"/>
              </w:rPr>
              <w:t>2</w:t>
            </w:r>
          </w:p>
        </w:tc>
      </w:tr>
      <w:tr w:rsidR="00251963" w:rsidRPr="003F3B0A" w14:paraId="1E942BC7" w14:textId="77777777" w:rsidTr="00A53EA0">
        <w:tc>
          <w:tcPr>
            <w:tcW w:w="3528" w:type="dxa"/>
            <w:tcBorders>
              <w:top w:val="single" w:sz="4" w:space="0" w:color="000080"/>
              <w:left w:val="single" w:sz="4" w:space="0" w:color="000080"/>
              <w:bottom w:val="single" w:sz="4" w:space="0" w:color="000080"/>
            </w:tcBorders>
          </w:tcPr>
          <w:p w14:paraId="1233A78D"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Estudio de contactos</w:t>
            </w:r>
          </w:p>
        </w:tc>
        <w:tc>
          <w:tcPr>
            <w:tcW w:w="1285" w:type="dxa"/>
            <w:tcBorders>
              <w:top w:val="single" w:sz="4" w:space="0" w:color="000080"/>
              <w:left w:val="single" w:sz="4" w:space="0" w:color="000080"/>
              <w:bottom w:val="single" w:sz="4" w:space="0" w:color="000080"/>
            </w:tcBorders>
          </w:tcPr>
          <w:p w14:paraId="62AF80D2"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01EDE5C3"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Si nuevas ITS</w:t>
            </w:r>
          </w:p>
        </w:tc>
      </w:tr>
      <w:tr w:rsidR="00251963" w:rsidRPr="003F3B0A" w14:paraId="575F2F7A" w14:textId="77777777" w:rsidTr="00A53EA0">
        <w:tc>
          <w:tcPr>
            <w:tcW w:w="3528" w:type="dxa"/>
            <w:tcBorders>
              <w:top w:val="single" w:sz="4" w:space="0" w:color="000080"/>
              <w:left w:val="single" w:sz="4" w:space="0" w:color="000080"/>
              <w:bottom w:val="single" w:sz="4" w:space="0" w:color="000080"/>
            </w:tcBorders>
          </w:tcPr>
          <w:p w14:paraId="35604524"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Serología VIH-1 si la infección no está confirmada</w:t>
            </w:r>
          </w:p>
        </w:tc>
        <w:tc>
          <w:tcPr>
            <w:tcW w:w="1285" w:type="dxa"/>
            <w:tcBorders>
              <w:top w:val="single" w:sz="4" w:space="0" w:color="000080"/>
              <w:left w:val="single" w:sz="4" w:space="0" w:color="000080"/>
              <w:bottom w:val="single" w:sz="4" w:space="0" w:color="000080"/>
            </w:tcBorders>
          </w:tcPr>
          <w:p w14:paraId="49494A5F"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BB7059E"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p>
        </w:tc>
      </w:tr>
      <w:tr w:rsidR="00251963" w:rsidRPr="003F3B0A" w14:paraId="1A051AA3" w14:textId="77777777" w:rsidTr="00A53EA0">
        <w:tc>
          <w:tcPr>
            <w:tcW w:w="3528" w:type="dxa"/>
            <w:tcBorders>
              <w:top w:val="single" w:sz="4" w:space="0" w:color="000080"/>
              <w:left w:val="single" w:sz="4" w:space="0" w:color="000080"/>
              <w:bottom w:val="single" w:sz="4" w:space="0" w:color="000080"/>
            </w:tcBorders>
          </w:tcPr>
          <w:p w14:paraId="79AD342F"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Carga viral del VIH-1</w:t>
            </w:r>
          </w:p>
        </w:tc>
        <w:tc>
          <w:tcPr>
            <w:tcW w:w="1285" w:type="dxa"/>
            <w:tcBorders>
              <w:top w:val="single" w:sz="4" w:space="0" w:color="000080"/>
              <w:left w:val="single" w:sz="4" w:space="0" w:color="000080"/>
              <w:bottom w:val="single" w:sz="4" w:space="0" w:color="000080"/>
            </w:tcBorders>
          </w:tcPr>
          <w:p w14:paraId="04B7D940"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C162E90"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A las 4 semanas del inicio o cambio del TAR y posteriormente cada 3-12 meses</w:t>
            </w:r>
            <w:r w:rsidRPr="003F3B0A">
              <w:rPr>
                <w:rFonts w:ascii="Arial" w:eastAsia="Arial Unicode MS" w:hAnsi="Arial" w:cs="Arial"/>
                <w:kern w:val="1"/>
                <w:sz w:val="20"/>
                <w:szCs w:val="20"/>
                <w:vertAlign w:val="superscript"/>
                <w:lang w:eastAsia="ar-SA"/>
              </w:rPr>
              <w:t>4</w:t>
            </w:r>
          </w:p>
        </w:tc>
      </w:tr>
      <w:tr w:rsidR="00251963" w:rsidRPr="003F3B0A" w14:paraId="66A7ABAC" w14:textId="77777777" w:rsidTr="00A53EA0">
        <w:tc>
          <w:tcPr>
            <w:tcW w:w="3528" w:type="dxa"/>
            <w:tcBorders>
              <w:top w:val="single" w:sz="4" w:space="0" w:color="000080"/>
              <w:left w:val="single" w:sz="4" w:space="0" w:color="000080"/>
              <w:bottom w:val="single" w:sz="4" w:space="0" w:color="000080"/>
            </w:tcBorders>
          </w:tcPr>
          <w:p w14:paraId="50DBAE43"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Determinación de linfocitos T CD4+ (número total y porcentaje)</w:t>
            </w:r>
          </w:p>
        </w:tc>
        <w:tc>
          <w:tcPr>
            <w:tcW w:w="1285" w:type="dxa"/>
            <w:tcBorders>
              <w:top w:val="single" w:sz="4" w:space="0" w:color="000080"/>
              <w:left w:val="single" w:sz="4" w:space="0" w:color="000080"/>
              <w:bottom w:val="single" w:sz="4" w:space="0" w:color="000080"/>
            </w:tcBorders>
          </w:tcPr>
          <w:p w14:paraId="16B93262"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59CE9E9C"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Cada 3-12 meses</w:t>
            </w:r>
          </w:p>
        </w:tc>
      </w:tr>
      <w:tr w:rsidR="00251963" w:rsidRPr="003F3B0A" w14:paraId="564068A0" w14:textId="77777777" w:rsidTr="00A53EA0">
        <w:tc>
          <w:tcPr>
            <w:tcW w:w="3528" w:type="dxa"/>
            <w:tcBorders>
              <w:top w:val="single" w:sz="4" w:space="0" w:color="000080"/>
              <w:left w:val="single" w:sz="4" w:space="0" w:color="000080"/>
              <w:bottom w:val="single" w:sz="4" w:space="0" w:color="000080"/>
            </w:tcBorders>
          </w:tcPr>
          <w:p w14:paraId="4971DFFE" w14:textId="77777777" w:rsidR="00251963" w:rsidRPr="00872D9A" w:rsidRDefault="00251963" w:rsidP="00A53EA0">
            <w:pPr>
              <w:suppressAutoHyphens/>
              <w:spacing w:before="60" w:after="60"/>
              <w:textAlignment w:val="baseline"/>
              <w:rPr>
                <w:rFonts w:ascii="Arial" w:eastAsia="Arial Unicode MS" w:hAnsi="Arial" w:cs="Arial"/>
                <w:kern w:val="1"/>
                <w:sz w:val="20"/>
                <w:szCs w:val="20"/>
                <w:highlight w:val="yellow"/>
                <w:lang w:eastAsia="ar-SA"/>
              </w:rPr>
            </w:pPr>
            <w:r w:rsidRPr="00872D9A">
              <w:rPr>
                <w:rFonts w:ascii="Arial" w:eastAsia="Arial Unicode MS" w:hAnsi="Arial" w:cs="Arial"/>
                <w:kern w:val="1"/>
                <w:sz w:val="20"/>
                <w:szCs w:val="20"/>
                <w:highlight w:val="yellow"/>
                <w:lang w:eastAsia="ar-SA"/>
              </w:rPr>
              <w:t>Determinación de linfocitos T CD8+ y cociente CD4+/CD8+</w:t>
            </w:r>
          </w:p>
        </w:tc>
        <w:tc>
          <w:tcPr>
            <w:tcW w:w="1285" w:type="dxa"/>
            <w:tcBorders>
              <w:top w:val="single" w:sz="4" w:space="0" w:color="000080"/>
              <w:left w:val="single" w:sz="4" w:space="0" w:color="000080"/>
              <w:bottom w:val="single" w:sz="4" w:space="0" w:color="000080"/>
            </w:tcBorders>
          </w:tcPr>
          <w:p w14:paraId="30AAEC70" w14:textId="77777777" w:rsidR="00251963" w:rsidRPr="00872D9A" w:rsidRDefault="00251963" w:rsidP="00A53EA0">
            <w:pPr>
              <w:suppressAutoHyphens/>
              <w:spacing w:before="60" w:after="60"/>
              <w:jc w:val="center"/>
              <w:textAlignment w:val="baseline"/>
              <w:rPr>
                <w:rFonts w:ascii="Arial" w:eastAsia="Arial Unicode MS" w:hAnsi="Arial" w:cs="Arial"/>
                <w:kern w:val="1"/>
                <w:sz w:val="20"/>
                <w:szCs w:val="20"/>
                <w:highlight w:val="yellow"/>
                <w:lang w:eastAsia="ar-SA"/>
              </w:rPr>
            </w:pPr>
            <w:r w:rsidRPr="00872D9A">
              <w:rPr>
                <w:rFonts w:ascii="Arial" w:eastAsia="Arial Unicode MS" w:hAnsi="Arial" w:cs="Arial"/>
                <w:kern w:val="1"/>
                <w:sz w:val="20"/>
                <w:szCs w:val="20"/>
                <w:highlight w:val="yellow"/>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283D645F" w14:textId="77777777" w:rsidR="00251963" w:rsidRPr="00872D9A" w:rsidRDefault="00251963" w:rsidP="00A53EA0">
            <w:pPr>
              <w:suppressAutoHyphens/>
              <w:spacing w:before="60" w:after="60"/>
              <w:textAlignment w:val="baseline"/>
              <w:rPr>
                <w:rFonts w:ascii="Arial" w:eastAsia="Arial Unicode MS" w:hAnsi="Arial" w:cs="Arial"/>
                <w:kern w:val="1"/>
                <w:sz w:val="20"/>
                <w:szCs w:val="20"/>
                <w:highlight w:val="yellow"/>
                <w:lang w:eastAsia="ar-SA"/>
              </w:rPr>
            </w:pPr>
            <w:r w:rsidRPr="00872D9A">
              <w:rPr>
                <w:rFonts w:ascii="Arial" w:eastAsia="Arial Unicode MS" w:hAnsi="Arial" w:cs="Arial"/>
                <w:kern w:val="1"/>
                <w:sz w:val="20"/>
                <w:szCs w:val="20"/>
                <w:highlight w:val="yellow"/>
                <w:lang w:eastAsia="ar-SA"/>
              </w:rPr>
              <w:t xml:space="preserve">Cuando se </w:t>
            </w:r>
            <w:r>
              <w:rPr>
                <w:rFonts w:ascii="Arial" w:eastAsia="Arial Unicode MS" w:hAnsi="Arial" w:cs="Arial"/>
                <w:kern w:val="1"/>
                <w:sz w:val="20"/>
                <w:szCs w:val="20"/>
                <w:highlight w:val="yellow"/>
                <w:lang w:eastAsia="ar-SA"/>
              </w:rPr>
              <w:t>determinen</w:t>
            </w:r>
            <w:r w:rsidRPr="00872D9A">
              <w:rPr>
                <w:rFonts w:ascii="Arial" w:eastAsia="Arial Unicode MS" w:hAnsi="Arial" w:cs="Arial"/>
                <w:kern w:val="1"/>
                <w:sz w:val="20"/>
                <w:szCs w:val="20"/>
                <w:highlight w:val="yellow"/>
                <w:lang w:eastAsia="ar-SA"/>
              </w:rPr>
              <w:t xml:space="preserve"> los CD4 </w:t>
            </w:r>
          </w:p>
        </w:tc>
      </w:tr>
      <w:tr w:rsidR="00251963" w:rsidRPr="003F3B0A" w14:paraId="4587BE6E" w14:textId="77777777" w:rsidTr="00A53EA0">
        <w:tc>
          <w:tcPr>
            <w:tcW w:w="3528" w:type="dxa"/>
            <w:tcBorders>
              <w:top w:val="single" w:sz="4" w:space="0" w:color="000080"/>
              <w:left w:val="single" w:sz="4" w:space="0" w:color="000080"/>
              <w:bottom w:val="single" w:sz="4" w:space="0" w:color="000080"/>
            </w:tcBorders>
          </w:tcPr>
          <w:p w14:paraId="7FFAB357" w14:textId="77777777" w:rsidR="00251963" w:rsidRPr="003F3B0A" w:rsidRDefault="00251963" w:rsidP="00A53EA0">
            <w:pPr>
              <w:suppressAutoHyphens/>
              <w:spacing w:before="60" w:after="60"/>
              <w:textAlignment w:val="baseline"/>
              <w:rPr>
                <w:rFonts w:ascii="Arial" w:eastAsia="Arial Unicode MS" w:hAnsi="Arial" w:cs="Arial"/>
                <w:kern w:val="1"/>
                <w:sz w:val="20"/>
                <w:szCs w:val="20"/>
                <w:vertAlign w:val="superscript"/>
                <w:lang w:eastAsia="ar-SA"/>
              </w:rPr>
            </w:pPr>
            <w:r w:rsidRPr="003F3B0A">
              <w:rPr>
                <w:rFonts w:ascii="Arial" w:eastAsia="Arial Unicode MS" w:hAnsi="Arial" w:cs="Arial"/>
                <w:kern w:val="1"/>
                <w:sz w:val="20"/>
                <w:szCs w:val="20"/>
                <w:lang w:eastAsia="ar-SA"/>
              </w:rPr>
              <w:t>Estudio genotípico de resistencia</w:t>
            </w:r>
            <w:r>
              <w:rPr>
                <w:rFonts w:ascii="Arial" w:eastAsia="Arial Unicode MS" w:hAnsi="Arial" w:cs="Arial"/>
                <w:kern w:val="1"/>
                <w:sz w:val="20"/>
                <w:szCs w:val="20"/>
                <w:lang w:eastAsia="ar-SA"/>
              </w:rPr>
              <w:t>s</w:t>
            </w:r>
            <w:r>
              <w:rPr>
                <w:rFonts w:ascii="Arial" w:eastAsia="Arial Unicode MS" w:hAnsi="Arial" w:cs="Arial"/>
                <w:kern w:val="1"/>
                <w:sz w:val="20"/>
                <w:szCs w:val="20"/>
                <w:vertAlign w:val="superscript"/>
                <w:lang w:eastAsia="ar-SA"/>
              </w:rPr>
              <w:t>5</w:t>
            </w:r>
          </w:p>
        </w:tc>
        <w:tc>
          <w:tcPr>
            <w:tcW w:w="1285" w:type="dxa"/>
            <w:tcBorders>
              <w:top w:val="single" w:sz="4" w:space="0" w:color="000080"/>
              <w:left w:val="single" w:sz="4" w:space="0" w:color="000080"/>
              <w:bottom w:val="single" w:sz="4" w:space="0" w:color="000080"/>
            </w:tcBorders>
          </w:tcPr>
          <w:p w14:paraId="4FBEFC0D"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6CD86AD7"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Si fracaso virológico</w:t>
            </w:r>
          </w:p>
        </w:tc>
      </w:tr>
      <w:tr w:rsidR="00251963" w:rsidRPr="003F3B0A" w14:paraId="4CA017E5" w14:textId="77777777" w:rsidTr="00A53EA0">
        <w:tc>
          <w:tcPr>
            <w:tcW w:w="3528" w:type="dxa"/>
            <w:tcBorders>
              <w:top w:val="single" w:sz="4" w:space="0" w:color="000080"/>
              <w:left w:val="single" w:sz="4" w:space="0" w:color="000080"/>
              <w:bottom w:val="single" w:sz="4" w:space="0" w:color="000080"/>
            </w:tcBorders>
          </w:tcPr>
          <w:p w14:paraId="03A15369"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HLA B*5701</w:t>
            </w:r>
          </w:p>
        </w:tc>
        <w:tc>
          <w:tcPr>
            <w:tcW w:w="1285" w:type="dxa"/>
            <w:tcBorders>
              <w:top w:val="single" w:sz="4" w:space="0" w:color="000080"/>
              <w:left w:val="single" w:sz="4" w:space="0" w:color="000080"/>
              <w:bottom w:val="single" w:sz="4" w:space="0" w:color="000080"/>
            </w:tcBorders>
          </w:tcPr>
          <w:p w14:paraId="5F09A7A1"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070A614"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p>
        </w:tc>
      </w:tr>
      <w:tr w:rsidR="00251963" w:rsidRPr="003F3B0A" w14:paraId="562550E9" w14:textId="77777777" w:rsidTr="00A53EA0">
        <w:tc>
          <w:tcPr>
            <w:tcW w:w="3528" w:type="dxa"/>
            <w:tcBorders>
              <w:top w:val="single" w:sz="4" w:space="0" w:color="000080"/>
              <w:left w:val="single" w:sz="4" w:space="0" w:color="000080"/>
              <w:bottom w:val="single" w:sz="4" w:space="0" w:color="000080"/>
            </w:tcBorders>
          </w:tcPr>
          <w:p w14:paraId="34C182BC"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Tropismo viral</w:t>
            </w:r>
            <w:r>
              <w:rPr>
                <w:rFonts w:ascii="Arial" w:eastAsia="Arial Unicode MS" w:hAnsi="Arial" w:cs="Arial"/>
                <w:kern w:val="1"/>
                <w:sz w:val="20"/>
                <w:szCs w:val="20"/>
                <w:vertAlign w:val="superscript"/>
                <w:lang w:eastAsia="ar-SA"/>
              </w:rPr>
              <w:t>6</w:t>
            </w:r>
          </w:p>
        </w:tc>
        <w:tc>
          <w:tcPr>
            <w:tcW w:w="1285" w:type="dxa"/>
            <w:tcBorders>
              <w:top w:val="single" w:sz="4" w:space="0" w:color="000080"/>
              <w:left w:val="single" w:sz="4" w:space="0" w:color="000080"/>
              <w:bottom w:val="single" w:sz="4" w:space="0" w:color="000080"/>
            </w:tcBorders>
          </w:tcPr>
          <w:p w14:paraId="7EC13844"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55987DF7"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xml:space="preserve">Si se va a utilizar MVC o tras su fracaso </w:t>
            </w:r>
          </w:p>
        </w:tc>
      </w:tr>
      <w:tr w:rsidR="00251963" w:rsidRPr="003F3B0A" w14:paraId="521EA2C2" w14:textId="77777777" w:rsidTr="00A53EA0">
        <w:tc>
          <w:tcPr>
            <w:tcW w:w="3528" w:type="dxa"/>
            <w:tcBorders>
              <w:top w:val="single" w:sz="4" w:space="0" w:color="000080"/>
              <w:left w:val="single" w:sz="4" w:space="0" w:color="000080"/>
              <w:bottom w:val="single" w:sz="4" w:space="0" w:color="000080"/>
            </w:tcBorders>
          </w:tcPr>
          <w:p w14:paraId="709DCEDC"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Hemograma</w:t>
            </w:r>
          </w:p>
        </w:tc>
        <w:tc>
          <w:tcPr>
            <w:tcW w:w="1285" w:type="dxa"/>
            <w:tcBorders>
              <w:top w:val="single" w:sz="4" w:space="0" w:color="000080"/>
              <w:left w:val="single" w:sz="4" w:space="0" w:color="000080"/>
              <w:bottom w:val="single" w:sz="4" w:space="0" w:color="000080"/>
            </w:tcBorders>
          </w:tcPr>
          <w:p w14:paraId="7115D46A"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6D82E882"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Cuando se soliciten CD4 o según indicación clínica</w:t>
            </w:r>
          </w:p>
        </w:tc>
      </w:tr>
      <w:tr w:rsidR="00251963" w:rsidRPr="003F3B0A" w14:paraId="3A366091" w14:textId="77777777" w:rsidTr="00A53EA0">
        <w:trPr>
          <w:trHeight w:val="246"/>
        </w:trPr>
        <w:tc>
          <w:tcPr>
            <w:tcW w:w="3528" w:type="dxa"/>
            <w:tcBorders>
              <w:top w:val="single" w:sz="4" w:space="0" w:color="000080"/>
              <w:left w:val="single" w:sz="4" w:space="0" w:color="000080"/>
              <w:bottom w:val="single" w:sz="4" w:space="0" w:color="000080"/>
            </w:tcBorders>
          </w:tcPr>
          <w:p w14:paraId="7C56DD17"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Estudio básico de coagulación</w:t>
            </w:r>
          </w:p>
        </w:tc>
        <w:tc>
          <w:tcPr>
            <w:tcW w:w="1285" w:type="dxa"/>
            <w:tcBorders>
              <w:top w:val="single" w:sz="4" w:space="0" w:color="000080"/>
              <w:left w:val="single" w:sz="4" w:space="0" w:color="000080"/>
              <w:bottom w:val="single" w:sz="4" w:space="0" w:color="000080"/>
            </w:tcBorders>
          </w:tcPr>
          <w:p w14:paraId="2B6CBBC9" w14:textId="77777777" w:rsidR="00251963" w:rsidRPr="003F3B0A" w:rsidRDefault="00251963" w:rsidP="00A53EA0">
            <w:pPr>
              <w:suppressAutoHyphens/>
              <w:snapToGrid w:val="0"/>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056CCE63"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609A6C99" w14:textId="77777777" w:rsidTr="00A53EA0">
        <w:trPr>
          <w:trHeight w:val="406"/>
        </w:trPr>
        <w:tc>
          <w:tcPr>
            <w:tcW w:w="3528" w:type="dxa"/>
            <w:tcBorders>
              <w:top w:val="single" w:sz="4" w:space="0" w:color="000080"/>
              <w:left w:val="single" w:sz="4" w:space="0" w:color="000080"/>
              <w:bottom w:val="single" w:sz="4" w:space="0" w:color="000080"/>
            </w:tcBorders>
          </w:tcPr>
          <w:p w14:paraId="532361C8"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Bioquímica sanguínea que incluya perfil hepático, renal (con FGe) y lipídico</w:t>
            </w:r>
          </w:p>
        </w:tc>
        <w:tc>
          <w:tcPr>
            <w:tcW w:w="1285" w:type="dxa"/>
            <w:tcBorders>
              <w:top w:val="single" w:sz="4" w:space="0" w:color="000080"/>
              <w:left w:val="single" w:sz="4" w:space="0" w:color="000080"/>
              <w:bottom w:val="single" w:sz="4" w:space="0" w:color="000080"/>
            </w:tcBorders>
          </w:tcPr>
          <w:p w14:paraId="0F6B1DF6" w14:textId="77777777" w:rsidR="00251963" w:rsidRPr="003F3B0A" w:rsidRDefault="00251963" w:rsidP="00A53EA0">
            <w:pPr>
              <w:suppressAutoHyphens/>
              <w:snapToGrid w:val="0"/>
              <w:spacing w:before="60" w:after="60"/>
              <w:jc w:val="center"/>
              <w:textAlignment w:val="baseline"/>
              <w:rPr>
                <w:rFonts w:ascii="Arial" w:eastAsia="Arial Unicode MS" w:hAnsi="Arial" w:cs="Arial"/>
                <w:kern w:val="1"/>
                <w:sz w:val="20"/>
                <w:szCs w:val="20"/>
                <w:lang w:eastAsia="ar-SA"/>
              </w:rPr>
            </w:pPr>
          </w:p>
          <w:p w14:paraId="1B6913DA"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292B4F7D"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p>
          <w:p w14:paraId="7D953836"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Cada 3-12 meses</w:t>
            </w:r>
          </w:p>
        </w:tc>
      </w:tr>
      <w:tr w:rsidR="00251963" w:rsidRPr="003F3B0A" w14:paraId="17A2EA47" w14:textId="77777777" w:rsidTr="00A53EA0">
        <w:trPr>
          <w:trHeight w:val="406"/>
        </w:trPr>
        <w:tc>
          <w:tcPr>
            <w:tcW w:w="3528" w:type="dxa"/>
            <w:tcBorders>
              <w:top w:val="single" w:sz="4" w:space="0" w:color="000080"/>
              <w:left w:val="single" w:sz="4" w:space="0" w:color="000080"/>
              <w:bottom w:val="single" w:sz="4" w:space="0" w:color="000080"/>
            </w:tcBorders>
          </w:tcPr>
          <w:p w14:paraId="1F450286"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Perfil metabólico óseo (Ca, P y Vitamina D)</w:t>
            </w:r>
          </w:p>
        </w:tc>
        <w:tc>
          <w:tcPr>
            <w:tcW w:w="1285" w:type="dxa"/>
            <w:tcBorders>
              <w:top w:val="single" w:sz="4" w:space="0" w:color="000080"/>
              <w:left w:val="single" w:sz="4" w:space="0" w:color="000080"/>
              <w:bottom w:val="single" w:sz="4" w:space="0" w:color="000080"/>
            </w:tcBorders>
          </w:tcPr>
          <w:p w14:paraId="357E9976" w14:textId="77777777" w:rsidR="00251963" w:rsidRPr="003F3B0A" w:rsidRDefault="00251963" w:rsidP="00A53EA0">
            <w:pPr>
              <w:suppressAutoHyphens/>
              <w:snapToGrid w:val="0"/>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54D201FB"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33EBAE30" w14:textId="77777777" w:rsidTr="00A53EA0">
        <w:trPr>
          <w:trHeight w:val="406"/>
        </w:trPr>
        <w:tc>
          <w:tcPr>
            <w:tcW w:w="3528" w:type="dxa"/>
            <w:tcBorders>
              <w:top w:val="single" w:sz="4" w:space="0" w:color="000080"/>
              <w:left w:val="single" w:sz="4" w:space="0" w:color="000080"/>
              <w:bottom w:val="single" w:sz="4" w:space="0" w:color="000080"/>
            </w:tcBorders>
          </w:tcPr>
          <w:p w14:paraId="60027571"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lang w:eastAsia="ar-SA"/>
              </w:rPr>
              <w:t>Análisis elemental de orina y sedimento</w:t>
            </w:r>
            <w:r w:rsidRPr="003F3B0A">
              <w:rPr>
                <w:rFonts w:ascii="Arial" w:hAnsi="Arial" w:cs="Arial"/>
                <w:kern w:val="1"/>
                <w:sz w:val="20"/>
                <w:szCs w:val="20"/>
                <w:lang w:eastAsia="ar-SA"/>
              </w:rPr>
              <w:t xml:space="preserve"> y bioquímica en muestra aislada de orina: proteinuria y cociente proteína/creatinina</w:t>
            </w:r>
          </w:p>
        </w:tc>
        <w:tc>
          <w:tcPr>
            <w:tcW w:w="1285" w:type="dxa"/>
            <w:tcBorders>
              <w:top w:val="single" w:sz="4" w:space="0" w:color="000080"/>
              <w:left w:val="single" w:sz="4" w:space="0" w:color="000080"/>
              <w:bottom w:val="single" w:sz="4" w:space="0" w:color="000080"/>
            </w:tcBorders>
          </w:tcPr>
          <w:p w14:paraId="59604D1C" w14:textId="77777777" w:rsidR="00251963" w:rsidRPr="003F3B0A" w:rsidRDefault="00251963" w:rsidP="00A53EA0">
            <w:pPr>
              <w:suppressAutoHyphens/>
              <w:snapToGrid w:val="0"/>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5E7B1BF0"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vertAlign w:val="superscript"/>
                <w:lang w:eastAsia="ar-SA"/>
              </w:rPr>
            </w:pPr>
            <w:r w:rsidRPr="002718E5">
              <w:rPr>
                <w:rFonts w:ascii="Arial" w:eastAsia="Arial Unicode MS" w:hAnsi="Arial" w:cs="Arial"/>
                <w:kern w:val="1"/>
                <w:sz w:val="20"/>
                <w:szCs w:val="20"/>
                <w:highlight w:val="yellow"/>
                <w:lang w:eastAsia="ar-SA"/>
              </w:rPr>
              <w:t>Según criterio clínico, comorbilidades presentes y fármacos antirretrovirales</w:t>
            </w:r>
            <w:r>
              <w:rPr>
                <w:rFonts w:ascii="Arial" w:eastAsia="Arial Unicode MS" w:hAnsi="Arial" w:cs="Arial"/>
                <w:kern w:val="1"/>
                <w:sz w:val="20"/>
                <w:szCs w:val="20"/>
                <w:vertAlign w:val="superscript"/>
                <w:lang w:eastAsia="ar-SA"/>
              </w:rPr>
              <w:t>7</w:t>
            </w:r>
          </w:p>
        </w:tc>
      </w:tr>
      <w:tr w:rsidR="00251963" w:rsidRPr="003F3B0A" w14:paraId="5E76CA7F" w14:textId="77777777" w:rsidTr="00A53EA0">
        <w:trPr>
          <w:trHeight w:val="406"/>
        </w:trPr>
        <w:tc>
          <w:tcPr>
            <w:tcW w:w="3528" w:type="dxa"/>
            <w:tcBorders>
              <w:top w:val="single" w:sz="4" w:space="0" w:color="000080"/>
              <w:left w:val="single" w:sz="4" w:space="0" w:color="000080"/>
              <w:bottom w:val="single" w:sz="4" w:space="0" w:color="000080"/>
            </w:tcBorders>
          </w:tcPr>
          <w:p w14:paraId="738645C5"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Cálculo del riesgo cardiovascular:</w:t>
            </w:r>
          </w:p>
          <w:p w14:paraId="012F8AB6"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Framingham adaptado a la población con VIH (</w:t>
            </w:r>
            <w:hyperlink r:id="rId94" w:history="1">
              <w:r w:rsidRPr="003F3B0A">
                <w:rPr>
                  <w:rFonts w:ascii="Arial" w:eastAsia="Arial Unicode MS" w:hAnsi="Arial" w:cs="Arial"/>
                  <w:color w:val="0563C1"/>
                  <w:kern w:val="1"/>
                  <w:sz w:val="20"/>
                  <w:szCs w:val="20"/>
                  <w:u w:val="single"/>
                  <w:lang w:eastAsia="ar-SA"/>
                </w:rPr>
                <w:t>enlace</w:t>
              </w:r>
            </w:hyperlink>
            <w:r w:rsidRPr="003F3B0A">
              <w:rPr>
                <w:rFonts w:ascii="Arial" w:eastAsia="Arial Unicode MS" w:hAnsi="Arial" w:cs="Arial"/>
                <w:kern w:val="1"/>
                <w:sz w:val="20"/>
                <w:szCs w:val="20"/>
                <w:lang w:eastAsia="ar-SA"/>
              </w:rPr>
              <w:t xml:space="preserve">); </w:t>
            </w:r>
          </w:p>
          <w:p w14:paraId="17E90A36"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xml:space="preserve">- </w:t>
            </w:r>
            <w:r>
              <w:rPr>
                <w:rFonts w:ascii="Arial" w:eastAsia="Arial Unicode MS" w:hAnsi="Arial" w:cs="Arial"/>
                <w:kern w:val="1"/>
                <w:sz w:val="20"/>
                <w:szCs w:val="20"/>
                <w:lang w:eastAsia="ar-SA"/>
              </w:rPr>
              <w:t>P</w:t>
            </w:r>
            <w:r w:rsidRPr="003F3B0A">
              <w:rPr>
                <w:rFonts w:ascii="Arial" w:eastAsia="Arial Unicode MS" w:hAnsi="Arial" w:cs="Arial"/>
                <w:kern w:val="1"/>
                <w:sz w:val="20"/>
                <w:szCs w:val="20"/>
                <w:lang w:eastAsia="ar-SA"/>
              </w:rPr>
              <w:t xml:space="preserve">oblación española: </w:t>
            </w:r>
            <w:hyperlink r:id="rId95" w:history="1">
              <w:r w:rsidRPr="003F3B0A">
                <w:rPr>
                  <w:rFonts w:ascii="Arial" w:eastAsia="Arial Unicode MS" w:hAnsi="Arial" w:cs="Arial"/>
                  <w:color w:val="0563C1"/>
                  <w:kern w:val="1"/>
                  <w:sz w:val="20"/>
                  <w:szCs w:val="20"/>
                  <w:u w:val="single"/>
                  <w:lang w:eastAsia="ar-SA"/>
                </w:rPr>
                <w:t>HeartScore</w:t>
              </w:r>
            </w:hyperlink>
            <w:r w:rsidRPr="003F3B0A">
              <w:rPr>
                <w:rFonts w:ascii="Arial" w:eastAsia="Arial Unicode MS" w:hAnsi="Arial" w:cs="Arial"/>
                <w:kern w:val="1"/>
                <w:sz w:val="20"/>
                <w:szCs w:val="20"/>
                <w:lang w:eastAsia="ar-SA"/>
              </w:rPr>
              <w:t xml:space="preserve">; </w:t>
            </w:r>
            <w:hyperlink r:id="rId96" w:history="1">
              <w:r w:rsidRPr="003F3B0A">
                <w:rPr>
                  <w:rFonts w:ascii="Arial" w:eastAsia="Arial Unicode MS" w:hAnsi="Arial" w:cs="Arial"/>
                  <w:color w:val="0563C1"/>
                  <w:kern w:val="1"/>
                  <w:sz w:val="20"/>
                  <w:szCs w:val="20"/>
                  <w:u w:val="single"/>
                  <w:lang w:eastAsia="ar-SA"/>
                </w:rPr>
                <w:t>Regicor</w:t>
              </w:r>
            </w:hyperlink>
          </w:p>
          <w:p w14:paraId="623985E5"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Pr>
                <w:rFonts w:ascii="Arial" w:eastAsia="Arial Unicode MS" w:hAnsi="Arial" w:cs="Arial"/>
                <w:kern w:val="1"/>
                <w:sz w:val="20"/>
                <w:szCs w:val="20"/>
                <w:lang w:eastAsia="ar-SA"/>
              </w:rPr>
              <w:t>- D</w:t>
            </w:r>
            <w:r w:rsidRPr="003F3B0A">
              <w:rPr>
                <w:rFonts w:ascii="Arial" w:eastAsia="Arial Unicode MS" w:hAnsi="Arial" w:cs="Arial"/>
                <w:kern w:val="1"/>
                <w:sz w:val="20"/>
                <w:szCs w:val="20"/>
                <w:lang w:eastAsia="ar-SA"/>
              </w:rPr>
              <w:t>e la ACC/AHA/SCVD (</w:t>
            </w:r>
            <w:hyperlink r:id="rId97" w:history="1">
              <w:r w:rsidRPr="003F3B0A">
                <w:rPr>
                  <w:rFonts w:ascii="Arial" w:eastAsia="Arial Unicode MS" w:hAnsi="Arial" w:cs="Arial"/>
                  <w:color w:val="0563C1"/>
                  <w:kern w:val="1"/>
                  <w:sz w:val="20"/>
                  <w:szCs w:val="20"/>
                  <w:u w:val="single"/>
                  <w:lang w:eastAsia="ar-SA"/>
                </w:rPr>
                <w:t>enlace</w:t>
              </w:r>
            </w:hyperlink>
            <w:r w:rsidRPr="003F3B0A">
              <w:rPr>
                <w:rFonts w:ascii="Arial" w:eastAsia="Arial Unicode MS" w:hAnsi="Arial" w:cs="Arial"/>
                <w:kern w:val="1"/>
                <w:sz w:val="20"/>
                <w:szCs w:val="20"/>
                <w:lang w:eastAsia="ar-SA"/>
              </w:rPr>
              <w:t xml:space="preserve">) </w:t>
            </w:r>
          </w:p>
        </w:tc>
        <w:tc>
          <w:tcPr>
            <w:tcW w:w="1285" w:type="dxa"/>
            <w:tcBorders>
              <w:top w:val="single" w:sz="4" w:space="0" w:color="000080"/>
              <w:left w:val="single" w:sz="4" w:space="0" w:color="000080"/>
              <w:bottom w:val="single" w:sz="4" w:space="0" w:color="000080"/>
            </w:tcBorders>
          </w:tcPr>
          <w:p w14:paraId="53D28416" w14:textId="77777777" w:rsidR="00251963" w:rsidRPr="003F3B0A" w:rsidRDefault="00251963" w:rsidP="00A53EA0">
            <w:pPr>
              <w:suppressAutoHyphens/>
              <w:snapToGrid w:val="0"/>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4E2212B6"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Cada 2 años, si varones &gt;40 años, o mujeres &gt;50 años.</w:t>
            </w:r>
          </w:p>
          <w:p w14:paraId="0C34BE57" w14:textId="77777777" w:rsidR="00251963" w:rsidRPr="003F3B0A" w:rsidRDefault="00251963" w:rsidP="00A53EA0">
            <w:pPr>
              <w:suppressAutoHyphens/>
              <w:snapToGrid w:val="0"/>
              <w:spacing w:before="60" w:after="60"/>
              <w:textAlignment w:val="baseline"/>
              <w:rPr>
                <w:rFonts w:ascii="Arial" w:eastAsia="Arial Unicode MS" w:hAnsi="Arial" w:cs="Arial"/>
                <w:strike/>
                <w:kern w:val="1"/>
                <w:sz w:val="20"/>
                <w:szCs w:val="20"/>
                <w:lang w:eastAsia="ar-SA"/>
              </w:rPr>
            </w:pPr>
            <w:r w:rsidRPr="003F3B0A">
              <w:rPr>
                <w:rFonts w:ascii="Arial" w:eastAsia="Arial Unicode MS" w:hAnsi="Arial" w:cs="Arial"/>
                <w:kern w:val="1"/>
                <w:sz w:val="20"/>
                <w:szCs w:val="20"/>
                <w:lang w:eastAsia="ar-SA"/>
              </w:rPr>
              <w:t>- Anualmente, si enfermedad cardiovascular previa, antecedentes familiares o riesgo cardiovascular elevado (&gt;10% en los próximos 10 años)</w:t>
            </w:r>
          </w:p>
        </w:tc>
      </w:tr>
      <w:tr w:rsidR="00251963" w:rsidRPr="003F3B0A" w14:paraId="7D1A4F5F" w14:textId="77777777" w:rsidTr="00A53EA0">
        <w:trPr>
          <w:trHeight w:val="483"/>
        </w:trPr>
        <w:tc>
          <w:tcPr>
            <w:tcW w:w="3528" w:type="dxa"/>
            <w:tcBorders>
              <w:top w:val="single" w:sz="4" w:space="0" w:color="000080"/>
              <w:left w:val="single" w:sz="4" w:space="0" w:color="000080"/>
              <w:bottom w:val="single" w:sz="4" w:space="0" w:color="000080"/>
            </w:tcBorders>
          </w:tcPr>
          <w:p w14:paraId="0E436180"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G6PD (si origen africano, asiático, área mediterránea</w:t>
            </w:r>
            <w:r>
              <w:rPr>
                <w:rFonts w:ascii="Arial" w:eastAsia="Arial Unicode MS" w:hAnsi="Arial" w:cs="Arial"/>
                <w:kern w:val="1"/>
                <w:sz w:val="20"/>
                <w:szCs w:val="20"/>
                <w:vertAlign w:val="superscript"/>
                <w:lang w:eastAsia="ar-SA"/>
              </w:rPr>
              <w:t>8</w:t>
            </w:r>
          </w:p>
        </w:tc>
        <w:tc>
          <w:tcPr>
            <w:tcW w:w="1285" w:type="dxa"/>
            <w:tcBorders>
              <w:top w:val="single" w:sz="4" w:space="0" w:color="000080"/>
              <w:left w:val="single" w:sz="4" w:space="0" w:color="000080"/>
              <w:bottom w:val="single" w:sz="4" w:space="0" w:color="000080"/>
            </w:tcBorders>
          </w:tcPr>
          <w:p w14:paraId="4A002C8A"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03B97717"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p>
        </w:tc>
      </w:tr>
      <w:tr w:rsidR="00251963" w:rsidRPr="003F3B0A" w14:paraId="0029DB18" w14:textId="77777777" w:rsidTr="00A53EA0">
        <w:trPr>
          <w:trHeight w:val="553"/>
        </w:trPr>
        <w:tc>
          <w:tcPr>
            <w:tcW w:w="3528" w:type="dxa"/>
            <w:tcBorders>
              <w:top w:val="single" w:sz="4" w:space="0" w:color="000080"/>
              <w:left w:val="single" w:sz="4" w:space="0" w:color="000080"/>
              <w:bottom w:val="single" w:sz="4" w:space="0" w:color="000080"/>
            </w:tcBorders>
          </w:tcPr>
          <w:p w14:paraId="7563DB2E"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xml:space="preserve">Serología de VHA </w:t>
            </w:r>
            <w:r w:rsidRPr="003F3B0A">
              <w:rPr>
                <w:rFonts w:ascii="Arial" w:eastAsia="Arial Unicode MS" w:hAnsi="Arial" w:cs="Arial"/>
                <w:kern w:val="1"/>
                <w:sz w:val="20"/>
                <w:szCs w:val="20"/>
                <w:shd w:val="clear" w:color="auto" w:fill="FFFFFF"/>
                <w:lang w:eastAsia="ar-SA"/>
              </w:rPr>
              <w:t>(IgG),</w:t>
            </w:r>
            <w:r w:rsidRPr="003F3B0A">
              <w:rPr>
                <w:rFonts w:ascii="Arial" w:eastAsia="Arial Unicode MS" w:hAnsi="Arial" w:cs="Arial"/>
                <w:kern w:val="1"/>
                <w:sz w:val="20"/>
                <w:szCs w:val="20"/>
                <w:lang w:eastAsia="ar-SA"/>
              </w:rPr>
              <w:t xml:space="preserve"> VHB </w:t>
            </w:r>
            <w:r w:rsidRPr="003F3B0A">
              <w:rPr>
                <w:rFonts w:ascii="Arial" w:eastAsia="Arial Unicode MS" w:hAnsi="Arial" w:cs="Arial"/>
                <w:kern w:val="1"/>
                <w:sz w:val="20"/>
                <w:szCs w:val="20"/>
                <w:shd w:val="clear" w:color="auto" w:fill="FFFFFF"/>
                <w:lang w:eastAsia="ar-SA"/>
              </w:rPr>
              <w:t>(HBsAg, anti-HBs, anti-HBc)</w:t>
            </w:r>
            <w:r w:rsidRPr="003F3B0A">
              <w:rPr>
                <w:rFonts w:ascii="Arial" w:eastAsia="Arial Unicode MS" w:hAnsi="Arial" w:cs="Arial"/>
                <w:kern w:val="1"/>
                <w:sz w:val="20"/>
                <w:szCs w:val="20"/>
                <w:lang w:eastAsia="ar-SA"/>
              </w:rPr>
              <w:t>, VHC y lúes</w:t>
            </w:r>
            <w:r>
              <w:rPr>
                <w:rFonts w:ascii="Arial" w:eastAsia="Arial Unicode MS" w:hAnsi="Arial" w:cs="Arial"/>
                <w:kern w:val="1"/>
                <w:sz w:val="20"/>
                <w:szCs w:val="20"/>
                <w:vertAlign w:val="superscript"/>
                <w:lang w:eastAsia="ar-SA"/>
              </w:rPr>
              <w:t>9</w:t>
            </w:r>
          </w:p>
        </w:tc>
        <w:tc>
          <w:tcPr>
            <w:tcW w:w="1285" w:type="dxa"/>
            <w:tcBorders>
              <w:top w:val="single" w:sz="4" w:space="0" w:color="000080"/>
              <w:left w:val="single" w:sz="4" w:space="0" w:color="000080"/>
              <w:bottom w:val="single" w:sz="4" w:space="0" w:color="000080"/>
            </w:tcBorders>
          </w:tcPr>
          <w:p w14:paraId="12DC74AA"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2E746876"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Si VHA y VHB negativos valorar vacunación y control de respuesta serológica.</w:t>
            </w:r>
          </w:p>
          <w:p w14:paraId="42D85461"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lang w:eastAsia="ar-SA"/>
              </w:rPr>
              <w:t>Si VHC y lúes negativo: repetir al menos anualmente en función del riesgo o sospech</w:t>
            </w:r>
            <w:r>
              <w:rPr>
                <w:rFonts w:ascii="Arial" w:eastAsia="Arial Unicode MS" w:hAnsi="Arial" w:cs="Arial"/>
                <w:kern w:val="1"/>
                <w:sz w:val="20"/>
                <w:szCs w:val="20"/>
                <w:lang w:eastAsia="ar-SA"/>
              </w:rPr>
              <w:t>a</w:t>
            </w:r>
          </w:p>
        </w:tc>
      </w:tr>
      <w:tr w:rsidR="00251963" w:rsidRPr="003F3B0A" w14:paraId="48A44E28" w14:textId="77777777" w:rsidTr="00A53EA0">
        <w:trPr>
          <w:trHeight w:val="378"/>
        </w:trPr>
        <w:tc>
          <w:tcPr>
            <w:tcW w:w="3528" w:type="dxa"/>
            <w:tcBorders>
              <w:top w:val="single" w:sz="4" w:space="0" w:color="000080"/>
              <w:left w:val="single" w:sz="4" w:space="0" w:color="000080"/>
              <w:bottom w:val="single" w:sz="4" w:space="0" w:color="000080"/>
            </w:tcBorders>
          </w:tcPr>
          <w:p w14:paraId="60C6D0A1" w14:textId="77777777" w:rsidR="00251963" w:rsidRPr="002718E5" w:rsidRDefault="00251963" w:rsidP="00A53EA0">
            <w:pPr>
              <w:suppressAutoHyphens/>
              <w:spacing w:before="60" w:after="60"/>
              <w:textAlignment w:val="baseline"/>
              <w:rPr>
                <w:rFonts w:ascii="Arial" w:eastAsia="Arial Unicode MS" w:hAnsi="Arial" w:cs="Arial"/>
                <w:kern w:val="1"/>
                <w:sz w:val="20"/>
                <w:szCs w:val="20"/>
                <w:highlight w:val="yellow"/>
                <w:lang w:eastAsia="ar-SA"/>
              </w:rPr>
            </w:pPr>
            <w:r w:rsidRPr="002718E5">
              <w:rPr>
                <w:rFonts w:ascii="Arial" w:eastAsia="Arial Unicode MS" w:hAnsi="Arial" w:cs="Arial"/>
                <w:kern w:val="1"/>
                <w:sz w:val="20"/>
                <w:szCs w:val="20"/>
                <w:highlight w:val="yellow"/>
                <w:lang w:eastAsia="ar-SA"/>
              </w:rPr>
              <w:lastRenderedPageBreak/>
              <w:t>Serología de rubeola, sarampión, parotiditis, varicela</w:t>
            </w:r>
          </w:p>
        </w:tc>
        <w:tc>
          <w:tcPr>
            <w:tcW w:w="1285" w:type="dxa"/>
            <w:tcBorders>
              <w:top w:val="single" w:sz="4" w:space="0" w:color="000080"/>
              <w:left w:val="single" w:sz="4" w:space="0" w:color="000080"/>
              <w:bottom w:val="single" w:sz="4" w:space="0" w:color="000080"/>
            </w:tcBorders>
          </w:tcPr>
          <w:p w14:paraId="463E9112" w14:textId="77777777" w:rsidR="00251963" w:rsidRPr="002718E5" w:rsidRDefault="00251963" w:rsidP="00A53EA0">
            <w:pPr>
              <w:suppressAutoHyphens/>
              <w:spacing w:before="60" w:after="60"/>
              <w:jc w:val="center"/>
              <w:textAlignment w:val="baseline"/>
              <w:rPr>
                <w:rFonts w:ascii="Arial" w:eastAsia="Arial Unicode MS" w:hAnsi="Arial" w:cs="Arial"/>
                <w:kern w:val="1"/>
                <w:sz w:val="20"/>
                <w:szCs w:val="20"/>
                <w:highlight w:val="yellow"/>
                <w:lang w:eastAsia="ar-SA"/>
              </w:rPr>
            </w:pPr>
            <w:r w:rsidRPr="002718E5">
              <w:rPr>
                <w:rFonts w:ascii="Arial" w:eastAsia="Arial Unicode MS" w:hAnsi="Arial" w:cs="Arial"/>
                <w:kern w:val="1"/>
                <w:sz w:val="20"/>
                <w:szCs w:val="20"/>
                <w:highlight w:val="yellow"/>
                <w:lang w:eastAsia="ar-SA"/>
              </w:rPr>
              <w:t>S</w:t>
            </w:r>
            <w:r>
              <w:rPr>
                <w:rFonts w:ascii="Arial" w:eastAsia="Arial Unicode MS" w:hAnsi="Arial" w:cs="Arial"/>
                <w:kern w:val="1"/>
                <w:sz w:val="20"/>
                <w:szCs w:val="20"/>
                <w:highlight w:val="yellow"/>
                <w:lang w:eastAsia="ar-SA"/>
              </w:rPr>
              <w:t>egún historia vacunal</w:t>
            </w:r>
          </w:p>
        </w:tc>
        <w:tc>
          <w:tcPr>
            <w:tcW w:w="3762" w:type="dxa"/>
            <w:tcBorders>
              <w:top w:val="single" w:sz="4" w:space="0" w:color="000080"/>
              <w:left w:val="single" w:sz="4" w:space="0" w:color="000080"/>
              <w:bottom w:val="single" w:sz="4" w:space="0" w:color="000080"/>
              <w:right w:val="single" w:sz="4" w:space="0" w:color="000080"/>
            </w:tcBorders>
          </w:tcPr>
          <w:p w14:paraId="69504CEF" w14:textId="77777777" w:rsidR="00251963" w:rsidRPr="002718E5" w:rsidRDefault="00251963" w:rsidP="00A53EA0">
            <w:pPr>
              <w:suppressAutoHyphens/>
              <w:spacing w:before="60" w:after="60"/>
              <w:textAlignment w:val="baseline"/>
              <w:rPr>
                <w:rFonts w:ascii="Arial" w:eastAsia="Arial Unicode MS" w:hAnsi="Arial" w:cs="Arial"/>
                <w:kern w:val="1"/>
                <w:sz w:val="20"/>
                <w:szCs w:val="20"/>
                <w:highlight w:val="yellow"/>
                <w:lang w:eastAsia="ar-SA"/>
              </w:rPr>
            </w:pPr>
            <w:r w:rsidRPr="00C14E32">
              <w:rPr>
                <w:rFonts w:ascii="Arial" w:eastAsia="Arial Unicode MS" w:hAnsi="Arial" w:cs="Arial"/>
                <w:kern w:val="1"/>
                <w:sz w:val="20"/>
                <w:szCs w:val="20"/>
                <w:highlight w:val="yellow"/>
                <w:lang w:eastAsia="ar-SA"/>
              </w:rPr>
              <w:t>Según indicación clínica</w:t>
            </w:r>
          </w:p>
        </w:tc>
      </w:tr>
      <w:tr w:rsidR="00251963" w:rsidRPr="003F3B0A" w14:paraId="37F48663" w14:textId="77777777" w:rsidTr="00A53EA0">
        <w:trPr>
          <w:trHeight w:val="378"/>
        </w:trPr>
        <w:tc>
          <w:tcPr>
            <w:tcW w:w="3528" w:type="dxa"/>
            <w:tcBorders>
              <w:top w:val="single" w:sz="4" w:space="0" w:color="000080"/>
              <w:left w:val="single" w:sz="4" w:space="0" w:color="000080"/>
              <w:bottom w:val="single" w:sz="4" w:space="0" w:color="000080"/>
            </w:tcBorders>
          </w:tcPr>
          <w:p w14:paraId="62572C7F" w14:textId="77777777" w:rsidR="00251963" w:rsidRPr="003F3B0A" w:rsidRDefault="00251963" w:rsidP="00A53EA0">
            <w:pPr>
              <w:suppressAutoHyphens/>
              <w:spacing w:before="60" w:after="60"/>
              <w:textAlignment w:val="baseline"/>
              <w:rPr>
                <w:rFonts w:ascii="Arial" w:eastAsia="Arial Unicode MS" w:hAnsi="Arial" w:cs="Arial"/>
                <w:kern w:val="1"/>
                <w:sz w:val="20"/>
                <w:szCs w:val="20"/>
                <w:vertAlign w:val="superscript"/>
                <w:lang w:eastAsia="ar-SA"/>
              </w:rPr>
            </w:pPr>
            <w:r w:rsidRPr="003F3B0A">
              <w:rPr>
                <w:rFonts w:ascii="Arial" w:eastAsia="Arial Unicode MS" w:hAnsi="Arial" w:cs="Arial"/>
                <w:kern w:val="1"/>
                <w:sz w:val="20"/>
                <w:szCs w:val="20"/>
                <w:lang w:eastAsia="ar-SA"/>
              </w:rPr>
              <w:t xml:space="preserve">Serología de toxoplasma </w:t>
            </w:r>
            <w:r w:rsidRPr="003F3B0A">
              <w:rPr>
                <w:rFonts w:ascii="Arial" w:eastAsia="Arial Unicode MS" w:hAnsi="Arial" w:cs="Arial"/>
                <w:kern w:val="1"/>
                <w:sz w:val="20"/>
                <w:szCs w:val="20"/>
                <w:shd w:val="clear" w:color="auto" w:fill="FFFFFF"/>
                <w:lang w:eastAsia="ar-SA"/>
              </w:rPr>
              <w:t xml:space="preserve">(IgG) </w:t>
            </w:r>
          </w:p>
        </w:tc>
        <w:tc>
          <w:tcPr>
            <w:tcW w:w="1285" w:type="dxa"/>
            <w:tcBorders>
              <w:top w:val="single" w:sz="4" w:space="0" w:color="000080"/>
              <w:left w:val="single" w:sz="4" w:space="0" w:color="000080"/>
              <w:bottom w:val="single" w:sz="4" w:space="0" w:color="000080"/>
            </w:tcBorders>
          </w:tcPr>
          <w:p w14:paraId="4552E76B"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884C133"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645E691F" w14:textId="77777777" w:rsidTr="00A53EA0">
        <w:trPr>
          <w:trHeight w:val="378"/>
        </w:trPr>
        <w:tc>
          <w:tcPr>
            <w:tcW w:w="3528" w:type="dxa"/>
            <w:tcBorders>
              <w:top w:val="single" w:sz="4" w:space="0" w:color="000080"/>
              <w:left w:val="single" w:sz="4" w:space="0" w:color="000080"/>
              <w:bottom w:val="single" w:sz="4" w:space="0" w:color="000080"/>
            </w:tcBorders>
          </w:tcPr>
          <w:p w14:paraId="3AD45B08"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Serología de CMV (IgG)</w:t>
            </w:r>
          </w:p>
        </w:tc>
        <w:tc>
          <w:tcPr>
            <w:tcW w:w="1285" w:type="dxa"/>
            <w:tcBorders>
              <w:top w:val="single" w:sz="4" w:space="0" w:color="000080"/>
              <w:left w:val="single" w:sz="4" w:space="0" w:color="000080"/>
              <w:bottom w:val="single" w:sz="4" w:space="0" w:color="000080"/>
            </w:tcBorders>
          </w:tcPr>
          <w:p w14:paraId="7FB51E4A"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6257FBA9"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420A7326" w14:textId="77777777" w:rsidTr="00A53EA0">
        <w:trPr>
          <w:trHeight w:val="475"/>
        </w:trPr>
        <w:tc>
          <w:tcPr>
            <w:tcW w:w="3528" w:type="dxa"/>
            <w:tcBorders>
              <w:top w:val="single" w:sz="4" w:space="0" w:color="000080"/>
              <w:left w:val="single" w:sz="4" w:space="0" w:color="000080"/>
              <w:bottom w:val="single" w:sz="4" w:space="0" w:color="000080"/>
            </w:tcBorders>
          </w:tcPr>
          <w:p w14:paraId="14F3A53A" w14:textId="77777777" w:rsidR="00251963" w:rsidRPr="003F3B0A" w:rsidRDefault="00251963" w:rsidP="00A53EA0">
            <w:pPr>
              <w:suppressAutoHyphens/>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val="pt-BR" w:eastAsia="ar-SA"/>
              </w:rPr>
              <w:t xml:space="preserve">Serología de </w:t>
            </w:r>
            <w:r w:rsidRPr="003F3B0A">
              <w:rPr>
                <w:rFonts w:ascii="Arial" w:eastAsia="Arial Unicode MS" w:hAnsi="Arial" w:cs="Arial"/>
                <w:i/>
                <w:kern w:val="1"/>
                <w:sz w:val="20"/>
                <w:szCs w:val="20"/>
                <w:lang w:val="pt-BR" w:eastAsia="ar-SA"/>
              </w:rPr>
              <w:t>Trypanosoma cruzi</w:t>
            </w:r>
            <w:r>
              <w:rPr>
                <w:rFonts w:ascii="Arial" w:eastAsia="Arial Unicode MS" w:hAnsi="Arial" w:cs="Arial"/>
                <w:i/>
                <w:kern w:val="1"/>
                <w:sz w:val="20"/>
                <w:szCs w:val="20"/>
                <w:lang w:val="pt-BR" w:eastAsia="ar-SA"/>
              </w:rPr>
              <w:t xml:space="preserve"> </w:t>
            </w:r>
            <w:r w:rsidRPr="003F3B0A">
              <w:rPr>
                <w:rFonts w:ascii="Arial" w:eastAsia="Arial Unicode MS" w:hAnsi="Arial" w:cs="Arial"/>
                <w:kern w:val="1"/>
                <w:sz w:val="20"/>
                <w:szCs w:val="20"/>
                <w:lang w:val="pt-BR" w:eastAsia="ar-SA"/>
              </w:rPr>
              <w:t xml:space="preserve">o </w:t>
            </w:r>
            <w:r w:rsidRPr="003F3B0A">
              <w:rPr>
                <w:rFonts w:ascii="Arial" w:eastAsia="Arial Unicode MS" w:hAnsi="Arial" w:cs="Arial"/>
                <w:i/>
                <w:kern w:val="1"/>
                <w:sz w:val="20"/>
                <w:szCs w:val="20"/>
                <w:lang w:val="pt-BR" w:eastAsia="ar-SA"/>
              </w:rPr>
              <w:t>Strongyloides stercoralis</w:t>
            </w:r>
            <w:r w:rsidRPr="003F3B0A">
              <w:rPr>
                <w:rFonts w:ascii="Arial" w:eastAsia="Arial Unicode MS" w:hAnsi="Arial" w:cs="Arial"/>
                <w:kern w:val="1"/>
                <w:sz w:val="20"/>
                <w:szCs w:val="20"/>
                <w:vertAlign w:val="superscript"/>
                <w:lang w:val="pt-BR" w:eastAsia="ar-SA"/>
              </w:rPr>
              <w:t>1</w:t>
            </w:r>
            <w:r>
              <w:rPr>
                <w:rFonts w:ascii="Arial" w:eastAsia="Arial Unicode MS" w:hAnsi="Arial" w:cs="Arial"/>
                <w:kern w:val="1"/>
                <w:sz w:val="20"/>
                <w:szCs w:val="20"/>
                <w:vertAlign w:val="superscript"/>
                <w:lang w:val="pt-BR" w:eastAsia="ar-SA"/>
              </w:rPr>
              <w:t>0</w:t>
            </w:r>
          </w:p>
        </w:tc>
        <w:tc>
          <w:tcPr>
            <w:tcW w:w="1285" w:type="dxa"/>
            <w:tcBorders>
              <w:top w:val="single" w:sz="4" w:space="0" w:color="000080"/>
              <w:left w:val="single" w:sz="4" w:space="0" w:color="000080"/>
              <w:bottom w:val="single" w:sz="4" w:space="0" w:color="000080"/>
            </w:tcBorders>
          </w:tcPr>
          <w:p w14:paraId="6216692D"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10CDCBA7"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 xml:space="preserve">Según </w:t>
            </w:r>
            <w:r>
              <w:rPr>
                <w:rFonts w:ascii="Arial" w:eastAsia="Arial Unicode MS" w:hAnsi="Arial" w:cs="Arial"/>
                <w:kern w:val="1"/>
                <w:sz w:val="20"/>
                <w:szCs w:val="20"/>
                <w:lang w:eastAsia="ar-SA"/>
              </w:rPr>
              <w:t>país de origen e historia de viajes</w:t>
            </w:r>
          </w:p>
        </w:tc>
      </w:tr>
      <w:tr w:rsidR="00251963" w:rsidRPr="003F3B0A" w14:paraId="5E7BCB62" w14:textId="77777777" w:rsidTr="00A53EA0">
        <w:tc>
          <w:tcPr>
            <w:tcW w:w="3528" w:type="dxa"/>
            <w:tcBorders>
              <w:top w:val="single" w:sz="4" w:space="0" w:color="000080"/>
              <w:left w:val="single" w:sz="4" w:space="0" w:color="000080"/>
              <w:bottom w:val="single" w:sz="4" w:space="0" w:color="000080"/>
            </w:tcBorders>
          </w:tcPr>
          <w:p w14:paraId="25F05C76"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shd w:val="clear" w:color="auto" w:fill="FFFF00"/>
                <w:lang w:eastAsia="ar-SA"/>
              </w:rPr>
            </w:pPr>
            <w:r w:rsidRPr="003F3B0A">
              <w:rPr>
                <w:rFonts w:ascii="Arial" w:eastAsia="Arial Unicode MS" w:hAnsi="Arial" w:cs="Arial"/>
                <w:kern w:val="1"/>
                <w:sz w:val="20"/>
                <w:szCs w:val="20"/>
                <w:lang w:eastAsia="ar-SA"/>
              </w:rPr>
              <w:t>ARN VHC</w:t>
            </w:r>
            <w:r w:rsidRPr="003F3B0A">
              <w:rPr>
                <w:rFonts w:ascii="Arial" w:eastAsia="Arial Unicode MS" w:hAnsi="Arial" w:cs="Arial"/>
                <w:kern w:val="1"/>
                <w:sz w:val="20"/>
                <w:szCs w:val="20"/>
                <w:vertAlign w:val="superscript"/>
                <w:lang w:eastAsia="ar-SA"/>
              </w:rPr>
              <w:t>1</w:t>
            </w:r>
            <w:r>
              <w:rPr>
                <w:rFonts w:ascii="Arial" w:eastAsia="Arial Unicode MS" w:hAnsi="Arial" w:cs="Arial"/>
                <w:kern w:val="1"/>
                <w:sz w:val="20"/>
                <w:szCs w:val="20"/>
                <w:vertAlign w:val="superscript"/>
                <w:lang w:eastAsia="ar-SA"/>
              </w:rPr>
              <w:t>1</w:t>
            </w:r>
          </w:p>
        </w:tc>
        <w:tc>
          <w:tcPr>
            <w:tcW w:w="1285" w:type="dxa"/>
            <w:tcBorders>
              <w:top w:val="single" w:sz="4" w:space="0" w:color="000080"/>
              <w:left w:val="single" w:sz="4" w:space="0" w:color="000080"/>
              <w:bottom w:val="single" w:sz="4" w:space="0" w:color="000080"/>
            </w:tcBorders>
            <w:shd w:val="clear" w:color="auto" w:fill="FFFFFF"/>
          </w:tcPr>
          <w:p w14:paraId="1117E4AD" w14:textId="77777777" w:rsidR="00251963" w:rsidRPr="003F3B0A" w:rsidRDefault="00251963" w:rsidP="00A53EA0">
            <w:pPr>
              <w:suppressAutoHyphens/>
              <w:spacing w:before="60" w:after="60"/>
              <w:jc w:val="center"/>
              <w:textAlignment w:val="baseline"/>
              <w:rPr>
                <w:rFonts w:ascii="Arial" w:eastAsia="Arial Unicode MS" w:hAnsi="Arial" w:cs="Arial"/>
                <w:strike/>
                <w:kern w:val="1"/>
                <w:sz w:val="20"/>
                <w:szCs w:val="20"/>
                <w:shd w:val="clear" w:color="auto" w:fill="FFFF0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5CAC711A" w14:textId="77777777" w:rsidR="00251963" w:rsidRPr="003F3B0A" w:rsidRDefault="00251963" w:rsidP="00A53EA0">
            <w:pPr>
              <w:suppressAutoHyphens/>
              <w:spacing w:before="60" w:after="60"/>
              <w:textAlignment w:val="baseline"/>
              <w:rPr>
                <w:rFonts w:ascii="Arial" w:hAnsi="Arial" w:cs="Arial"/>
                <w:kern w:val="1"/>
                <w:sz w:val="20"/>
                <w:szCs w:val="20"/>
                <w:vertAlign w:val="superscript"/>
                <w:lang w:eastAsia="ar-SA"/>
              </w:rPr>
            </w:pPr>
            <w:r w:rsidRPr="003F3B0A">
              <w:rPr>
                <w:rFonts w:ascii="Arial" w:hAnsi="Arial" w:cs="Arial"/>
                <w:kern w:val="1"/>
                <w:sz w:val="20"/>
                <w:szCs w:val="20"/>
                <w:lang w:eastAsia="ar-SA"/>
              </w:rPr>
              <w:t>Antes del tratamiento frente al VHC, para evaluar la respuesta y, en caso de curación, si riesgo de reinfección</w:t>
            </w:r>
            <w:r w:rsidRPr="003F3B0A">
              <w:rPr>
                <w:rFonts w:ascii="Arial" w:hAnsi="Arial" w:cs="Arial"/>
                <w:kern w:val="1"/>
                <w:sz w:val="20"/>
                <w:szCs w:val="20"/>
                <w:vertAlign w:val="superscript"/>
                <w:lang w:eastAsia="ar-SA"/>
              </w:rPr>
              <w:t>1</w:t>
            </w:r>
            <w:r>
              <w:rPr>
                <w:rFonts w:ascii="Arial" w:hAnsi="Arial" w:cs="Arial"/>
                <w:kern w:val="1"/>
                <w:sz w:val="20"/>
                <w:szCs w:val="20"/>
                <w:vertAlign w:val="superscript"/>
                <w:lang w:eastAsia="ar-SA"/>
              </w:rPr>
              <w:t>2</w:t>
            </w:r>
          </w:p>
        </w:tc>
      </w:tr>
      <w:tr w:rsidR="00251963" w:rsidRPr="003F3B0A" w14:paraId="48AD5CDE" w14:textId="77777777" w:rsidTr="00A53EA0">
        <w:tc>
          <w:tcPr>
            <w:tcW w:w="3528" w:type="dxa"/>
            <w:tcBorders>
              <w:top w:val="single" w:sz="4" w:space="0" w:color="000080"/>
              <w:left w:val="single" w:sz="4" w:space="0" w:color="000080"/>
              <w:bottom w:val="single" w:sz="4" w:space="0" w:color="000080"/>
            </w:tcBorders>
          </w:tcPr>
          <w:p w14:paraId="4E365FBE" w14:textId="77777777" w:rsidR="00251963" w:rsidRPr="003F3B0A" w:rsidRDefault="00251963" w:rsidP="00A53EA0">
            <w:pPr>
              <w:suppressAutoHyphens/>
              <w:spacing w:before="60" w:after="60"/>
              <w:jc w:val="both"/>
              <w:textAlignment w:val="baseline"/>
              <w:rPr>
                <w:rFonts w:ascii="Arial" w:eastAsia="Arial Unicode MS" w:hAnsi="Arial" w:cs="Arial"/>
                <w:strike/>
                <w:kern w:val="1"/>
                <w:sz w:val="20"/>
                <w:szCs w:val="20"/>
                <w:shd w:val="clear" w:color="auto" w:fill="FFFF00"/>
                <w:lang w:eastAsia="ar-SA"/>
              </w:rPr>
            </w:pPr>
            <w:r w:rsidRPr="003F3B0A">
              <w:rPr>
                <w:rFonts w:ascii="Arial" w:eastAsia="Arial Unicode MS" w:hAnsi="Arial" w:cs="Arial"/>
                <w:kern w:val="1"/>
                <w:sz w:val="20"/>
                <w:szCs w:val="20"/>
                <w:lang w:eastAsia="ar-SA"/>
              </w:rPr>
              <w:t>Genotipo VHC</w:t>
            </w:r>
            <w:r w:rsidRPr="003F3B0A">
              <w:rPr>
                <w:rFonts w:ascii="Arial" w:eastAsia="Arial Unicode MS" w:hAnsi="Arial" w:cs="Arial"/>
                <w:kern w:val="1"/>
                <w:sz w:val="20"/>
                <w:szCs w:val="20"/>
                <w:vertAlign w:val="superscript"/>
                <w:lang w:eastAsia="ar-SA"/>
              </w:rPr>
              <w:t>1</w:t>
            </w:r>
            <w:r>
              <w:rPr>
                <w:rFonts w:ascii="Arial" w:eastAsia="Arial Unicode MS" w:hAnsi="Arial" w:cs="Arial"/>
                <w:kern w:val="1"/>
                <w:sz w:val="20"/>
                <w:szCs w:val="20"/>
                <w:vertAlign w:val="superscript"/>
                <w:lang w:eastAsia="ar-SA"/>
              </w:rPr>
              <w:t>3</w:t>
            </w:r>
          </w:p>
        </w:tc>
        <w:tc>
          <w:tcPr>
            <w:tcW w:w="1285" w:type="dxa"/>
            <w:tcBorders>
              <w:top w:val="single" w:sz="4" w:space="0" w:color="000080"/>
              <w:left w:val="single" w:sz="4" w:space="0" w:color="000080"/>
              <w:bottom w:val="single" w:sz="4" w:space="0" w:color="000080"/>
            </w:tcBorders>
            <w:shd w:val="clear" w:color="auto" w:fill="FFFFFF"/>
          </w:tcPr>
          <w:p w14:paraId="1703E081"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shd w:val="clear" w:color="auto" w:fill="FFFFFF"/>
          </w:tcPr>
          <w:p w14:paraId="0AC87E99"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hAnsi="Arial" w:cs="Arial"/>
                <w:kern w:val="1"/>
                <w:sz w:val="20"/>
                <w:szCs w:val="20"/>
                <w:lang w:eastAsia="ar-SA"/>
              </w:rPr>
              <w:t>Si recidiva/reinfección por VHC</w:t>
            </w:r>
          </w:p>
        </w:tc>
      </w:tr>
      <w:tr w:rsidR="00251963" w:rsidRPr="003F3B0A" w14:paraId="064A10C4" w14:textId="77777777" w:rsidTr="00A53EA0">
        <w:tc>
          <w:tcPr>
            <w:tcW w:w="3528" w:type="dxa"/>
            <w:tcBorders>
              <w:top w:val="single" w:sz="4" w:space="0" w:color="000080"/>
              <w:left w:val="single" w:sz="4" w:space="0" w:color="000080"/>
              <w:bottom w:val="single" w:sz="4" w:space="0" w:color="000080"/>
            </w:tcBorders>
          </w:tcPr>
          <w:p w14:paraId="3DD08DB6" w14:textId="77777777" w:rsidR="00251963" w:rsidRPr="003F3B0A" w:rsidRDefault="00251963" w:rsidP="00A53EA0">
            <w:pPr>
              <w:suppressAutoHyphens/>
              <w:spacing w:before="60" w:after="60"/>
              <w:jc w:val="both"/>
              <w:textAlignment w:val="baseline"/>
              <w:rPr>
                <w:rFonts w:ascii="Arial" w:eastAsia="Arial Unicode MS" w:hAnsi="Arial" w:cs="Arial"/>
                <w:strike/>
                <w:kern w:val="1"/>
                <w:sz w:val="20"/>
                <w:szCs w:val="20"/>
                <w:shd w:val="clear" w:color="auto" w:fill="FFFF00"/>
                <w:lang w:eastAsia="ar-SA"/>
              </w:rPr>
            </w:pPr>
            <w:r w:rsidRPr="003F3B0A">
              <w:rPr>
                <w:rFonts w:ascii="Arial" w:eastAsia="Arial Unicode MS" w:hAnsi="Arial" w:cs="Arial"/>
                <w:kern w:val="1"/>
                <w:sz w:val="20"/>
                <w:szCs w:val="20"/>
                <w:lang w:eastAsia="ar-SA"/>
              </w:rPr>
              <w:t>ADN VHB</w:t>
            </w:r>
            <w:r w:rsidRPr="006F65F3">
              <w:rPr>
                <w:rFonts w:ascii="Arial" w:eastAsia="Arial Unicode MS" w:hAnsi="Arial" w:cs="Arial"/>
                <w:kern w:val="1"/>
                <w:sz w:val="20"/>
                <w:szCs w:val="20"/>
                <w:highlight w:val="yellow"/>
                <w:vertAlign w:val="superscript"/>
                <w:lang w:eastAsia="ar-SA"/>
              </w:rPr>
              <w:t>1</w:t>
            </w:r>
            <w:r>
              <w:rPr>
                <w:rFonts w:ascii="Arial" w:eastAsia="Arial Unicode MS" w:hAnsi="Arial" w:cs="Arial"/>
                <w:kern w:val="1"/>
                <w:sz w:val="20"/>
                <w:szCs w:val="20"/>
                <w:highlight w:val="yellow"/>
                <w:vertAlign w:val="superscript"/>
                <w:lang w:eastAsia="ar-SA"/>
              </w:rPr>
              <w:t>4</w:t>
            </w:r>
          </w:p>
        </w:tc>
        <w:tc>
          <w:tcPr>
            <w:tcW w:w="1285" w:type="dxa"/>
            <w:tcBorders>
              <w:top w:val="single" w:sz="4" w:space="0" w:color="000080"/>
              <w:left w:val="single" w:sz="4" w:space="0" w:color="000080"/>
              <w:bottom w:val="single" w:sz="4" w:space="0" w:color="000080"/>
            </w:tcBorders>
            <w:shd w:val="clear" w:color="auto" w:fill="FFFFFF"/>
          </w:tcPr>
          <w:p w14:paraId="04D94986"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shd w:val="clear" w:color="auto" w:fill="FFFFFF"/>
          </w:tcPr>
          <w:p w14:paraId="1EE65B52" w14:textId="77777777" w:rsidR="00251963" w:rsidRPr="003F3B0A" w:rsidRDefault="00251963" w:rsidP="00A53EA0">
            <w:pPr>
              <w:suppressAutoHyphens/>
              <w:spacing w:before="60" w:after="60"/>
              <w:textAlignment w:val="baseline"/>
              <w:rPr>
                <w:rFonts w:ascii="Arial" w:eastAsia="Arial Unicode MS" w:hAnsi="Arial" w:cs="Arial"/>
                <w:kern w:val="1"/>
                <w:sz w:val="20"/>
                <w:szCs w:val="20"/>
                <w:shd w:val="clear" w:color="auto" w:fill="00FFFF"/>
                <w:lang w:eastAsia="ar-SA"/>
              </w:rPr>
            </w:pPr>
            <w:r w:rsidRPr="003F3B0A">
              <w:rPr>
                <w:rFonts w:ascii="Arial" w:eastAsia="Arial Unicode MS" w:hAnsi="Arial" w:cs="Arial"/>
                <w:kern w:val="1"/>
                <w:sz w:val="20"/>
                <w:szCs w:val="20"/>
                <w:lang w:eastAsia="ar-SA"/>
              </w:rPr>
              <w:t>Cada 6-12 meses</w:t>
            </w:r>
          </w:p>
        </w:tc>
      </w:tr>
      <w:tr w:rsidR="00251963" w:rsidRPr="003F3B0A" w14:paraId="231AEE59" w14:textId="77777777" w:rsidTr="00A53EA0">
        <w:tc>
          <w:tcPr>
            <w:tcW w:w="3528" w:type="dxa"/>
            <w:tcBorders>
              <w:top w:val="single" w:sz="4" w:space="0" w:color="000080"/>
              <w:left w:val="single" w:sz="4" w:space="0" w:color="000080"/>
              <w:bottom w:val="single" w:sz="4" w:space="0" w:color="000080"/>
            </w:tcBorders>
          </w:tcPr>
          <w:p w14:paraId="6271D69D"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vertAlign w:val="superscript"/>
                <w:lang w:eastAsia="ar-SA"/>
              </w:rPr>
            </w:pPr>
            <w:r w:rsidRPr="003F3B0A">
              <w:rPr>
                <w:rFonts w:ascii="Arial" w:eastAsia="Arial Unicode MS" w:hAnsi="Arial" w:cs="Arial"/>
                <w:kern w:val="1"/>
                <w:sz w:val="20"/>
                <w:szCs w:val="20"/>
                <w:lang w:eastAsia="ar-SA"/>
              </w:rPr>
              <w:t>Pruebas del PPD o IGRA</w:t>
            </w:r>
            <w:r w:rsidRPr="006F65F3">
              <w:rPr>
                <w:rFonts w:ascii="Arial" w:eastAsia="Arial Unicode MS" w:hAnsi="Arial" w:cs="Arial"/>
                <w:kern w:val="1"/>
                <w:sz w:val="20"/>
                <w:szCs w:val="20"/>
                <w:highlight w:val="yellow"/>
                <w:vertAlign w:val="superscript"/>
                <w:lang w:eastAsia="ar-SA"/>
              </w:rPr>
              <w:t>1</w:t>
            </w:r>
            <w:r>
              <w:rPr>
                <w:rFonts w:ascii="Arial" w:eastAsia="Arial Unicode MS" w:hAnsi="Arial" w:cs="Arial"/>
                <w:kern w:val="1"/>
                <w:sz w:val="20"/>
                <w:szCs w:val="20"/>
                <w:highlight w:val="yellow"/>
                <w:vertAlign w:val="superscript"/>
                <w:lang w:eastAsia="ar-SA"/>
              </w:rPr>
              <w:t>5</w:t>
            </w:r>
          </w:p>
          <w:p w14:paraId="444333B4" w14:textId="77777777" w:rsidR="00251963" w:rsidRPr="003F3B0A" w:rsidRDefault="00251963" w:rsidP="00A53EA0">
            <w:pPr>
              <w:suppressAutoHyphens/>
              <w:spacing w:before="60" w:after="60"/>
              <w:jc w:val="both"/>
              <w:textAlignment w:val="baseline"/>
              <w:rPr>
                <w:rFonts w:ascii="Arial" w:eastAsia="Arial Unicode MS" w:hAnsi="Arial" w:cs="Arial"/>
                <w:color w:val="0000FF"/>
                <w:kern w:val="1"/>
                <w:sz w:val="20"/>
                <w:szCs w:val="20"/>
                <w:lang w:eastAsia="ar-SA"/>
              </w:rPr>
            </w:pPr>
          </w:p>
        </w:tc>
        <w:tc>
          <w:tcPr>
            <w:tcW w:w="1285" w:type="dxa"/>
            <w:tcBorders>
              <w:top w:val="single" w:sz="4" w:space="0" w:color="000080"/>
              <w:left w:val="single" w:sz="4" w:space="0" w:color="000080"/>
              <w:bottom w:val="single" w:sz="4" w:space="0" w:color="000080"/>
            </w:tcBorders>
          </w:tcPr>
          <w:p w14:paraId="61236518"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25EA285B"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shd w:val="clear" w:color="auto" w:fill="FFFFFF"/>
                <w:lang w:eastAsia="ar-SA"/>
              </w:rPr>
              <w:t xml:space="preserve">Si inicialmente negativa, repetir </w:t>
            </w:r>
            <w:r w:rsidRPr="003F3B0A">
              <w:rPr>
                <w:rFonts w:ascii="Arial" w:eastAsia="Arial Unicode MS" w:hAnsi="Arial" w:cs="Arial"/>
                <w:kern w:val="1"/>
                <w:sz w:val="20"/>
                <w:szCs w:val="20"/>
                <w:lang w:eastAsia="ar-SA"/>
              </w:rPr>
              <w:t>tras exposición confirmada a un paciente con tuberculosis activa bacilífera y, cada 2-3 años en todos los pacientes con una primera prueba negativa</w:t>
            </w:r>
          </w:p>
        </w:tc>
      </w:tr>
      <w:tr w:rsidR="00251963" w:rsidRPr="003F3B0A" w14:paraId="7CFE9E66" w14:textId="77777777" w:rsidTr="00A53EA0">
        <w:tc>
          <w:tcPr>
            <w:tcW w:w="3528" w:type="dxa"/>
            <w:tcBorders>
              <w:top w:val="single" w:sz="4" w:space="0" w:color="000080"/>
              <w:left w:val="single" w:sz="4" w:space="0" w:color="000080"/>
              <w:bottom w:val="single" w:sz="4" w:space="0" w:color="000080"/>
            </w:tcBorders>
          </w:tcPr>
          <w:p w14:paraId="5B368427"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Radiografía de tórax</w:t>
            </w:r>
            <w:r w:rsidRPr="003F3B0A">
              <w:rPr>
                <w:rFonts w:ascii="Arial" w:eastAsia="Arial Unicode MS" w:hAnsi="Arial" w:cs="Arial"/>
                <w:kern w:val="1"/>
                <w:sz w:val="20"/>
                <w:szCs w:val="20"/>
                <w:vertAlign w:val="superscript"/>
                <w:lang w:eastAsia="ar-SA"/>
              </w:rPr>
              <w:t>1</w:t>
            </w:r>
            <w:r>
              <w:rPr>
                <w:rFonts w:ascii="Arial" w:eastAsia="Arial Unicode MS" w:hAnsi="Arial" w:cs="Arial"/>
                <w:kern w:val="1"/>
                <w:sz w:val="20"/>
                <w:szCs w:val="20"/>
                <w:vertAlign w:val="superscript"/>
                <w:lang w:eastAsia="ar-SA"/>
              </w:rPr>
              <w:t>6</w:t>
            </w:r>
          </w:p>
        </w:tc>
        <w:tc>
          <w:tcPr>
            <w:tcW w:w="1285" w:type="dxa"/>
            <w:tcBorders>
              <w:top w:val="single" w:sz="4" w:space="0" w:color="000080"/>
              <w:left w:val="single" w:sz="4" w:space="0" w:color="000080"/>
              <w:bottom w:val="single" w:sz="4" w:space="0" w:color="000080"/>
            </w:tcBorders>
          </w:tcPr>
          <w:p w14:paraId="5578B25F"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125FB710"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252D21D2" w14:textId="77777777" w:rsidTr="00A53EA0">
        <w:tc>
          <w:tcPr>
            <w:tcW w:w="3528" w:type="dxa"/>
            <w:tcBorders>
              <w:top w:val="single" w:sz="4" w:space="0" w:color="000080"/>
              <w:left w:val="single" w:sz="4" w:space="0" w:color="000080"/>
              <w:bottom w:val="single" w:sz="4" w:space="0" w:color="000080"/>
            </w:tcBorders>
          </w:tcPr>
          <w:p w14:paraId="4F0FBB18" w14:textId="77777777" w:rsidR="00251963" w:rsidRPr="003F3B0A" w:rsidRDefault="00251963" w:rsidP="00A53EA0">
            <w:pPr>
              <w:suppressAutoHyphens/>
              <w:spacing w:before="60" w:after="60"/>
              <w:jc w:val="both"/>
              <w:textAlignment w:val="baseline"/>
              <w:rPr>
                <w:rFonts w:ascii="Arial" w:eastAsia="Arial Unicode MS" w:hAnsi="Arial" w:cs="Arial"/>
                <w:strike/>
                <w:kern w:val="1"/>
                <w:sz w:val="20"/>
                <w:szCs w:val="20"/>
                <w:vertAlign w:val="superscript"/>
                <w:lang w:eastAsia="ar-SA"/>
              </w:rPr>
            </w:pPr>
            <w:r w:rsidRPr="003F3B0A">
              <w:rPr>
                <w:rFonts w:ascii="Arial" w:eastAsia="Arial Unicode MS" w:hAnsi="Arial" w:cs="Arial"/>
                <w:kern w:val="1"/>
                <w:sz w:val="20"/>
                <w:szCs w:val="20"/>
                <w:lang w:eastAsia="ar-SA"/>
              </w:rPr>
              <w:t>Ecografía hepática</w:t>
            </w:r>
            <w:r w:rsidRPr="003F3B0A">
              <w:rPr>
                <w:rFonts w:ascii="Arial" w:eastAsia="Arial Unicode MS" w:hAnsi="Arial" w:cs="Arial"/>
                <w:kern w:val="1"/>
                <w:sz w:val="20"/>
                <w:szCs w:val="20"/>
                <w:vertAlign w:val="superscript"/>
                <w:lang w:eastAsia="ar-SA"/>
              </w:rPr>
              <w:t>1</w:t>
            </w:r>
            <w:r>
              <w:rPr>
                <w:rFonts w:ascii="Arial" w:eastAsia="Arial Unicode MS" w:hAnsi="Arial" w:cs="Arial"/>
                <w:kern w:val="1"/>
                <w:sz w:val="20"/>
                <w:szCs w:val="20"/>
                <w:vertAlign w:val="superscript"/>
                <w:lang w:eastAsia="ar-SA"/>
              </w:rPr>
              <w:t>3, 17</w:t>
            </w:r>
          </w:p>
        </w:tc>
        <w:tc>
          <w:tcPr>
            <w:tcW w:w="1285" w:type="dxa"/>
            <w:tcBorders>
              <w:top w:val="single" w:sz="4" w:space="0" w:color="000080"/>
              <w:left w:val="single" w:sz="4" w:space="0" w:color="000080"/>
              <w:bottom w:val="single" w:sz="4" w:space="0" w:color="000080"/>
            </w:tcBorders>
          </w:tcPr>
          <w:p w14:paraId="2989744B"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shd w:val="clear" w:color="auto" w:fill="FFFFFF"/>
          </w:tcPr>
          <w:p w14:paraId="193F1C4B" w14:textId="77777777" w:rsidR="00251963" w:rsidRPr="003F3B0A" w:rsidRDefault="00251963" w:rsidP="00A53EA0">
            <w:pPr>
              <w:suppressAutoHyphens/>
              <w:spacing w:before="60" w:after="60"/>
              <w:textAlignment w:val="baseline"/>
              <w:rPr>
                <w:rFonts w:ascii="Arial" w:hAnsi="Arial" w:cs="Arial"/>
                <w:kern w:val="1"/>
                <w:sz w:val="20"/>
                <w:szCs w:val="20"/>
                <w:shd w:val="clear" w:color="auto" w:fill="00FFFF"/>
                <w:vertAlign w:val="superscript"/>
                <w:lang w:eastAsia="ar-SA"/>
              </w:rPr>
            </w:pPr>
            <w:r w:rsidRPr="003F3B0A">
              <w:rPr>
                <w:rFonts w:ascii="Arial" w:eastAsia="Arial Unicode MS" w:hAnsi="Arial" w:cs="Arial"/>
                <w:kern w:val="1"/>
                <w:sz w:val="20"/>
                <w:szCs w:val="20"/>
                <w:lang w:eastAsia="ar-SA"/>
              </w:rPr>
              <w:t>Cada seis meses si cirrosis hepática</w:t>
            </w:r>
            <w:r>
              <w:rPr>
                <w:rFonts w:ascii="Arial" w:eastAsia="Arial Unicode MS" w:hAnsi="Arial" w:cs="Arial"/>
                <w:kern w:val="1"/>
                <w:sz w:val="20"/>
                <w:szCs w:val="20"/>
                <w:vertAlign w:val="superscript"/>
                <w:lang w:eastAsia="ar-SA"/>
              </w:rPr>
              <w:t>18</w:t>
            </w:r>
          </w:p>
        </w:tc>
      </w:tr>
      <w:tr w:rsidR="00251963" w:rsidRPr="003F3B0A" w14:paraId="2F1065D3" w14:textId="77777777" w:rsidTr="00A53EA0">
        <w:tc>
          <w:tcPr>
            <w:tcW w:w="3528" w:type="dxa"/>
            <w:tcBorders>
              <w:top w:val="single" w:sz="4" w:space="0" w:color="000080"/>
              <w:left w:val="single" w:sz="4" w:space="0" w:color="000080"/>
              <w:bottom w:val="single" w:sz="4" w:space="0" w:color="000080"/>
            </w:tcBorders>
          </w:tcPr>
          <w:p w14:paraId="4F772E16" w14:textId="77777777" w:rsidR="00251963" w:rsidRPr="003F3B0A" w:rsidRDefault="00251963" w:rsidP="00A53EA0">
            <w:pPr>
              <w:suppressAutoHyphens/>
              <w:spacing w:before="60" w:after="60"/>
              <w:jc w:val="both"/>
              <w:textAlignment w:val="baseline"/>
              <w:rPr>
                <w:rFonts w:ascii="Arial" w:eastAsia="Arial Unicode MS" w:hAnsi="Arial" w:cs="Arial"/>
                <w:strike/>
                <w:kern w:val="1"/>
                <w:sz w:val="20"/>
                <w:szCs w:val="20"/>
                <w:shd w:val="clear" w:color="auto" w:fill="FFFF00"/>
                <w:lang w:eastAsia="ar-SA"/>
              </w:rPr>
            </w:pPr>
            <w:r w:rsidRPr="003F3B0A">
              <w:rPr>
                <w:rFonts w:ascii="Arial" w:eastAsia="Arial Unicode MS" w:hAnsi="Arial" w:cs="Arial"/>
                <w:kern w:val="1"/>
                <w:sz w:val="20"/>
                <w:szCs w:val="20"/>
                <w:lang w:val="pt-BR" w:eastAsia="ar-SA"/>
              </w:rPr>
              <w:t>Elastografía hepática</w:t>
            </w:r>
            <w:r w:rsidRPr="003F3B0A">
              <w:rPr>
                <w:rFonts w:ascii="Arial" w:eastAsia="Arial Unicode MS" w:hAnsi="Arial" w:cs="Arial"/>
                <w:kern w:val="1"/>
                <w:sz w:val="20"/>
                <w:szCs w:val="20"/>
                <w:vertAlign w:val="superscript"/>
                <w:lang w:eastAsia="ar-SA"/>
              </w:rPr>
              <w:t>13,1</w:t>
            </w:r>
            <w:r>
              <w:rPr>
                <w:rFonts w:ascii="Arial" w:eastAsia="Arial Unicode MS" w:hAnsi="Arial" w:cs="Arial"/>
                <w:kern w:val="1"/>
                <w:sz w:val="20"/>
                <w:szCs w:val="20"/>
                <w:vertAlign w:val="superscript"/>
                <w:lang w:eastAsia="ar-SA"/>
              </w:rPr>
              <w:t>7</w:t>
            </w:r>
          </w:p>
        </w:tc>
        <w:tc>
          <w:tcPr>
            <w:tcW w:w="1285" w:type="dxa"/>
            <w:tcBorders>
              <w:top w:val="single" w:sz="4" w:space="0" w:color="000080"/>
              <w:left w:val="single" w:sz="4" w:space="0" w:color="000080"/>
              <w:bottom w:val="single" w:sz="4" w:space="0" w:color="000080"/>
            </w:tcBorders>
          </w:tcPr>
          <w:p w14:paraId="2A2FCFB2"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shd w:val="clear" w:color="auto" w:fill="FFFFFF"/>
          </w:tcPr>
          <w:p w14:paraId="073FA101" w14:textId="77777777" w:rsidR="00251963" w:rsidRPr="003F3B0A" w:rsidRDefault="00251963" w:rsidP="00A53EA0">
            <w:pPr>
              <w:suppressAutoHyphens/>
              <w:spacing w:before="60" w:after="60"/>
              <w:textAlignment w:val="baseline"/>
              <w:rPr>
                <w:rFonts w:ascii="Arial" w:hAnsi="Arial" w:cs="Arial"/>
                <w:kern w:val="1"/>
                <w:sz w:val="20"/>
                <w:szCs w:val="20"/>
                <w:vertAlign w:val="superscript"/>
                <w:lang w:eastAsia="ar-SA"/>
              </w:rPr>
            </w:pPr>
            <w:r w:rsidRPr="003F3B0A">
              <w:rPr>
                <w:rFonts w:ascii="Arial" w:eastAsia="Arial Unicode MS" w:hAnsi="Arial" w:cs="Arial"/>
                <w:kern w:val="1"/>
                <w:sz w:val="20"/>
                <w:szCs w:val="20"/>
                <w:lang w:eastAsia="ar-SA"/>
              </w:rPr>
              <w:t>Anual</w:t>
            </w:r>
            <w:r>
              <w:rPr>
                <w:rFonts w:ascii="Arial" w:eastAsia="Arial Unicode MS" w:hAnsi="Arial" w:cs="Arial"/>
                <w:kern w:val="1"/>
                <w:sz w:val="20"/>
                <w:szCs w:val="20"/>
                <w:vertAlign w:val="superscript"/>
                <w:lang w:eastAsia="ar-SA"/>
              </w:rPr>
              <w:t>19</w:t>
            </w:r>
          </w:p>
        </w:tc>
      </w:tr>
      <w:tr w:rsidR="00251963" w:rsidRPr="003F3B0A" w14:paraId="3BA3F706" w14:textId="77777777" w:rsidTr="00A53EA0">
        <w:tc>
          <w:tcPr>
            <w:tcW w:w="3528" w:type="dxa"/>
            <w:tcBorders>
              <w:top w:val="single" w:sz="4" w:space="0" w:color="000080"/>
              <w:left w:val="single" w:sz="4" w:space="0" w:color="000080"/>
              <w:bottom w:val="single" w:sz="4" w:space="0" w:color="000080"/>
            </w:tcBorders>
          </w:tcPr>
          <w:p w14:paraId="231F2DEA" w14:textId="77777777" w:rsidR="00251963" w:rsidRPr="003F3B0A" w:rsidRDefault="00251963" w:rsidP="00A53EA0">
            <w:pPr>
              <w:suppressAutoHyphens/>
              <w:spacing w:before="60" w:after="60"/>
              <w:jc w:val="both"/>
              <w:textAlignment w:val="baseline"/>
              <w:rPr>
                <w:rFonts w:ascii="Arial" w:eastAsia="Arial Unicode MS" w:hAnsi="Arial" w:cs="Arial"/>
                <w:strike/>
                <w:kern w:val="1"/>
                <w:sz w:val="20"/>
                <w:szCs w:val="20"/>
                <w:shd w:val="clear" w:color="auto" w:fill="FFFF00"/>
                <w:lang w:val="pt-BR" w:eastAsia="ar-SA"/>
              </w:rPr>
            </w:pPr>
            <w:r w:rsidRPr="003F3B0A">
              <w:rPr>
                <w:rFonts w:ascii="Arial" w:eastAsia="Arial Unicode MS" w:hAnsi="Arial" w:cs="Arial"/>
                <w:kern w:val="1"/>
                <w:sz w:val="20"/>
                <w:szCs w:val="20"/>
                <w:lang w:val="pt-BR" w:eastAsia="ar-SA"/>
              </w:rPr>
              <w:t>Esófago-gastroscopia</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0</w:t>
            </w:r>
          </w:p>
        </w:tc>
        <w:tc>
          <w:tcPr>
            <w:tcW w:w="1285" w:type="dxa"/>
            <w:tcBorders>
              <w:top w:val="single" w:sz="4" w:space="0" w:color="000080"/>
              <w:left w:val="single" w:sz="4" w:space="0" w:color="000080"/>
              <w:bottom w:val="single" w:sz="4" w:space="0" w:color="000080"/>
            </w:tcBorders>
          </w:tcPr>
          <w:p w14:paraId="7E3130D0" w14:textId="77777777" w:rsidR="00251963" w:rsidRPr="003F3B0A" w:rsidRDefault="00251963" w:rsidP="00A53EA0">
            <w:pPr>
              <w:suppressAutoHyphens/>
              <w:spacing w:before="60" w:after="60"/>
              <w:jc w:val="center"/>
              <w:textAlignment w:val="baseline"/>
              <w:rPr>
                <w:rFonts w:ascii="Arial" w:eastAsia="Arial Unicode MS" w:hAnsi="Arial" w:cs="Arial"/>
                <w:strike/>
                <w:kern w:val="1"/>
                <w:sz w:val="20"/>
                <w:szCs w:val="20"/>
                <w:shd w:val="clear" w:color="auto" w:fill="FFFF00"/>
                <w:lang w:val="pt-BR"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shd w:val="clear" w:color="auto" w:fill="FFFFFF"/>
          </w:tcPr>
          <w:p w14:paraId="402A8E5A" w14:textId="77777777" w:rsidR="00251963" w:rsidRPr="003F3B0A" w:rsidRDefault="00251963" w:rsidP="00A53EA0">
            <w:pPr>
              <w:suppressAutoHyphens/>
              <w:spacing w:before="60" w:after="60"/>
              <w:textAlignment w:val="baseline"/>
              <w:rPr>
                <w:rFonts w:ascii="Arial" w:hAnsi="Arial" w:cs="Arial"/>
                <w:kern w:val="1"/>
                <w:sz w:val="20"/>
                <w:szCs w:val="20"/>
                <w:vertAlign w:val="superscript"/>
                <w:lang w:eastAsia="ar-SA"/>
              </w:rPr>
            </w:pPr>
            <w:r w:rsidRPr="003F3B0A">
              <w:rPr>
                <w:rFonts w:ascii="Arial" w:eastAsia="Arial Unicode MS" w:hAnsi="Arial" w:cs="Arial"/>
                <w:kern w:val="1"/>
                <w:sz w:val="20"/>
                <w:szCs w:val="20"/>
                <w:lang w:eastAsia="ar-SA"/>
              </w:rPr>
              <w:t>Cada 2-3 años si no hay varices y cada 1-2 años en caso de varices grado I</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1</w:t>
            </w:r>
          </w:p>
        </w:tc>
      </w:tr>
      <w:tr w:rsidR="00251963" w:rsidRPr="003F3B0A" w14:paraId="12E95135" w14:textId="77777777" w:rsidTr="00A53EA0">
        <w:tc>
          <w:tcPr>
            <w:tcW w:w="3528" w:type="dxa"/>
            <w:tcBorders>
              <w:top w:val="single" w:sz="4" w:space="0" w:color="000080"/>
              <w:left w:val="single" w:sz="4" w:space="0" w:color="000080"/>
              <w:bottom w:val="single" w:sz="4" w:space="0" w:color="000080"/>
            </w:tcBorders>
          </w:tcPr>
          <w:p w14:paraId="1C488357"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val="pt-BR" w:eastAsia="ar-SA"/>
              </w:rPr>
              <w:t>Citología cervical uterina</w:t>
            </w:r>
            <w:r w:rsidRPr="003F3B0A">
              <w:rPr>
                <w:rFonts w:ascii="Arial" w:eastAsia="Arial Unicode MS" w:hAnsi="Arial" w:cs="Arial"/>
                <w:kern w:val="1"/>
                <w:sz w:val="20"/>
                <w:szCs w:val="20"/>
                <w:vertAlign w:val="superscript"/>
                <w:lang w:val="pt-BR" w:eastAsia="ar-SA"/>
              </w:rPr>
              <w:t>2</w:t>
            </w:r>
            <w:r>
              <w:rPr>
                <w:rFonts w:ascii="Arial" w:eastAsia="Arial Unicode MS" w:hAnsi="Arial" w:cs="Arial"/>
                <w:kern w:val="1"/>
                <w:sz w:val="20"/>
                <w:szCs w:val="20"/>
                <w:vertAlign w:val="superscript"/>
                <w:lang w:val="pt-BR" w:eastAsia="ar-SA"/>
              </w:rPr>
              <w:t>2</w:t>
            </w:r>
          </w:p>
        </w:tc>
        <w:tc>
          <w:tcPr>
            <w:tcW w:w="1285" w:type="dxa"/>
            <w:tcBorders>
              <w:top w:val="single" w:sz="4" w:space="0" w:color="000080"/>
              <w:left w:val="single" w:sz="4" w:space="0" w:color="000080"/>
              <w:bottom w:val="single" w:sz="4" w:space="0" w:color="000080"/>
            </w:tcBorders>
          </w:tcPr>
          <w:p w14:paraId="24E35223"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val="pt-BR" w:eastAsia="ar-SA"/>
              </w:rPr>
              <w:t>Si</w:t>
            </w:r>
          </w:p>
        </w:tc>
        <w:tc>
          <w:tcPr>
            <w:tcW w:w="3762" w:type="dxa"/>
            <w:tcBorders>
              <w:top w:val="single" w:sz="4" w:space="0" w:color="000080"/>
              <w:left w:val="single" w:sz="4" w:space="0" w:color="000080"/>
              <w:bottom w:val="single" w:sz="4" w:space="0" w:color="000080"/>
              <w:right w:val="single" w:sz="4" w:space="0" w:color="000080"/>
            </w:tcBorders>
          </w:tcPr>
          <w:p w14:paraId="3FD2BEAA"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lang w:eastAsia="ar-SA"/>
              </w:rPr>
              <w:t>Si normal, repetir anualmente</w:t>
            </w:r>
          </w:p>
        </w:tc>
      </w:tr>
      <w:tr w:rsidR="00251963" w:rsidRPr="003F3B0A" w14:paraId="6524CA47" w14:textId="77777777" w:rsidTr="00A53EA0">
        <w:tc>
          <w:tcPr>
            <w:tcW w:w="3528" w:type="dxa"/>
            <w:tcBorders>
              <w:top w:val="single" w:sz="4" w:space="0" w:color="000080"/>
              <w:left w:val="single" w:sz="4" w:space="0" w:color="000080"/>
              <w:bottom w:val="single" w:sz="4" w:space="0" w:color="000080"/>
            </w:tcBorders>
          </w:tcPr>
          <w:p w14:paraId="1BDD22BE"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Citología anal</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3</w:t>
            </w:r>
          </w:p>
        </w:tc>
        <w:tc>
          <w:tcPr>
            <w:tcW w:w="1285" w:type="dxa"/>
            <w:tcBorders>
              <w:top w:val="single" w:sz="4" w:space="0" w:color="000080"/>
              <w:left w:val="single" w:sz="4" w:space="0" w:color="000080"/>
              <w:bottom w:val="single" w:sz="4" w:space="0" w:color="000080"/>
            </w:tcBorders>
          </w:tcPr>
          <w:p w14:paraId="0D8A8740"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16736CE2"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lang w:eastAsia="ar-SA"/>
              </w:rPr>
              <w:t xml:space="preserve">Según indicación clínica </w:t>
            </w:r>
          </w:p>
        </w:tc>
      </w:tr>
      <w:tr w:rsidR="00251963" w:rsidRPr="003F3B0A" w14:paraId="3AF1AC4A" w14:textId="77777777" w:rsidTr="00A53EA0">
        <w:tc>
          <w:tcPr>
            <w:tcW w:w="3528" w:type="dxa"/>
            <w:tcBorders>
              <w:top w:val="single" w:sz="4" w:space="0" w:color="000080"/>
              <w:left w:val="single" w:sz="4" w:space="0" w:color="000080"/>
              <w:bottom w:val="single" w:sz="4" w:space="0" w:color="000080"/>
            </w:tcBorders>
          </w:tcPr>
          <w:p w14:paraId="4F70FE21"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eastAsia="ar-SA"/>
              </w:rPr>
              <w:t>Electrocardiograma</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4</w:t>
            </w:r>
          </w:p>
        </w:tc>
        <w:tc>
          <w:tcPr>
            <w:tcW w:w="1285" w:type="dxa"/>
            <w:tcBorders>
              <w:top w:val="single" w:sz="4" w:space="0" w:color="000080"/>
              <w:left w:val="single" w:sz="4" w:space="0" w:color="000080"/>
              <w:bottom w:val="single" w:sz="4" w:space="0" w:color="000080"/>
            </w:tcBorders>
          </w:tcPr>
          <w:p w14:paraId="3CD206E3"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val="pt-BR"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605F1691" w14:textId="77777777" w:rsidR="00251963" w:rsidRPr="003F3B0A" w:rsidRDefault="00251963" w:rsidP="00A53EA0">
            <w:pPr>
              <w:suppressAutoHyphens/>
              <w:snapToGrid w:val="0"/>
              <w:spacing w:before="60" w:after="60"/>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4C216F66" w14:textId="77777777" w:rsidTr="00A53EA0">
        <w:tc>
          <w:tcPr>
            <w:tcW w:w="3528" w:type="dxa"/>
            <w:tcBorders>
              <w:top w:val="single" w:sz="4" w:space="0" w:color="000080"/>
              <w:left w:val="single" w:sz="4" w:space="0" w:color="000080"/>
              <w:bottom w:val="single" w:sz="4" w:space="0" w:color="000080"/>
            </w:tcBorders>
          </w:tcPr>
          <w:p w14:paraId="646B7723"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eastAsia="ar-SA"/>
              </w:rPr>
              <w:t>Densitometría ósea</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5</w:t>
            </w:r>
          </w:p>
        </w:tc>
        <w:tc>
          <w:tcPr>
            <w:tcW w:w="1285" w:type="dxa"/>
            <w:tcBorders>
              <w:top w:val="single" w:sz="4" w:space="0" w:color="000080"/>
              <w:left w:val="single" w:sz="4" w:space="0" w:color="000080"/>
              <w:bottom w:val="single" w:sz="4" w:space="0" w:color="000080"/>
            </w:tcBorders>
          </w:tcPr>
          <w:p w14:paraId="09C654E8"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val="pt-BR" w:eastAsia="ar-SA"/>
              </w:rPr>
              <w:t>Optativa</w:t>
            </w:r>
          </w:p>
        </w:tc>
        <w:tc>
          <w:tcPr>
            <w:tcW w:w="3762" w:type="dxa"/>
            <w:tcBorders>
              <w:top w:val="single" w:sz="4" w:space="0" w:color="000080"/>
              <w:left w:val="single" w:sz="4" w:space="0" w:color="000080"/>
              <w:bottom w:val="single" w:sz="4" w:space="0" w:color="000080"/>
              <w:right w:val="single" w:sz="4" w:space="0" w:color="000080"/>
            </w:tcBorders>
          </w:tcPr>
          <w:p w14:paraId="18B3FDEF" w14:textId="77777777" w:rsidR="00251963" w:rsidRPr="003F3B0A" w:rsidRDefault="00251963" w:rsidP="00A53EA0">
            <w:pPr>
              <w:suppressAutoHyphens/>
              <w:spacing w:before="60" w:after="60"/>
              <w:textAlignment w:val="baseline"/>
              <w:rPr>
                <w:rFonts w:ascii="Arial" w:hAnsi="Arial" w:cs="Arial"/>
                <w:kern w:val="1"/>
                <w:sz w:val="20"/>
                <w:szCs w:val="20"/>
                <w:lang w:eastAsia="ar-SA"/>
              </w:rPr>
            </w:pPr>
            <w:r w:rsidRPr="003F3B0A">
              <w:rPr>
                <w:rFonts w:ascii="Arial" w:eastAsia="Arial Unicode MS" w:hAnsi="Arial" w:cs="Arial"/>
                <w:kern w:val="1"/>
                <w:sz w:val="20"/>
                <w:szCs w:val="20"/>
                <w:lang w:eastAsia="ar-SA"/>
              </w:rPr>
              <w:t>Según indicación clínica</w:t>
            </w:r>
          </w:p>
        </w:tc>
      </w:tr>
      <w:tr w:rsidR="00251963" w:rsidRPr="003F3B0A" w14:paraId="7C5013E4" w14:textId="77777777" w:rsidTr="00A53EA0">
        <w:trPr>
          <w:trHeight w:val="417"/>
        </w:trPr>
        <w:tc>
          <w:tcPr>
            <w:tcW w:w="3528" w:type="dxa"/>
            <w:tcBorders>
              <w:top w:val="single" w:sz="4" w:space="0" w:color="000080"/>
              <w:left w:val="single" w:sz="4" w:space="0" w:color="000080"/>
              <w:bottom w:val="single" w:sz="4" w:space="0" w:color="000080"/>
            </w:tcBorders>
          </w:tcPr>
          <w:p w14:paraId="39BB7106"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FRAX (</w:t>
            </w:r>
            <w:hyperlink r:id="rId98" w:history="1">
              <w:r w:rsidRPr="003F3B0A">
                <w:rPr>
                  <w:rStyle w:val="Hipervnculo"/>
                  <w:rFonts w:ascii="Arial" w:eastAsia="Arial Unicode MS" w:hAnsi="Arial" w:cs="Arial"/>
                  <w:kern w:val="1"/>
                  <w:sz w:val="20"/>
                  <w:szCs w:val="20"/>
                  <w:lang w:eastAsia="ar-SA"/>
                </w:rPr>
                <w:t>www.shef.ac.uk/FRAX</w:t>
              </w:r>
            </w:hyperlink>
            <w:r w:rsidRPr="003F3B0A">
              <w:rPr>
                <w:rFonts w:ascii="Arial" w:eastAsia="Arial Unicode MS" w:hAnsi="Arial" w:cs="Arial"/>
                <w:kern w:val="1"/>
                <w:sz w:val="20"/>
                <w:szCs w:val="20"/>
                <w:lang w:eastAsia="ar-SA"/>
              </w:rPr>
              <w:t xml:space="preserve"> )</w:t>
            </w:r>
            <w:r w:rsidRPr="003F3B0A">
              <w:rPr>
                <w:rFonts w:ascii="Arial" w:eastAsia="Arial Unicode MS" w:hAnsi="Arial" w:cs="Arial"/>
                <w:kern w:val="1"/>
                <w:sz w:val="20"/>
                <w:szCs w:val="20"/>
                <w:vertAlign w:val="superscript"/>
                <w:lang w:eastAsia="ar-SA"/>
              </w:rPr>
              <w:t>2</w:t>
            </w:r>
            <w:r>
              <w:rPr>
                <w:rFonts w:ascii="Arial" w:eastAsia="Arial Unicode MS" w:hAnsi="Arial" w:cs="Arial"/>
                <w:kern w:val="1"/>
                <w:sz w:val="20"/>
                <w:szCs w:val="20"/>
                <w:vertAlign w:val="superscript"/>
                <w:lang w:eastAsia="ar-SA"/>
              </w:rPr>
              <w:t>6</w:t>
            </w:r>
          </w:p>
        </w:tc>
        <w:tc>
          <w:tcPr>
            <w:tcW w:w="1285" w:type="dxa"/>
            <w:tcBorders>
              <w:top w:val="single" w:sz="4" w:space="0" w:color="000080"/>
              <w:left w:val="single" w:sz="4" w:space="0" w:color="000080"/>
              <w:bottom w:val="single" w:sz="4" w:space="0" w:color="000080"/>
            </w:tcBorders>
          </w:tcPr>
          <w:p w14:paraId="66EBCC44"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lang w:val="pt-BR" w:eastAsia="ar-SA"/>
              </w:rPr>
            </w:pPr>
            <w:r w:rsidRPr="003F3B0A">
              <w:rPr>
                <w:rFonts w:ascii="Arial" w:eastAsia="Arial Unicode MS" w:hAnsi="Arial" w:cs="Arial"/>
                <w:kern w:val="1"/>
                <w:sz w:val="20"/>
                <w:szCs w:val="20"/>
                <w:lang w:val="pt-BR"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7F084BC7" w14:textId="77777777" w:rsidR="00251963" w:rsidRPr="003F3B0A" w:rsidRDefault="00251963" w:rsidP="00A53EA0">
            <w:pPr>
              <w:widowControl w:val="0"/>
              <w:suppressAutoHyphens/>
              <w:spacing w:before="60" w:after="60"/>
              <w:textAlignment w:val="baseline"/>
              <w:rPr>
                <w:rFonts w:ascii="Arial" w:eastAsia="SimSun" w:hAnsi="Arial" w:cs="Arial"/>
                <w:kern w:val="1"/>
                <w:sz w:val="20"/>
                <w:szCs w:val="20"/>
                <w:lang w:eastAsia="ar-SA"/>
              </w:rPr>
            </w:pPr>
            <w:r w:rsidRPr="003F3B0A">
              <w:rPr>
                <w:rFonts w:ascii="Arial" w:eastAsia="SimSun" w:hAnsi="Arial" w:cs="Arial"/>
                <w:kern w:val="1"/>
                <w:sz w:val="20"/>
                <w:szCs w:val="20"/>
                <w:lang w:eastAsia="ar-SA"/>
              </w:rPr>
              <w:t>Según indicación clínica</w:t>
            </w:r>
          </w:p>
        </w:tc>
      </w:tr>
      <w:tr w:rsidR="00251963" w:rsidRPr="003F3B0A" w14:paraId="71CA5648" w14:textId="77777777" w:rsidTr="00A53EA0">
        <w:trPr>
          <w:trHeight w:val="417"/>
        </w:trPr>
        <w:tc>
          <w:tcPr>
            <w:tcW w:w="3528" w:type="dxa"/>
            <w:tcBorders>
              <w:top w:val="single" w:sz="4" w:space="0" w:color="000080"/>
              <w:left w:val="single" w:sz="4" w:space="0" w:color="000080"/>
              <w:bottom w:val="single" w:sz="4" w:space="0" w:color="000080"/>
            </w:tcBorders>
          </w:tcPr>
          <w:p w14:paraId="271802BF" w14:textId="77777777" w:rsidR="00251963" w:rsidRPr="003F3B0A" w:rsidRDefault="00251963" w:rsidP="00A53EA0">
            <w:pPr>
              <w:suppressAutoHyphens/>
              <w:spacing w:before="60" w:after="60"/>
              <w:jc w:val="both"/>
              <w:textAlignment w:val="baseline"/>
              <w:rPr>
                <w:rFonts w:ascii="Arial" w:eastAsia="Arial Unicode MS" w:hAnsi="Arial" w:cs="Arial"/>
                <w:kern w:val="1"/>
                <w:sz w:val="20"/>
                <w:szCs w:val="20"/>
                <w:lang w:eastAsia="ar-SA"/>
              </w:rPr>
            </w:pPr>
            <w:r w:rsidRPr="003F3B0A">
              <w:rPr>
                <w:rFonts w:ascii="Arial" w:eastAsia="Arial Unicode MS" w:hAnsi="Arial" w:cs="Arial"/>
                <w:kern w:val="1"/>
                <w:sz w:val="20"/>
                <w:szCs w:val="20"/>
                <w:lang w:eastAsia="ar-SA"/>
              </w:rPr>
              <w:t>Cribado de ITS</w:t>
            </w:r>
            <w:r w:rsidRPr="003F3B0A">
              <w:rPr>
                <w:rFonts w:ascii="Arial" w:eastAsia="Arial Unicode MS" w:hAnsi="Arial" w:cs="Arial"/>
                <w:kern w:val="1"/>
                <w:sz w:val="20"/>
                <w:szCs w:val="20"/>
                <w:vertAlign w:val="superscript"/>
                <w:lang w:eastAsia="ar-SA"/>
              </w:rPr>
              <w:t xml:space="preserve">28 </w:t>
            </w:r>
          </w:p>
        </w:tc>
        <w:tc>
          <w:tcPr>
            <w:tcW w:w="1285" w:type="dxa"/>
            <w:tcBorders>
              <w:top w:val="single" w:sz="4" w:space="0" w:color="000080"/>
              <w:left w:val="single" w:sz="4" w:space="0" w:color="000080"/>
              <w:bottom w:val="single" w:sz="4" w:space="0" w:color="000080"/>
            </w:tcBorders>
          </w:tcPr>
          <w:p w14:paraId="5F2E2909" w14:textId="77777777" w:rsidR="00251963" w:rsidRPr="003F3B0A" w:rsidRDefault="00251963" w:rsidP="00A53EA0">
            <w:pPr>
              <w:suppressAutoHyphens/>
              <w:spacing w:before="60" w:after="60"/>
              <w:jc w:val="center"/>
              <w:textAlignment w:val="baseline"/>
              <w:rPr>
                <w:rFonts w:ascii="Arial" w:eastAsia="Arial Unicode MS" w:hAnsi="Arial" w:cs="Arial"/>
                <w:kern w:val="1"/>
                <w:sz w:val="20"/>
                <w:szCs w:val="20"/>
                <w:vertAlign w:val="superscript"/>
                <w:lang w:val="pt-BR" w:eastAsia="ar-SA"/>
              </w:rPr>
            </w:pPr>
            <w:r w:rsidRPr="003F3B0A">
              <w:rPr>
                <w:rFonts w:ascii="Arial" w:eastAsia="Arial Unicode MS" w:hAnsi="Arial" w:cs="Arial"/>
                <w:kern w:val="1"/>
                <w:sz w:val="20"/>
                <w:szCs w:val="20"/>
                <w:lang w:eastAsia="ar-SA"/>
              </w:rPr>
              <w:t>Sí</w:t>
            </w:r>
          </w:p>
        </w:tc>
        <w:tc>
          <w:tcPr>
            <w:tcW w:w="3762" w:type="dxa"/>
            <w:tcBorders>
              <w:top w:val="single" w:sz="4" w:space="0" w:color="000080"/>
              <w:left w:val="single" w:sz="4" w:space="0" w:color="000080"/>
              <w:bottom w:val="single" w:sz="4" w:space="0" w:color="000080"/>
              <w:right w:val="single" w:sz="4" w:space="0" w:color="000080"/>
            </w:tcBorders>
          </w:tcPr>
          <w:p w14:paraId="08E91B56" w14:textId="77777777" w:rsidR="00251963" w:rsidRPr="003F3B0A" w:rsidRDefault="00251963" w:rsidP="00A53EA0">
            <w:pPr>
              <w:widowControl w:val="0"/>
              <w:suppressAutoHyphens/>
              <w:spacing w:before="60" w:after="60"/>
              <w:textAlignment w:val="baseline"/>
              <w:rPr>
                <w:rFonts w:ascii="Arial" w:eastAsia="SimSun" w:hAnsi="Arial" w:cs="Arial"/>
                <w:kern w:val="1"/>
                <w:sz w:val="20"/>
                <w:szCs w:val="20"/>
                <w:lang w:eastAsia="ar-SA"/>
              </w:rPr>
            </w:pPr>
            <w:r w:rsidRPr="003F3B0A">
              <w:rPr>
                <w:rFonts w:ascii="Arial" w:eastAsia="SimSun" w:hAnsi="Arial" w:cs="Arial"/>
                <w:kern w:val="1"/>
                <w:sz w:val="20"/>
                <w:szCs w:val="20"/>
                <w:lang w:eastAsia="ar-SA"/>
              </w:rPr>
              <w:t>Según riesgo</w:t>
            </w:r>
          </w:p>
        </w:tc>
      </w:tr>
      <w:tr w:rsidR="00251963" w:rsidRPr="003F3B0A" w14:paraId="7313F3C5" w14:textId="77777777" w:rsidTr="00A53EA0">
        <w:trPr>
          <w:trHeight w:val="417"/>
        </w:trPr>
        <w:tc>
          <w:tcPr>
            <w:tcW w:w="3528" w:type="dxa"/>
            <w:tcBorders>
              <w:top w:val="single" w:sz="4" w:space="0" w:color="000080"/>
              <w:left w:val="single" w:sz="4" w:space="0" w:color="000080"/>
              <w:bottom w:val="single" w:sz="4" w:space="0" w:color="000080"/>
            </w:tcBorders>
          </w:tcPr>
          <w:p w14:paraId="7A5CF027" w14:textId="77777777" w:rsidR="00251963" w:rsidRPr="006F65F3" w:rsidRDefault="00251963" w:rsidP="00A53EA0">
            <w:pPr>
              <w:suppressAutoHyphens/>
              <w:spacing w:before="60" w:after="60"/>
              <w:jc w:val="both"/>
              <w:textAlignment w:val="baseline"/>
              <w:rPr>
                <w:rFonts w:ascii="Arial" w:eastAsia="Arial Unicode MS" w:hAnsi="Arial" w:cs="Arial"/>
                <w:kern w:val="1"/>
                <w:sz w:val="20"/>
                <w:szCs w:val="20"/>
                <w:highlight w:val="yellow"/>
                <w:lang w:eastAsia="ar-SA"/>
              </w:rPr>
            </w:pPr>
            <w:r w:rsidRPr="006F65F3">
              <w:rPr>
                <w:rFonts w:ascii="Arial" w:eastAsia="Arial Unicode MS" w:hAnsi="Arial" w:cs="Arial"/>
                <w:kern w:val="1"/>
                <w:sz w:val="20"/>
                <w:szCs w:val="20"/>
                <w:highlight w:val="yellow"/>
                <w:lang w:eastAsia="ar-SA"/>
              </w:rPr>
              <w:t>Fondo de ojo</w:t>
            </w:r>
            <w:r w:rsidRPr="006F65F3">
              <w:rPr>
                <w:rFonts w:ascii="Arial" w:eastAsia="Arial Unicode MS" w:hAnsi="Arial" w:cs="Arial"/>
                <w:kern w:val="1"/>
                <w:sz w:val="20"/>
                <w:szCs w:val="20"/>
                <w:highlight w:val="yellow"/>
                <w:vertAlign w:val="superscript"/>
                <w:lang w:eastAsia="ar-SA"/>
              </w:rPr>
              <w:t>2</w:t>
            </w:r>
            <w:r>
              <w:rPr>
                <w:rFonts w:ascii="Arial" w:eastAsia="Arial Unicode MS" w:hAnsi="Arial" w:cs="Arial"/>
                <w:kern w:val="1"/>
                <w:sz w:val="20"/>
                <w:szCs w:val="20"/>
                <w:highlight w:val="yellow"/>
                <w:vertAlign w:val="superscript"/>
                <w:lang w:eastAsia="ar-SA"/>
              </w:rPr>
              <w:t>7</w:t>
            </w:r>
          </w:p>
        </w:tc>
        <w:tc>
          <w:tcPr>
            <w:tcW w:w="1285" w:type="dxa"/>
            <w:tcBorders>
              <w:top w:val="single" w:sz="4" w:space="0" w:color="000080"/>
              <w:left w:val="single" w:sz="4" w:space="0" w:color="000080"/>
              <w:bottom w:val="single" w:sz="4" w:space="0" w:color="000080"/>
            </w:tcBorders>
          </w:tcPr>
          <w:p w14:paraId="5A760CDD" w14:textId="77777777" w:rsidR="00251963" w:rsidRPr="006F65F3" w:rsidRDefault="00251963" w:rsidP="00A53EA0">
            <w:pPr>
              <w:suppressAutoHyphens/>
              <w:spacing w:before="60" w:after="60"/>
              <w:jc w:val="center"/>
              <w:textAlignment w:val="baseline"/>
              <w:rPr>
                <w:rFonts w:ascii="Arial" w:eastAsia="Arial Unicode MS" w:hAnsi="Arial" w:cs="Arial"/>
                <w:kern w:val="1"/>
                <w:sz w:val="20"/>
                <w:szCs w:val="20"/>
                <w:highlight w:val="yellow"/>
                <w:lang w:eastAsia="ar-SA"/>
              </w:rPr>
            </w:pPr>
            <w:r w:rsidRPr="006F65F3">
              <w:rPr>
                <w:rFonts w:ascii="Arial" w:eastAsia="Arial Unicode MS" w:hAnsi="Arial" w:cs="Arial"/>
                <w:kern w:val="1"/>
                <w:sz w:val="20"/>
                <w:szCs w:val="20"/>
                <w:highlight w:val="yellow"/>
                <w:lang w:val="pt-BR"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7DD86E7F" w14:textId="77777777" w:rsidR="00251963" w:rsidRPr="006F65F3" w:rsidRDefault="00251963" w:rsidP="00A53EA0">
            <w:pPr>
              <w:widowControl w:val="0"/>
              <w:suppressAutoHyphens/>
              <w:spacing w:before="60" w:after="60"/>
              <w:textAlignment w:val="baseline"/>
              <w:rPr>
                <w:rFonts w:ascii="Arial" w:eastAsia="SimSun" w:hAnsi="Arial" w:cs="Arial"/>
                <w:kern w:val="1"/>
                <w:sz w:val="20"/>
                <w:szCs w:val="20"/>
                <w:highlight w:val="yellow"/>
                <w:lang w:eastAsia="ar-SA"/>
              </w:rPr>
            </w:pPr>
            <w:r w:rsidRPr="006F65F3">
              <w:rPr>
                <w:rFonts w:ascii="Arial" w:eastAsia="SimSun" w:hAnsi="Arial" w:cs="Arial"/>
                <w:kern w:val="1"/>
                <w:sz w:val="20"/>
                <w:szCs w:val="20"/>
                <w:highlight w:val="yellow"/>
                <w:lang w:eastAsia="ar-SA"/>
              </w:rPr>
              <w:t>Según indicación clínica</w:t>
            </w:r>
          </w:p>
        </w:tc>
      </w:tr>
      <w:tr w:rsidR="00251963" w:rsidRPr="003F3B0A" w14:paraId="0BA45FFF" w14:textId="77777777" w:rsidTr="00A53EA0">
        <w:trPr>
          <w:trHeight w:val="417"/>
        </w:trPr>
        <w:tc>
          <w:tcPr>
            <w:tcW w:w="3528" w:type="dxa"/>
            <w:tcBorders>
              <w:top w:val="single" w:sz="4" w:space="0" w:color="000080"/>
              <w:left w:val="single" w:sz="4" w:space="0" w:color="000080"/>
              <w:bottom w:val="single" w:sz="4" w:space="0" w:color="000080"/>
            </w:tcBorders>
          </w:tcPr>
          <w:p w14:paraId="5F7BD3A9" w14:textId="77777777" w:rsidR="00251963" w:rsidRPr="006F65F3" w:rsidRDefault="00251963" w:rsidP="00A53EA0">
            <w:pPr>
              <w:suppressAutoHyphens/>
              <w:spacing w:before="60" w:after="60"/>
              <w:jc w:val="both"/>
              <w:textAlignment w:val="baseline"/>
              <w:rPr>
                <w:rFonts w:ascii="Arial" w:eastAsia="Arial Unicode MS" w:hAnsi="Arial" w:cs="Arial"/>
                <w:kern w:val="1"/>
                <w:sz w:val="20"/>
                <w:szCs w:val="20"/>
                <w:highlight w:val="yellow"/>
                <w:lang w:eastAsia="ar-SA"/>
              </w:rPr>
            </w:pPr>
            <w:r w:rsidRPr="006F65F3">
              <w:rPr>
                <w:rFonts w:ascii="Arial" w:eastAsia="Arial Unicode MS" w:hAnsi="Arial" w:cs="Arial"/>
                <w:kern w:val="1"/>
                <w:sz w:val="20"/>
                <w:szCs w:val="20"/>
                <w:highlight w:val="yellow"/>
                <w:lang w:eastAsia="ar-SA"/>
              </w:rPr>
              <w:t>Viremia de CMV</w:t>
            </w:r>
            <w:r>
              <w:rPr>
                <w:rFonts w:ascii="Arial" w:eastAsia="Arial Unicode MS" w:hAnsi="Arial" w:cs="Arial"/>
                <w:kern w:val="1"/>
                <w:sz w:val="20"/>
                <w:szCs w:val="20"/>
                <w:highlight w:val="yellow"/>
                <w:vertAlign w:val="superscript"/>
                <w:lang w:eastAsia="ar-SA"/>
              </w:rPr>
              <w:t>28</w:t>
            </w:r>
          </w:p>
        </w:tc>
        <w:tc>
          <w:tcPr>
            <w:tcW w:w="1285" w:type="dxa"/>
            <w:tcBorders>
              <w:top w:val="single" w:sz="4" w:space="0" w:color="000080"/>
              <w:left w:val="single" w:sz="4" w:space="0" w:color="000080"/>
              <w:bottom w:val="single" w:sz="4" w:space="0" w:color="000080"/>
            </w:tcBorders>
          </w:tcPr>
          <w:p w14:paraId="2C73E76B" w14:textId="77777777" w:rsidR="00251963" w:rsidRPr="006F65F3" w:rsidRDefault="00251963" w:rsidP="00A53EA0">
            <w:pPr>
              <w:suppressAutoHyphens/>
              <w:spacing w:before="60" w:after="60"/>
              <w:jc w:val="center"/>
              <w:textAlignment w:val="baseline"/>
              <w:rPr>
                <w:rFonts w:ascii="Arial" w:eastAsia="Arial Unicode MS" w:hAnsi="Arial" w:cs="Arial"/>
                <w:kern w:val="1"/>
                <w:sz w:val="20"/>
                <w:szCs w:val="20"/>
                <w:highlight w:val="yellow"/>
                <w:lang w:val="pt-BR" w:eastAsia="ar-SA"/>
              </w:rPr>
            </w:pPr>
            <w:r w:rsidRPr="006F65F3">
              <w:rPr>
                <w:rFonts w:ascii="Arial" w:eastAsia="Arial Unicode MS" w:hAnsi="Arial" w:cs="Arial"/>
                <w:kern w:val="1"/>
                <w:sz w:val="20"/>
                <w:szCs w:val="20"/>
                <w:highlight w:val="yellow"/>
                <w:lang w:val="pt-BR"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7581B25C" w14:textId="77777777" w:rsidR="00251963" w:rsidRPr="006F65F3" w:rsidRDefault="00251963" w:rsidP="00A53EA0">
            <w:pPr>
              <w:widowControl w:val="0"/>
              <w:suppressAutoHyphens/>
              <w:spacing w:before="60" w:after="60"/>
              <w:textAlignment w:val="baseline"/>
              <w:rPr>
                <w:rFonts w:ascii="Arial" w:eastAsia="SimSun" w:hAnsi="Arial" w:cs="Arial"/>
                <w:kern w:val="1"/>
                <w:sz w:val="20"/>
                <w:szCs w:val="20"/>
                <w:highlight w:val="yellow"/>
                <w:lang w:eastAsia="ar-SA"/>
              </w:rPr>
            </w:pPr>
            <w:r w:rsidRPr="006F65F3">
              <w:rPr>
                <w:rFonts w:ascii="Arial" w:eastAsia="SimSun" w:hAnsi="Arial" w:cs="Arial"/>
                <w:kern w:val="1"/>
                <w:sz w:val="20"/>
                <w:szCs w:val="20"/>
                <w:highlight w:val="yellow"/>
                <w:lang w:eastAsia="ar-SA"/>
              </w:rPr>
              <w:t>Según indicación clínica</w:t>
            </w:r>
          </w:p>
        </w:tc>
      </w:tr>
      <w:tr w:rsidR="00251963" w:rsidRPr="003F3B0A" w14:paraId="4ACBF9EC" w14:textId="77777777" w:rsidTr="00A53EA0">
        <w:trPr>
          <w:trHeight w:val="417"/>
        </w:trPr>
        <w:tc>
          <w:tcPr>
            <w:tcW w:w="3528" w:type="dxa"/>
            <w:tcBorders>
              <w:top w:val="single" w:sz="4" w:space="0" w:color="000080"/>
              <w:left w:val="single" w:sz="4" w:space="0" w:color="000080"/>
              <w:bottom w:val="single" w:sz="4" w:space="0" w:color="000080"/>
            </w:tcBorders>
          </w:tcPr>
          <w:p w14:paraId="3C0374C1" w14:textId="77777777" w:rsidR="00251963" w:rsidRPr="006F65F3" w:rsidRDefault="00251963" w:rsidP="00A53EA0">
            <w:pPr>
              <w:suppressAutoHyphens/>
              <w:spacing w:before="60" w:after="60"/>
              <w:jc w:val="both"/>
              <w:textAlignment w:val="baseline"/>
              <w:rPr>
                <w:rFonts w:ascii="Arial" w:eastAsia="Arial Unicode MS" w:hAnsi="Arial" w:cs="Arial"/>
                <w:kern w:val="1"/>
                <w:sz w:val="20"/>
                <w:szCs w:val="20"/>
                <w:highlight w:val="yellow"/>
                <w:lang w:eastAsia="ar-SA"/>
              </w:rPr>
            </w:pPr>
            <w:r>
              <w:rPr>
                <w:rFonts w:ascii="Arial" w:eastAsia="Arial Unicode MS" w:hAnsi="Arial" w:cs="Arial"/>
                <w:kern w:val="1"/>
                <w:sz w:val="20"/>
                <w:szCs w:val="20"/>
                <w:highlight w:val="yellow"/>
                <w:lang w:eastAsia="ar-SA"/>
              </w:rPr>
              <w:t>Antígeno criptocócico en suero</w:t>
            </w:r>
            <w:r>
              <w:rPr>
                <w:rFonts w:ascii="Arial" w:eastAsia="Arial Unicode MS" w:hAnsi="Arial" w:cs="Arial"/>
                <w:kern w:val="1"/>
                <w:sz w:val="20"/>
                <w:szCs w:val="20"/>
                <w:highlight w:val="yellow"/>
                <w:vertAlign w:val="superscript"/>
                <w:lang w:eastAsia="ar-SA"/>
              </w:rPr>
              <w:t>29</w:t>
            </w:r>
          </w:p>
        </w:tc>
        <w:tc>
          <w:tcPr>
            <w:tcW w:w="1285" w:type="dxa"/>
            <w:tcBorders>
              <w:top w:val="single" w:sz="4" w:space="0" w:color="000080"/>
              <w:left w:val="single" w:sz="4" w:space="0" w:color="000080"/>
              <w:bottom w:val="single" w:sz="4" w:space="0" w:color="000080"/>
            </w:tcBorders>
          </w:tcPr>
          <w:p w14:paraId="6BA2F603" w14:textId="77777777" w:rsidR="00251963" w:rsidRPr="006F65F3" w:rsidRDefault="00251963" w:rsidP="00A53EA0">
            <w:pPr>
              <w:suppressAutoHyphens/>
              <w:spacing w:before="60" w:after="60"/>
              <w:jc w:val="center"/>
              <w:textAlignment w:val="baseline"/>
              <w:rPr>
                <w:rFonts w:ascii="Arial" w:eastAsia="Arial Unicode MS" w:hAnsi="Arial" w:cs="Arial"/>
                <w:kern w:val="1"/>
                <w:sz w:val="20"/>
                <w:szCs w:val="20"/>
                <w:highlight w:val="yellow"/>
                <w:lang w:val="pt-BR" w:eastAsia="ar-SA"/>
              </w:rPr>
            </w:pPr>
            <w:r w:rsidRPr="006F65F3">
              <w:rPr>
                <w:rFonts w:ascii="Arial" w:eastAsia="Arial Unicode MS" w:hAnsi="Arial" w:cs="Arial"/>
                <w:kern w:val="1"/>
                <w:sz w:val="20"/>
                <w:szCs w:val="20"/>
                <w:highlight w:val="yellow"/>
                <w:lang w:val="pt-BR" w:eastAsia="ar-SA"/>
              </w:rPr>
              <w:t>Optativo</w:t>
            </w:r>
          </w:p>
        </w:tc>
        <w:tc>
          <w:tcPr>
            <w:tcW w:w="3762" w:type="dxa"/>
            <w:tcBorders>
              <w:top w:val="single" w:sz="4" w:space="0" w:color="000080"/>
              <w:left w:val="single" w:sz="4" w:space="0" w:color="000080"/>
              <w:bottom w:val="single" w:sz="4" w:space="0" w:color="000080"/>
              <w:right w:val="single" w:sz="4" w:space="0" w:color="000080"/>
            </w:tcBorders>
          </w:tcPr>
          <w:p w14:paraId="65C4D27D" w14:textId="77777777" w:rsidR="00251963" w:rsidRPr="006F65F3" w:rsidRDefault="00251963" w:rsidP="00A53EA0">
            <w:pPr>
              <w:widowControl w:val="0"/>
              <w:suppressAutoHyphens/>
              <w:spacing w:before="60" w:after="60"/>
              <w:textAlignment w:val="baseline"/>
              <w:rPr>
                <w:rFonts w:ascii="Arial" w:eastAsia="SimSun" w:hAnsi="Arial" w:cs="Arial"/>
                <w:kern w:val="1"/>
                <w:sz w:val="20"/>
                <w:szCs w:val="20"/>
                <w:highlight w:val="yellow"/>
                <w:lang w:eastAsia="ar-SA"/>
              </w:rPr>
            </w:pPr>
          </w:p>
        </w:tc>
      </w:tr>
    </w:tbl>
    <w:p w14:paraId="0E3FBDE3"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p>
    <w:p w14:paraId="3E645733"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Calibri"/>
          <w:kern w:val="1"/>
          <w:sz w:val="18"/>
          <w:szCs w:val="18"/>
          <w:lang w:eastAsia="ar-SA"/>
        </w:rPr>
        <w:t>Nota: estas recomendaciones deben considerarse orientativas y pueden ser modificadas de acuerdo con el juicio clínico de los profesionales responsables de la atención al paciente</w:t>
      </w:r>
    </w:p>
    <w:p w14:paraId="2A722009" w14:textId="77777777" w:rsidR="00251963" w:rsidRPr="003F3B0A" w:rsidRDefault="00251963" w:rsidP="00251963">
      <w:pPr>
        <w:suppressAutoHyphens/>
        <w:spacing w:before="60" w:after="60"/>
        <w:jc w:val="both"/>
        <w:textAlignment w:val="baseline"/>
        <w:rPr>
          <w:rFonts w:ascii="Arial" w:eastAsia="Arial Unicode MS" w:hAnsi="Arial" w:cs="Calibri"/>
          <w:strike/>
          <w:kern w:val="1"/>
          <w:sz w:val="18"/>
          <w:szCs w:val="18"/>
          <w:lang w:eastAsia="ar-SA"/>
        </w:rPr>
      </w:pPr>
      <w:r w:rsidRPr="003F3B0A">
        <w:rPr>
          <w:rFonts w:ascii="Arial" w:eastAsia="Arial Unicode MS" w:hAnsi="Arial" w:cs="Calibri"/>
          <w:kern w:val="1"/>
          <w:sz w:val="18"/>
          <w:szCs w:val="18"/>
          <w:vertAlign w:val="superscript"/>
          <w:lang w:eastAsia="ar-SA"/>
        </w:rPr>
        <w:t xml:space="preserve">1 </w:t>
      </w:r>
      <w:r w:rsidRPr="003F3B0A">
        <w:rPr>
          <w:rFonts w:ascii="Arial" w:eastAsia="Arial Unicode MS" w:hAnsi="Arial" w:cs="Calibri"/>
          <w:kern w:val="1"/>
          <w:sz w:val="18"/>
          <w:szCs w:val="18"/>
          <w:lang w:eastAsia="ar-SA"/>
        </w:rPr>
        <w:t xml:space="preserve">Debe incluir historia vacunal, uso de fármacos, hábitos sexuales y consumo de tóxicos. </w:t>
      </w:r>
    </w:p>
    <w:p w14:paraId="7743D14F"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Calibri"/>
          <w:kern w:val="1"/>
          <w:sz w:val="18"/>
          <w:szCs w:val="18"/>
          <w:vertAlign w:val="superscript"/>
          <w:lang w:eastAsia="ar-SA"/>
        </w:rPr>
        <w:t>2</w:t>
      </w:r>
      <w:r w:rsidRPr="003F3B0A">
        <w:rPr>
          <w:rFonts w:ascii="Arial" w:eastAsia="Arial Unicode MS" w:hAnsi="Arial" w:cs="Calibri"/>
          <w:kern w:val="1"/>
          <w:sz w:val="18"/>
          <w:szCs w:val="18"/>
          <w:lang w:eastAsia="ar-SA"/>
        </w:rPr>
        <w:t xml:space="preserve"> O siempre que el paciente lo requiera</w:t>
      </w:r>
    </w:p>
    <w:p w14:paraId="7FC1ADF2"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shd w:val="clear" w:color="auto" w:fill="FFFFFF"/>
          <w:lang w:eastAsia="ar-SA"/>
        </w:rPr>
      </w:pPr>
      <w:r w:rsidRPr="003F3B0A">
        <w:rPr>
          <w:rFonts w:ascii="Arial" w:eastAsia="Arial Unicode MS" w:hAnsi="Arial" w:cs="Calibri"/>
          <w:kern w:val="1"/>
          <w:sz w:val="18"/>
          <w:szCs w:val="18"/>
          <w:vertAlign w:val="superscript"/>
          <w:lang w:eastAsia="ar-SA"/>
        </w:rPr>
        <w:t>3</w:t>
      </w:r>
      <w:r w:rsidRPr="003F3B0A">
        <w:rPr>
          <w:rFonts w:ascii="Arial" w:eastAsia="Arial Unicode MS" w:hAnsi="Arial" w:cs="Calibri"/>
          <w:kern w:val="1"/>
          <w:sz w:val="18"/>
          <w:szCs w:val="18"/>
          <w:lang w:eastAsia="ar-SA"/>
        </w:rPr>
        <w:t xml:space="preserve"> Debe incluir medida de la presión arterial, peso, talla y medidas antropométricas </w:t>
      </w:r>
      <w:r w:rsidRPr="003F3B0A">
        <w:rPr>
          <w:rFonts w:ascii="Arial" w:eastAsia="Arial Unicode MS" w:hAnsi="Arial" w:cs="Calibri"/>
          <w:kern w:val="1"/>
          <w:sz w:val="18"/>
          <w:szCs w:val="18"/>
          <w:shd w:val="clear" w:color="auto" w:fill="FFFFFF"/>
          <w:lang w:eastAsia="ar-SA"/>
        </w:rPr>
        <w:t>(perímetro de cintura).</w:t>
      </w:r>
    </w:p>
    <w:p w14:paraId="443B0CA2"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vertAlign w:val="superscript"/>
          <w:lang w:eastAsia="ar-SA"/>
        </w:rPr>
      </w:pPr>
      <w:r w:rsidRPr="003F3B0A">
        <w:rPr>
          <w:rFonts w:ascii="Arial" w:eastAsia="Arial Unicode MS" w:hAnsi="Arial" w:cs="Calibri"/>
          <w:kern w:val="1"/>
          <w:sz w:val="18"/>
          <w:szCs w:val="18"/>
          <w:vertAlign w:val="superscript"/>
          <w:lang w:eastAsia="ar-SA"/>
        </w:rPr>
        <w:t xml:space="preserve">4 </w:t>
      </w:r>
      <w:r w:rsidRPr="003F3B0A">
        <w:rPr>
          <w:rFonts w:ascii="Arial" w:eastAsia="Arial Unicode MS" w:hAnsi="Arial" w:cs="Calibri"/>
          <w:kern w:val="1"/>
          <w:sz w:val="18"/>
          <w:szCs w:val="18"/>
          <w:lang w:eastAsia="ar-SA"/>
        </w:rPr>
        <w:t>Se puede considerar determinar la CVP y los linfocitos T CD4+ con menos frecuencia (cada 6-12 meses) en pacientes clínicamente estables, con CVP repetidamente suprimida y cifras de linfocitos T CD4+ repetidamente &gt; 300 células/μL (según criterio médico)</w:t>
      </w:r>
      <w:r>
        <w:rPr>
          <w:rFonts w:ascii="Arial" w:eastAsia="Arial Unicode MS" w:hAnsi="Arial" w:cs="Calibri"/>
          <w:kern w:val="1"/>
          <w:sz w:val="18"/>
          <w:szCs w:val="18"/>
          <w:lang w:eastAsia="ar-SA"/>
        </w:rPr>
        <w:t xml:space="preserve">. Consultar el </w:t>
      </w:r>
      <w:r w:rsidRPr="00063214">
        <w:rPr>
          <w:rFonts w:ascii="Arial" w:eastAsia="Arial Unicode MS" w:hAnsi="Arial" w:cs="Calibri"/>
          <w:kern w:val="1"/>
          <w:sz w:val="18"/>
          <w:szCs w:val="18"/>
          <w:lang w:eastAsia="ar-SA"/>
        </w:rPr>
        <w:t>Documento de consenso de GESIDA sobre control</w:t>
      </w:r>
      <w:r>
        <w:rPr>
          <w:rFonts w:ascii="Arial" w:eastAsia="Arial Unicode MS" w:hAnsi="Arial" w:cs="Calibri"/>
          <w:kern w:val="1"/>
          <w:sz w:val="18"/>
          <w:szCs w:val="18"/>
          <w:lang w:eastAsia="ar-SA"/>
        </w:rPr>
        <w:t xml:space="preserve"> </w:t>
      </w:r>
      <w:r w:rsidRPr="00063214">
        <w:rPr>
          <w:rFonts w:ascii="Arial" w:eastAsia="Arial Unicode MS" w:hAnsi="Arial" w:cs="Calibri"/>
          <w:kern w:val="1"/>
          <w:sz w:val="18"/>
          <w:szCs w:val="18"/>
          <w:lang w:eastAsia="ar-SA"/>
        </w:rPr>
        <w:t>y monitorización de la infección por el VIH</w:t>
      </w:r>
      <w:r>
        <w:rPr>
          <w:rFonts w:ascii="Arial" w:eastAsia="Arial Unicode MS" w:hAnsi="Arial" w:cs="Calibri"/>
          <w:kern w:val="1"/>
          <w:sz w:val="18"/>
          <w:szCs w:val="18"/>
          <w:lang w:eastAsia="ar-SA"/>
        </w:rPr>
        <w:t xml:space="preserve"> de 2018.</w:t>
      </w:r>
    </w:p>
    <w:p w14:paraId="28607619"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Pr>
          <w:rFonts w:ascii="Arial" w:eastAsia="Arial Unicode MS" w:hAnsi="Arial" w:cs="Calibri"/>
          <w:kern w:val="1"/>
          <w:sz w:val="18"/>
          <w:szCs w:val="18"/>
          <w:vertAlign w:val="superscript"/>
          <w:lang w:eastAsia="ar-SA"/>
        </w:rPr>
        <w:t>5</w:t>
      </w:r>
      <w:r w:rsidRPr="003F3B0A">
        <w:rPr>
          <w:rFonts w:ascii="Arial" w:eastAsia="Arial Unicode MS" w:hAnsi="Arial" w:cs="Calibri"/>
          <w:kern w:val="1"/>
          <w:sz w:val="18"/>
          <w:szCs w:val="18"/>
          <w:lang w:eastAsia="ar-SA"/>
        </w:rPr>
        <w:t xml:space="preserve"> Debe incluir la transcriptasa inversa y la proteasa; la integrasa sólo </w:t>
      </w:r>
      <w:r w:rsidRPr="006A2233">
        <w:rPr>
          <w:rFonts w:ascii="Arial" w:eastAsia="Arial Unicode MS" w:hAnsi="Arial" w:cs="Calibri"/>
          <w:kern w:val="1"/>
          <w:sz w:val="18"/>
          <w:szCs w:val="18"/>
          <w:highlight w:val="yellow"/>
          <w:lang w:eastAsia="ar-SA"/>
        </w:rPr>
        <w:t xml:space="preserve">si </w:t>
      </w:r>
      <w:r w:rsidRPr="006C5154">
        <w:rPr>
          <w:rFonts w:ascii="Arial" w:eastAsia="Arial Unicode MS" w:hAnsi="Arial" w:cs="Calibri"/>
          <w:kern w:val="1"/>
          <w:sz w:val="18"/>
          <w:szCs w:val="18"/>
          <w:highlight w:val="yellow"/>
          <w:lang w:eastAsia="ar-SA"/>
        </w:rPr>
        <w:t>hay evidencia de transmisión a partir de un paciente tratado con INI</w:t>
      </w:r>
      <w:r>
        <w:rPr>
          <w:rFonts w:ascii="Arial" w:eastAsia="Arial Unicode MS" w:hAnsi="Arial" w:cs="Calibri"/>
          <w:kern w:val="1"/>
          <w:sz w:val="18"/>
          <w:szCs w:val="18"/>
          <w:highlight w:val="yellow"/>
          <w:lang w:eastAsia="ar-SA"/>
        </w:rPr>
        <w:t xml:space="preserve"> o</w:t>
      </w:r>
      <w:r w:rsidRPr="003F3B0A">
        <w:rPr>
          <w:rFonts w:ascii="Arial" w:eastAsia="Arial Unicode MS" w:hAnsi="Arial" w:cs="Calibri"/>
          <w:kern w:val="1"/>
          <w:sz w:val="18"/>
          <w:szCs w:val="18"/>
          <w:lang w:eastAsia="ar-SA"/>
        </w:rPr>
        <w:t xml:space="preserve"> el paciente fracasa durante un régimen que incluya esta famil</w:t>
      </w:r>
      <w:r>
        <w:rPr>
          <w:rFonts w:ascii="Arial" w:eastAsia="Arial Unicode MS" w:hAnsi="Arial" w:cs="Calibri"/>
          <w:kern w:val="1"/>
          <w:sz w:val="18"/>
          <w:szCs w:val="18"/>
          <w:lang w:eastAsia="ar-SA"/>
        </w:rPr>
        <w:t>ia</w:t>
      </w:r>
    </w:p>
    <w:p w14:paraId="179F6F5B"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vertAlign w:val="superscript"/>
          <w:lang w:eastAsia="ar-SA"/>
        </w:rPr>
      </w:pPr>
      <w:r>
        <w:rPr>
          <w:rFonts w:ascii="Arial" w:eastAsia="Arial Unicode MS" w:hAnsi="Arial" w:cs="Calibri"/>
          <w:kern w:val="1"/>
          <w:sz w:val="18"/>
          <w:szCs w:val="18"/>
          <w:vertAlign w:val="superscript"/>
          <w:lang w:eastAsia="ar-SA"/>
        </w:rPr>
        <w:t>6</w:t>
      </w:r>
      <w:r w:rsidRPr="003F3B0A">
        <w:rPr>
          <w:rFonts w:ascii="Arial" w:eastAsia="Arial Unicode MS" w:hAnsi="Arial" w:cs="Calibri"/>
          <w:kern w:val="1"/>
          <w:sz w:val="18"/>
          <w:szCs w:val="18"/>
          <w:vertAlign w:val="superscript"/>
          <w:lang w:eastAsia="ar-SA"/>
        </w:rPr>
        <w:t xml:space="preserve"> </w:t>
      </w:r>
      <w:r w:rsidRPr="003F3B0A">
        <w:rPr>
          <w:rFonts w:ascii="Arial" w:eastAsia="Arial Unicode MS" w:hAnsi="Arial" w:cs="Calibri"/>
          <w:kern w:val="1"/>
          <w:sz w:val="18"/>
          <w:szCs w:val="18"/>
          <w:lang w:eastAsia="ar-SA"/>
        </w:rPr>
        <w:t>Realizar solo si se prevé utilizar MVC en el esquema terapéutico</w:t>
      </w:r>
    </w:p>
    <w:p w14:paraId="5A7FBA78"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Pr>
          <w:rFonts w:ascii="Arial" w:eastAsia="Arial Unicode MS" w:hAnsi="Arial" w:cs="Calibri"/>
          <w:kern w:val="1"/>
          <w:sz w:val="18"/>
          <w:szCs w:val="18"/>
          <w:vertAlign w:val="superscript"/>
          <w:lang w:eastAsia="ar-SA"/>
        </w:rPr>
        <w:lastRenderedPageBreak/>
        <w:t>7</w:t>
      </w:r>
      <w:r w:rsidRPr="003F3B0A">
        <w:rPr>
          <w:rFonts w:ascii="Arial" w:eastAsia="Arial Unicode MS" w:hAnsi="Arial" w:cs="Calibri"/>
          <w:kern w:val="1"/>
          <w:sz w:val="18"/>
          <w:szCs w:val="18"/>
          <w:lang w:eastAsia="ar-SA"/>
        </w:rPr>
        <w:t xml:space="preserve"> Si se usa </w:t>
      </w:r>
      <w:r w:rsidRPr="003F3B0A">
        <w:rPr>
          <w:rFonts w:ascii="Arial" w:hAnsi="Arial"/>
          <w:kern w:val="1"/>
          <w:sz w:val="18"/>
          <w:szCs w:val="18"/>
          <w:lang w:eastAsia="ar-SA"/>
        </w:rPr>
        <w:t>nefropatía subyacente, TDF o fármacos nefrotóxicos</w:t>
      </w:r>
      <w:r w:rsidRPr="003F3B0A">
        <w:rPr>
          <w:rFonts w:ascii="Arial" w:eastAsia="Arial Unicode MS" w:hAnsi="Arial" w:cs="Calibri"/>
          <w:kern w:val="1"/>
          <w:sz w:val="18"/>
          <w:szCs w:val="18"/>
          <w:shd w:val="clear" w:color="auto" w:fill="FFFFFF"/>
          <w:lang w:eastAsia="ar-SA"/>
        </w:rPr>
        <w:t xml:space="preserve">, realizar a 1 y 3 meses de iniciado el tratamiento y posteriormente cada 6 meses. </w:t>
      </w:r>
      <w:r w:rsidRPr="003F3B0A">
        <w:rPr>
          <w:rFonts w:ascii="Arial" w:hAnsi="Arial" w:cs="Calibri"/>
          <w:kern w:val="1"/>
          <w:sz w:val="18"/>
          <w:szCs w:val="18"/>
          <w:lang w:eastAsia="ar-SA"/>
        </w:rPr>
        <w:t xml:space="preserve">Si diabetes mellitus o hipertensión arterial, determinar además </w:t>
      </w:r>
      <w:r w:rsidRPr="003F3B0A">
        <w:rPr>
          <w:rFonts w:ascii="Arial" w:hAnsi="Arial" w:cs="Calibri"/>
          <w:kern w:val="1"/>
          <w:sz w:val="18"/>
          <w:szCs w:val="18"/>
          <w:shd w:val="clear" w:color="auto" w:fill="FFFFFF"/>
          <w:lang w:eastAsia="ar-SA"/>
        </w:rPr>
        <w:t>micro</w:t>
      </w:r>
      <w:r w:rsidRPr="003F3B0A">
        <w:rPr>
          <w:rFonts w:ascii="Arial" w:hAnsi="Arial" w:cs="Calibri"/>
          <w:kern w:val="1"/>
          <w:sz w:val="18"/>
          <w:szCs w:val="18"/>
          <w:lang w:eastAsia="ar-SA"/>
        </w:rPr>
        <w:t>albuminuria y cociente albúmina/creatinina (CAC) en muestra aislada de orina</w:t>
      </w:r>
    </w:p>
    <w:p w14:paraId="71216136" w14:textId="77777777" w:rsidR="00251963" w:rsidRPr="003F3B0A" w:rsidRDefault="00251963" w:rsidP="00251963">
      <w:pPr>
        <w:spacing w:before="60" w:after="60"/>
        <w:jc w:val="both"/>
        <w:rPr>
          <w:rFonts w:ascii="Arial" w:eastAsia="Arial Unicode MS" w:hAnsi="Arial" w:cs="Arial"/>
          <w:sz w:val="18"/>
          <w:szCs w:val="18"/>
        </w:rPr>
      </w:pPr>
      <w:r>
        <w:rPr>
          <w:rFonts w:ascii="Arial" w:hAnsi="Arial" w:cs="Arial"/>
          <w:sz w:val="18"/>
          <w:szCs w:val="18"/>
          <w:vertAlign w:val="superscript"/>
        </w:rPr>
        <w:t>8</w:t>
      </w:r>
      <w:r w:rsidRPr="003F3B0A">
        <w:rPr>
          <w:rFonts w:ascii="Arial" w:eastAsia="Arial Unicode MS" w:hAnsi="Arial" w:cs="Arial"/>
          <w:sz w:val="18"/>
          <w:szCs w:val="18"/>
        </w:rPr>
        <w:t>En caso de iniciar profilaxis con dapsona o sulfonamida</w:t>
      </w:r>
    </w:p>
    <w:p w14:paraId="289B49BB" w14:textId="77777777" w:rsidR="00251963" w:rsidRPr="003F3B0A" w:rsidRDefault="00251963" w:rsidP="00251963">
      <w:pPr>
        <w:shd w:val="clear" w:color="auto" w:fill="FFFFFF"/>
        <w:suppressAutoHyphens/>
        <w:spacing w:before="60" w:after="60"/>
        <w:jc w:val="both"/>
        <w:textAlignment w:val="baseline"/>
        <w:rPr>
          <w:rFonts w:ascii="Arial" w:eastAsia="Arial Unicode MS" w:hAnsi="Arial" w:cs="Calibri"/>
          <w:color w:val="0000FF"/>
          <w:kern w:val="1"/>
          <w:sz w:val="18"/>
          <w:szCs w:val="18"/>
          <w:shd w:val="clear" w:color="auto" w:fill="FFFFFF"/>
          <w:lang w:eastAsia="ar-SA"/>
        </w:rPr>
      </w:pPr>
      <w:r>
        <w:rPr>
          <w:rFonts w:ascii="Arial" w:eastAsia="Arial Unicode MS" w:hAnsi="Arial" w:cs="Calibri"/>
          <w:kern w:val="1"/>
          <w:sz w:val="18"/>
          <w:szCs w:val="18"/>
          <w:shd w:val="clear" w:color="auto" w:fill="FFFFFF"/>
          <w:vertAlign w:val="superscript"/>
          <w:lang w:eastAsia="ar-SA"/>
        </w:rPr>
        <w:t>9</w:t>
      </w:r>
      <w:r w:rsidRPr="003F3B0A">
        <w:rPr>
          <w:rFonts w:ascii="Arial" w:eastAsia="Arial Unicode MS" w:hAnsi="Arial" w:cs="Calibri"/>
          <w:kern w:val="1"/>
          <w:sz w:val="18"/>
          <w:szCs w:val="18"/>
          <w:shd w:val="clear" w:color="auto" w:fill="FFFFFF"/>
          <w:lang w:eastAsia="ar-SA"/>
        </w:rPr>
        <w:t>Inicialmente test treponémico y no treponémico, posteriormente únicamente no treponémico si el treponémico es positivo</w:t>
      </w:r>
      <w:r w:rsidRPr="003F3B0A">
        <w:rPr>
          <w:rFonts w:ascii="Arial" w:eastAsia="Arial Unicode MS" w:hAnsi="Arial" w:cs="Calibri"/>
          <w:color w:val="0000FF"/>
          <w:kern w:val="1"/>
          <w:sz w:val="18"/>
          <w:szCs w:val="18"/>
          <w:shd w:val="clear" w:color="auto" w:fill="FFFFFF"/>
          <w:lang w:eastAsia="ar-SA"/>
        </w:rPr>
        <w:t xml:space="preserve">. </w:t>
      </w:r>
    </w:p>
    <w:p w14:paraId="6868612D" w14:textId="77777777" w:rsidR="00251963" w:rsidRPr="003F3B0A" w:rsidRDefault="00251963" w:rsidP="00251963">
      <w:pPr>
        <w:suppressAutoHyphens/>
        <w:spacing w:before="60" w:after="60"/>
        <w:jc w:val="both"/>
        <w:textAlignment w:val="baseline"/>
        <w:rPr>
          <w:rFonts w:ascii="Arial" w:hAnsi="Arial" w:cs="Calibri"/>
          <w:kern w:val="1"/>
          <w:sz w:val="18"/>
          <w:szCs w:val="18"/>
          <w:lang w:eastAsia="ar-SA"/>
        </w:rPr>
      </w:pPr>
      <w:r w:rsidRPr="003F3B0A">
        <w:rPr>
          <w:rFonts w:ascii="Arial" w:eastAsia="Arial Unicode MS" w:hAnsi="Arial" w:cs="Calibri"/>
          <w:kern w:val="1"/>
          <w:sz w:val="18"/>
          <w:szCs w:val="18"/>
          <w:shd w:val="clear" w:color="auto" w:fill="FFFFFF"/>
          <w:vertAlign w:val="superscript"/>
          <w:lang w:eastAsia="ar-SA"/>
        </w:rPr>
        <w:t>1</w:t>
      </w:r>
      <w:r>
        <w:rPr>
          <w:rFonts w:ascii="Arial" w:eastAsia="Arial Unicode MS" w:hAnsi="Arial" w:cs="Calibri"/>
          <w:kern w:val="1"/>
          <w:sz w:val="18"/>
          <w:szCs w:val="18"/>
          <w:shd w:val="clear" w:color="auto" w:fill="FFFFFF"/>
          <w:vertAlign w:val="superscript"/>
          <w:lang w:eastAsia="ar-SA"/>
        </w:rPr>
        <w:t>0</w:t>
      </w:r>
      <w:r w:rsidRPr="003F3B0A">
        <w:rPr>
          <w:rFonts w:ascii="Arial" w:eastAsia="Arial Unicode MS" w:hAnsi="Arial" w:cs="Arial"/>
          <w:i/>
          <w:kern w:val="1"/>
          <w:sz w:val="18"/>
          <w:szCs w:val="18"/>
          <w:shd w:val="clear" w:color="auto" w:fill="FFFFFF"/>
          <w:lang w:val="pt-BR" w:eastAsia="ar-SA"/>
        </w:rPr>
        <w:t xml:space="preserve">Trypanosoma y Strongyloides </w:t>
      </w:r>
      <w:r w:rsidRPr="003F3B0A">
        <w:rPr>
          <w:rFonts w:ascii="Arial" w:eastAsia="Arial Unicode MS" w:hAnsi="Arial" w:cs="Calibri"/>
          <w:kern w:val="1"/>
          <w:sz w:val="18"/>
          <w:szCs w:val="18"/>
          <w:shd w:val="clear" w:color="auto" w:fill="FFFFFF"/>
          <w:lang w:eastAsia="ar-SA"/>
        </w:rPr>
        <w:t>e</w:t>
      </w:r>
      <w:r w:rsidRPr="003F3B0A">
        <w:rPr>
          <w:rFonts w:ascii="Arial" w:hAnsi="Arial" w:cs="Calibri"/>
          <w:kern w:val="1"/>
          <w:sz w:val="18"/>
          <w:szCs w:val="18"/>
          <w:shd w:val="clear" w:color="auto" w:fill="FFFFFF"/>
          <w:lang w:eastAsia="ar-SA"/>
        </w:rPr>
        <w:t>n personas procedentes de áreas con alta prevalencia de infestación, sobre todo si se</w:t>
      </w:r>
      <w:r w:rsidRPr="003F3B0A">
        <w:rPr>
          <w:rFonts w:ascii="Arial" w:hAnsi="Arial" w:cs="Calibri"/>
          <w:kern w:val="1"/>
          <w:sz w:val="18"/>
          <w:szCs w:val="18"/>
          <w:lang w:eastAsia="ar-SA"/>
        </w:rPr>
        <w:t xml:space="preserve"> sospecha la misma (p.e. eosinofilia en la estrogiloidosis). </w:t>
      </w:r>
      <w:r w:rsidRPr="003F3B0A">
        <w:rPr>
          <w:rFonts w:ascii="Arial" w:hAnsi="Arial"/>
          <w:color w:val="000000" w:themeColor="text1"/>
          <w:sz w:val="18"/>
          <w:szCs w:val="18"/>
        </w:rPr>
        <w:t>En las personas inmigrantes se debe considerar la realización de serologías según las recomendaciones de evaluación y vacunación de enfermedades prevenibles indicadas para esta población.</w:t>
      </w:r>
    </w:p>
    <w:p w14:paraId="0764D7D0"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Calibri"/>
          <w:kern w:val="1"/>
          <w:sz w:val="18"/>
          <w:szCs w:val="18"/>
          <w:vertAlign w:val="superscript"/>
          <w:lang w:eastAsia="ar-SA"/>
        </w:rPr>
        <w:t>1</w:t>
      </w:r>
      <w:r>
        <w:rPr>
          <w:rFonts w:ascii="Arial" w:eastAsia="Arial Unicode MS" w:hAnsi="Arial" w:cs="Calibri"/>
          <w:kern w:val="1"/>
          <w:sz w:val="18"/>
          <w:szCs w:val="18"/>
          <w:vertAlign w:val="superscript"/>
          <w:lang w:eastAsia="ar-SA"/>
        </w:rPr>
        <w:t>1</w:t>
      </w:r>
      <w:r w:rsidRPr="003F3B0A">
        <w:rPr>
          <w:rFonts w:ascii="Arial" w:eastAsia="Arial Unicode MS" w:hAnsi="Arial" w:cs="Calibri"/>
          <w:kern w:val="1"/>
          <w:sz w:val="18"/>
          <w:szCs w:val="18"/>
          <w:vertAlign w:val="superscript"/>
          <w:lang w:eastAsia="ar-SA"/>
        </w:rPr>
        <w:t xml:space="preserve"> </w:t>
      </w:r>
      <w:r w:rsidRPr="003F3B0A">
        <w:rPr>
          <w:rFonts w:ascii="Arial" w:eastAsia="Arial Unicode MS" w:hAnsi="Arial" w:cs="Calibri"/>
          <w:kern w:val="1"/>
          <w:sz w:val="18"/>
          <w:szCs w:val="18"/>
          <w:lang w:eastAsia="ar-SA"/>
        </w:rPr>
        <w:t>Si co-infección por VHC. Se recomienda consultar las Guías EASL 2018:</w:t>
      </w:r>
    </w:p>
    <w:p w14:paraId="42B7FF95" w14:textId="77777777" w:rsidR="00251963" w:rsidRPr="003F3B0A" w:rsidRDefault="00A11D02" w:rsidP="00251963">
      <w:pPr>
        <w:suppressAutoHyphens/>
        <w:spacing w:before="60" w:after="60"/>
        <w:jc w:val="both"/>
        <w:textAlignment w:val="baseline"/>
        <w:rPr>
          <w:rFonts w:ascii="Arial" w:eastAsia="Arial Unicode MS" w:hAnsi="Arial" w:cs="Calibri"/>
          <w:kern w:val="1"/>
          <w:sz w:val="18"/>
          <w:szCs w:val="18"/>
          <w:lang w:eastAsia="ar-SA"/>
        </w:rPr>
      </w:pPr>
      <w:hyperlink r:id="rId99" w:history="1">
        <w:r w:rsidR="00251963" w:rsidRPr="003F3B0A">
          <w:rPr>
            <w:rStyle w:val="Hipervnculo"/>
            <w:rFonts w:ascii="Arial" w:eastAsia="Arial Unicode MS" w:hAnsi="Arial" w:cs="Calibri"/>
            <w:kern w:val="1"/>
            <w:sz w:val="18"/>
            <w:szCs w:val="18"/>
            <w:lang w:eastAsia="ar-SA"/>
          </w:rPr>
          <w:t>http://www.easl.eu/medias/cpg/2018/EASL%20Recommendations%20on%20Treatment%20of%20Hepatitis%20C%202018/English-report.pdf</w:t>
        </w:r>
      </w:hyperlink>
    </w:p>
    <w:p w14:paraId="27D4D9BD"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sidRPr="003F3B0A">
        <w:rPr>
          <w:rFonts w:ascii="Arial" w:eastAsia="Arial Unicode MS" w:hAnsi="Arial" w:cs="Arial"/>
          <w:kern w:val="1"/>
          <w:sz w:val="18"/>
          <w:szCs w:val="18"/>
          <w:vertAlign w:val="superscript"/>
          <w:lang w:eastAsia="ar-SA"/>
        </w:rPr>
        <w:t>1</w:t>
      </w:r>
      <w:r>
        <w:rPr>
          <w:rFonts w:ascii="Arial" w:eastAsia="Arial Unicode MS" w:hAnsi="Arial" w:cs="Arial"/>
          <w:kern w:val="1"/>
          <w:sz w:val="18"/>
          <w:szCs w:val="18"/>
          <w:vertAlign w:val="superscript"/>
          <w:lang w:eastAsia="ar-SA"/>
        </w:rPr>
        <w:t>2</w:t>
      </w:r>
      <w:r w:rsidRPr="003F3B0A">
        <w:rPr>
          <w:rFonts w:ascii="Arial" w:hAnsi="Arial"/>
          <w:kern w:val="1"/>
          <w:sz w:val="18"/>
          <w:szCs w:val="18"/>
          <w:lang w:eastAsia="ar-SA"/>
        </w:rPr>
        <w:t xml:space="preserve"> Cada 6-12 meses en HSH o “chemsex”</w:t>
      </w:r>
    </w:p>
    <w:p w14:paraId="2BB1DCA3"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sidRPr="003F3B0A">
        <w:rPr>
          <w:rFonts w:ascii="Arial" w:eastAsia="Arial Unicode MS" w:hAnsi="Arial" w:cs="Arial"/>
          <w:kern w:val="1"/>
          <w:sz w:val="18"/>
          <w:szCs w:val="18"/>
          <w:vertAlign w:val="superscript"/>
          <w:lang w:eastAsia="ar-SA"/>
        </w:rPr>
        <w:t>1</w:t>
      </w:r>
      <w:r>
        <w:rPr>
          <w:rFonts w:ascii="Arial" w:eastAsia="Arial Unicode MS" w:hAnsi="Arial" w:cs="Arial"/>
          <w:kern w:val="1"/>
          <w:sz w:val="18"/>
          <w:szCs w:val="18"/>
          <w:vertAlign w:val="superscript"/>
          <w:lang w:eastAsia="ar-SA"/>
        </w:rPr>
        <w:t>3</w:t>
      </w:r>
      <w:r w:rsidRPr="003F3B0A">
        <w:rPr>
          <w:rFonts w:ascii="Arial" w:hAnsi="Arial"/>
          <w:kern w:val="1"/>
          <w:sz w:val="18"/>
          <w:szCs w:val="18"/>
          <w:lang w:eastAsia="ar-SA"/>
        </w:rPr>
        <w:t xml:space="preserve"> Sólo si infección activa por VHC (RNA+)</w:t>
      </w:r>
    </w:p>
    <w:p w14:paraId="616A1CCC"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Calibri"/>
          <w:kern w:val="1"/>
          <w:sz w:val="18"/>
          <w:szCs w:val="18"/>
          <w:vertAlign w:val="superscript"/>
          <w:lang w:eastAsia="ar-SA"/>
        </w:rPr>
        <w:t>1</w:t>
      </w:r>
      <w:r>
        <w:rPr>
          <w:rFonts w:ascii="Arial" w:eastAsia="Arial Unicode MS" w:hAnsi="Arial" w:cs="Calibri"/>
          <w:kern w:val="1"/>
          <w:sz w:val="18"/>
          <w:szCs w:val="18"/>
          <w:vertAlign w:val="superscript"/>
          <w:lang w:eastAsia="ar-SA"/>
        </w:rPr>
        <w:t>4</w:t>
      </w:r>
      <w:r w:rsidRPr="003F3B0A">
        <w:rPr>
          <w:rFonts w:ascii="Arial" w:eastAsia="Arial Unicode MS" w:hAnsi="Arial" w:cs="Calibri"/>
          <w:kern w:val="1"/>
          <w:sz w:val="18"/>
          <w:szCs w:val="18"/>
          <w:vertAlign w:val="superscript"/>
          <w:lang w:eastAsia="ar-SA"/>
        </w:rPr>
        <w:t xml:space="preserve"> </w:t>
      </w:r>
      <w:r w:rsidRPr="003F3B0A">
        <w:rPr>
          <w:rFonts w:ascii="Arial" w:eastAsia="Arial Unicode MS" w:hAnsi="Arial" w:cs="Calibri"/>
          <w:kern w:val="1"/>
          <w:sz w:val="18"/>
          <w:szCs w:val="18"/>
          <w:lang w:eastAsia="ar-SA"/>
        </w:rPr>
        <w:t>Si co-infección por VHB se recomienda su determinación antes de iniciar el TAR</w:t>
      </w:r>
      <w:r>
        <w:rPr>
          <w:rFonts w:ascii="Arial" w:eastAsia="Arial Unicode MS" w:hAnsi="Arial" w:cs="Calibri"/>
          <w:kern w:val="1"/>
          <w:sz w:val="18"/>
          <w:szCs w:val="18"/>
          <w:lang w:eastAsia="ar-SA"/>
        </w:rPr>
        <w:t xml:space="preserve">. </w:t>
      </w:r>
      <w:r w:rsidRPr="006F65F3">
        <w:rPr>
          <w:rFonts w:ascii="Arial" w:eastAsia="Arial Unicode MS" w:hAnsi="Arial" w:cs="Calibri"/>
          <w:kern w:val="1"/>
          <w:sz w:val="18"/>
          <w:szCs w:val="18"/>
          <w:highlight w:val="yellow"/>
          <w:lang w:eastAsia="ar-SA"/>
        </w:rPr>
        <w:t xml:space="preserve">Recomendable en pacientes con </w:t>
      </w:r>
      <w:r>
        <w:rPr>
          <w:rFonts w:ascii="Arial" w:eastAsia="Arial Unicode MS" w:hAnsi="Arial" w:cs="Calibri"/>
          <w:kern w:val="1"/>
          <w:sz w:val="18"/>
          <w:szCs w:val="18"/>
          <w:highlight w:val="yellow"/>
          <w:lang w:eastAsia="ar-SA"/>
        </w:rPr>
        <w:t>a</w:t>
      </w:r>
      <w:r w:rsidRPr="006F65F3">
        <w:rPr>
          <w:rFonts w:ascii="Arial" w:eastAsia="Arial Unicode MS" w:hAnsi="Arial" w:cs="Calibri"/>
          <w:kern w:val="1"/>
          <w:sz w:val="18"/>
          <w:szCs w:val="18"/>
          <w:highlight w:val="yellow"/>
          <w:lang w:eastAsia="ar-SA"/>
        </w:rPr>
        <w:t>ntiCore aislado.</w:t>
      </w:r>
    </w:p>
    <w:p w14:paraId="3EDFB82B" w14:textId="77777777" w:rsidR="00251963" w:rsidRPr="003F3B0A" w:rsidRDefault="00251963" w:rsidP="00251963">
      <w:pPr>
        <w:spacing w:before="60" w:after="60"/>
        <w:jc w:val="both"/>
        <w:rPr>
          <w:rFonts w:ascii="Arial" w:hAnsi="Arial" w:cs="Arial"/>
          <w:sz w:val="18"/>
          <w:szCs w:val="18"/>
        </w:rPr>
      </w:pPr>
      <w:r w:rsidRPr="006F65F3">
        <w:rPr>
          <w:rFonts w:ascii="Arial" w:hAnsi="Arial" w:cs="Arial"/>
          <w:sz w:val="18"/>
          <w:szCs w:val="18"/>
          <w:highlight w:val="yellow"/>
          <w:vertAlign w:val="superscript"/>
        </w:rPr>
        <w:t>1</w:t>
      </w:r>
      <w:r>
        <w:rPr>
          <w:rFonts w:ascii="Arial" w:hAnsi="Arial" w:cs="Arial"/>
          <w:sz w:val="18"/>
          <w:szCs w:val="18"/>
          <w:highlight w:val="yellow"/>
          <w:vertAlign w:val="superscript"/>
        </w:rPr>
        <w:t>5</w:t>
      </w:r>
      <w:r w:rsidRPr="006F65F3">
        <w:rPr>
          <w:rFonts w:ascii="Arial" w:hAnsi="Arial" w:cs="Arial"/>
          <w:sz w:val="18"/>
          <w:szCs w:val="18"/>
          <w:highlight w:val="yellow"/>
          <w:vertAlign w:val="superscript"/>
        </w:rPr>
        <w:t xml:space="preserve"> </w:t>
      </w:r>
      <w:r w:rsidRPr="006F65F3">
        <w:rPr>
          <w:rFonts w:ascii="Arial" w:hAnsi="Arial" w:cs="Arial"/>
          <w:sz w:val="18"/>
          <w:szCs w:val="18"/>
          <w:highlight w:val="yellow"/>
        </w:rPr>
        <w:t xml:space="preserve">La sensibilidad es menor en personas con </w:t>
      </w:r>
      <w:r>
        <w:rPr>
          <w:rFonts w:ascii="Arial" w:hAnsi="Arial" w:cs="Arial"/>
          <w:sz w:val="18"/>
          <w:szCs w:val="18"/>
          <w:highlight w:val="yellow"/>
        </w:rPr>
        <w:t xml:space="preserve">infección por el </w:t>
      </w:r>
      <w:r w:rsidRPr="006F65F3">
        <w:rPr>
          <w:rFonts w:ascii="Arial" w:hAnsi="Arial" w:cs="Arial"/>
          <w:sz w:val="18"/>
          <w:szCs w:val="18"/>
          <w:highlight w:val="yellow"/>
        </w:rPr>
        <w:t>VIH y se acentúa a mayor inmunosupresión, recomendánd</w:t>
      </w:r>
      <w:r>
        <w:rPr>
          <w:rFonts w:ascii="Arial" w:hAnsi="Arial" w:cs="Arial"/>
          <w:sz w:val="18"/>
          <w:szCs w:val="18"/>
          <w:highlight w:val="yellow"/>
        </w:rPr>
        <w:t>o</w:t>
      </w:r>
      <w:r w:rsidRPr="006F65F3">
        <w:rPr>
          <w:rFonts w:ascii="Arial" w:hAnsi="Arial" w:cs="Arial"/>
          <w:sz w:val="18"/>
          <w:szCs w:val="18"/>
          <w:highlight w:val="yellow"/>
        </w:rPr>
        <w:t>se la determinación de IGRA si la prueba de PPD ha sido negativa, especialmente en pacientes muy inmunosuprimidos (&lt;200 CD4).</w:t>
      </w:r>
      <w:r w:rsidRPr="003F3B0A">
        <w:rPr>
          <w:rFonts w:ascii="Arial" w:hAnsi="Arial" w:cs="Arial"/>
          <w:sz w:val="18"/>
          <w:szCs w:val="18"/>
        </w:rPr>
        <w:t xml:space="preserve"> La especificidad de PPD disminuye en vacunados (BCG), por lo que se recomienda la utilización de IGRA</w:t>
      </w:r>
    </w:p>
    <w:p w14:paraId="27A91F57"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Arial"/>
          <w:kern w:val="1"/>
          <w:sz w:val="18"/>
          <w:szCs w:val="18"/>
          <w:vertAlign w:val="superscript"/>
          <w:lang w:eastAsia="ar-SA"/>
        </w:rPr>
        <w:t>1</w:t>
      </w:r>
      <w:r>
        <w:rPr>
          <w:rFonts w:ascii="Arial" w:eastAsia="Arial Unicode MS" w:hAnsi="Arial" w:cs="Arial"/>
          <w:kern w:val="1"/>
          <w:sz w:val="18"/>
          <w:szCs w:val="18"/>
          <w:vertAlign w:val="superscript"/>
          <w:lang w:eastAsia="ar-SA"/>
        </w:rPr>
        <w:t>6</w:t>
      </w:r>
      <w:r w:rsidRPr="003F3B0A">
        <w:rPr>
          <w:rFonts w:ascii="Arial" w:eastAsia="Arial Unicode MS" w:hAnsi="Arial" w:cs="Calibri"/>
          <w:kern w:val="1"/>
          <w:sz w:val="18"/>
          <w:szCs w:val="18"/>
          <w:vertAlign w:val="superscript"/>
          <w:lang w:eastAsia="ar-SA"/>
        </w:rPr>
        <w:t xml:space="preserve"> </w:t>
      </w:r>
      <w:r w:rsidRPr="003F3B0A">
        <w:rPr>
          <w:rFonts w:ascii="Arial" w:eastAsia="Arial Unicode MS" w:hAnsi="Arial" w:cs="Calibri"/>
          <w:kern w:val="1"/>
          <w:sz w:val="18"/>
          <w:szCs w:val="18"/>
          <w:lang w:eastAsia="ar-SA"/>
        </w:rPr>
        <w:t>Especialmente en pacientes pertenecientes a poblaciones con una elevada prevalencia de tuberculosis, criterios de bronquitis crónica o tabaquismo</w:t>
      </w:r>
    </w:p>
    <w:p w14:paraId="1E241EA8"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sidRPr="003F3B0A">
        <w:rPr>
          <w:rFonts w:ascii="Arial" w:eastAsia="Arial Unicode MS" w:hAnsi="Arial" w:cs="Arial"/>
          <w:kern w:val="1"/>
          <w:sz w:val="18"/>
          <w:szCs w:val="18"/>
          <w:vertAlign w:val="superscript"/>
          <w:lang w:eastAsia="ar-SA"/>
        </w:rPr>
        <w:t>1</w:t>
      </w:r>
      <w:r>
        <w:rPr>
          <w:rFonts w:ascii="Arial" w:eastAsia="Arial Unicode MS" w:hAnsi="Arial" w:cs="Arial"/>
          <w:kern w:val="1"/>
          <w:sz w:val="18"/>
          <w:szCs w:val="18"/>
          <w:vertAlign w:val="superscript"/>
          <w:lang w:eastAsia="ar-SA"/>
        </w:rPr>
        <w:t>7</w:t>
      </w:r>
      <w:r w:rsidRPr="003F3B0A">
        <w:rPr>
          <w:rFonts w:ascii="Arial" w:hAnsi="Arial"/>
          <w:kern w:val="1"/>
          <w:sz w:val="18"/>
          <w:szCs w:val="18"/>
          <w:lang w:eastAsia="ar-SA"/>
        </w:rPr>
        <w:t xml:space="preserve"> Si co-infección por VHB</w:t>
      </w:r>
    </w:p>
    <w:p w14:paraId="6AB8C289" w14:textId="77777777" w:rsidR="00251963" w:rsidRPr="003F3B0A" w:rsidRDefault="00251963" w:rsidP="00251963">
      <w:r>
        <w:rPr>
          <w:rFonts w:ascii="Arial" w:eastAsia="Arial Unicode MS" w:hAnsi="Arial" w:cs="Arial"/>
          <w:kern w:val="1"/>
          <w:sz w:val="18"/>
          <w:szCs w:val="18"/>
          <w:vertAlign w:val="superscript"/>
          <w:lang w:eastAsia="ar-SA"/>
        </w:rPr>
        <w:t>18</w:t>
      </w:r>
      <w:r w:rsidRPr="003F3B0A">
        <w:rPr>
          <w:rFonts w:ascii="Arial" w:hAnsi="Arial"/>
          <w:kern w:val="1"/>
          <w:sz w:val="18"/>
          <w:szCs w:val="18"/>
          <w:lang w:eastAsia="ar-SA"/>
        </w:rPr>
        <w:t xml:space="preserve"> En VHC Fibroscan &gt; 14kpa y en VHB </w:t>
      </w:r>
      <w:r w:rsidRPr="003F3B0A">
        <w:rPr>
          <w:rFonts w:ascii="Helvetica" w:hAnsi="Helvetica"/>
          <w:color w:val="000000"/>
          <w:sz w:val="18"/>
          <w:szCs w:val="18"/>
        </w:rPr>
        <w:t>&gt; 9 kpa con ALT normal y &gt; 12 kpa con ALT elevada.</w:t>
      </w:r>
    </w:p>
    <w:p w14:paraId="4D0BE1C1"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Pr>
          <w:rFonts w:ascii="Arial" w:eastAsia="Arial Unicode MS" w:hAnsi="Arial" w:cs="Arial"/>
          <w:kern w:val="1"/>
          <w:sz w:val="18"/>
          <w:szCs w:val="18"/>
          <w:vertAlign w:val="superscript"/>
          <w:lang w:val="pt-BR" w:eastAsia="ar-SA"/>
        </w:rPr>
        <w:t>19</w:t>
      </w:r>
      <w:r w:rsidRPr="003F3B0A">
        <w:rPr>
          <w:rFonts w:ascii="Arial" w:eastAsia="Arial Unicode MS" w:hAnsi="Arial" w:cs="Arial"/>
          <w:kern w:val="1"/>
          <w:sz w:val="18"/>
          <w:szCs w:val="18"/>
          <w:vertAlign w:val="superscript"/>
          <w:lang w:val="pt-BR" w:eastAsia="ar-SA"/>
        </w:rPr>
        <w:t xml:space="preserve"> </w:t>
      </w:r>
      <w:r w:rsidRPr="003F3B0A">
        <w:rPr>
          <w:rFonts w:ascii="Arial" w:hAnsi="Arial"/>
          <w:kern w:val="1"/>
          <w:sz w:val="18"/>
          <w:szCs w:val="18"/>
          <w:lang w:eastAsia="ar-SA"/>
        </w:rPr>
        <w:t>Salvo nuevas hepatopatías, sólo 1-2 controles tras RVS de VHC.</w:t>
      </w:r>
    </w:p>
    <w:p w14:paraId="5BE076BD" w14:textId="77777777" w:rsidR="00251963" w:rsidRPr="003F3B0A" w:rsidRDefault="00251963" w:rsidP="00251963">
      <w:pPr>
        <w:suppressAutoHyphens/>
        <w:spacing w:before="60" w:after="60"/>
        <w:jc w:val="both"/>
        <w:textAlignment w:val="baseline"/>
        <w:rPr>
          <w:rFonts w:ascii="Arial" w:eastAsia="Arial Unicode MS" w:hAnsi="Arial" w:cs="Arial"/>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0</w:t>
      </w:r>
      <w:r w:rsidRPr="003F3B0A">
        <w:rPr>
          <w:rFonts w:ascii="Arial" w:eastAsia="Arial Unicode MS" w:hAnsi="Arial" w:cs="Arial"/>
          <w:kern w:val="1"/>
          <w:sz w:val="18"/>
          <w:szCs w:val="18"/>
          <w:vertAlign w:val="superscript"/>
          <w:lang w:eastAsia="ar-SA"/>
        </w:rPr>
        <w:t xml:space="preserve"> </w:t>
      </w:r>
      <w:r w:rsidRPr="003F3B0A">
        <w:rPr>
          <w:rFonts w:ascii="Arial" w:eastAsia="Arial Unicode MS" w:hAnsi="Arial" w:cs="Arial"/>
          <w:kern w:val="1"/>
          <w:sz w:val="18"/>
          <w:szCs w:val="18"/>
          <w:lang w:eastAsia="ar-SA"/>
        </w:rPr>
        <w:t>Si cirrosis hepática.</w:t>
      </w:r>
    </w:p>
    <w:p w14:paraId="4D381164" w14:textId="77777777" w:rsidR="00251963" w:rsidRPr="003F3B0A" w:rsidRDefault="00251963" w:rsidP="00251963">
      <w:pPr>
        <w:suppressAutoHyphens/>
        <w:spacing w:before="60" w:after="60"/>
        <w:jc w:val="both"/>
        <w:textAlignment w:val="baseline"/>
        <w:rPr>
          <w:rFonts w:ascii="Arial" w:hAnsi="Arial"/>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1</w:t>
      </w:r>
      <w:r w:rsidRPr="003F3B0A">
        <w:rPr>
          <w:rFonts w:ascii="Arial" w:hAnsi="Arial"/>
          <w:kern w:val="1"/>
          <w:sz w:val="18"/>
          <w:szCs w:val="18"/>
          <w:lang w:eastAsia="ar-SA"/>
        </w:rPr>
        <w:t xml:space="preserve"> Falta evidencia sobre la periodicidad en VHC tras RVS.</w:t>
      </w:r>
    </w:p>
    <w:p w14:paraId="7B001645"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Calibri"/>
          <w:kern w:val="1"/>
          <w:sz w:val="18"/>
          <w:szCs w:val="18"/>
          <w:vertAlign w:val="superscript"/>
          <w:lang w:eastAsia="ar-SA"/>
        </w:rPr>
        <w:t>2</w:t>
      </w:r>
      <w:r>
        <w:rPr>
          <w:rFonts w:ascii="Arial" w:eastAsia="Arial Unicode MS" w:hAnsi="Arial" w:cs="Calibri"/>
          <w:kern w:val="1"/>
          <w:sz w:val="18"/>
          <w:szCs w:val="18"/>
          <w:vertAlign w:val="superscript"/>
          <w:lang w:eastAsia="ar-SA"/>
        </w:rPr>
        <w:t>2</w:t>
      </w:r>
      <w:r w:rsidRPr="003F3B0A">
        <w:rPr>
          <w:rFonts w:ascii="Arial" w:eastAsia="Arial Unicode MS" w:hAnsi="Arial" w:cs="Calibri"/>
          <w:kern w:val="1"/>
          <w:sz w:val="18"/>
          <w:szCs w:val="18"/>
          <w:lang w:eastAsia="ar-SA"/>
        </w:rPr>
        <w:t>Si se detectan células atípicas, realizar colposcopia y biopsia</w:t>
      </w:r>
    </w:p>
    <w:p w14:paraId="4D635950"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3</w:t>
      </w:r>
      <w:r w:rsidRPr="003F3B0A">
        <w:rPr>
          <w:rFonts w:ascii="Arial" w:eastAsia="Arial Unicode MS" w:hAnsi="Arial" w:cs="Calibri"/>
          <w:kern w:val="1"/>
          <w:sz w:val="18"/>
          <w:szCs w:val="18"/>
          <w:vertAlign w:val="superscript"/>
          <w:lang w:eastAsia="ar-SA"/>
        </w:rPr>
        <w:t xml:space="preserve"> </w:t>
      </w:r>
      <w:r>
        <w:rPr>
          <w:rFonts w:ascii="Arial" w:eastAsia="Arial Unicode MS" w:hAnsi="Arial" w:cs="Calibri"/>
          <w:kern w:val="1"/>
          <w:sz w:val="18"/>
          <w:szCs w:val="18"/>
          <w:lang w:eastAsia="ar-SA"/>
        </w:rPr>
        <w:t xml:space="preserve">Inicialmente, ofrecer a </w:t>
      </w:r>
      <w:r w:rsidRPr="003F3B0A">
        <w:rPr>
          <w:rFonts w:ascii="Arial" w:eastAsia="Arial Unicode MS" w:hAnsi="Arial" w:cs="Calibri"/>
          <w:kern w:val="1"/>
          <w:sz w:val="18"/>
          <w:szCs w:val="18"/>
          <w:lang w:eastAsia="ar-SA"/>
        </w:rPr>
        <w:t>los pacientes con hábitos de riesgo (varones homo/bisexuales y mujeres que practican coito anal receptivo) y en los que presentan lesiones perianales o genitales secundarias a VPH. Si citología anormal, debe realizarse anuscopia de alta resolución y biopsia (evidencia de beneficio desconocida; defendida por algunos expertos)</w:t>
      </w:r>
    </w:p>
    <w:p w14:paraId="776642D4"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4</w:t>
      </w:r>
      <w:r w:rsidRPr="003F3B0A">
        <w:rPr>
          <w:rFonts w:ascii="Arial" w:eastAsia="Arial Unicode MS" w:hAnsi="Arial" w:cs="Calibri"/>
          <w:kern w:val="1"/>
          <w:sz w:val="18"/>
          <w:szCs w:val="18"/>
          <w:lang w:eastAsia="ar-SA"/>
        </w:rPr>
        <w:t xml:space="preserve"> Especialmente en pacientes con factores de riesgo cardiovascular y/o que vayan a iniciar fármacos que puedan producir problemas de conducción cardíaca</w:t>
      </w:r>
    </w:p>
    <w:p w14:paraId="291EA705"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5</w:t>
      </w:r>
      <w:r w:rsidRPr="003F3B0A">
        <w:rPr>
          <w:rFonts w:ascii="Arial" w:eastAsia="Arial Unicode MS" w:hAnsi="Arial" w:cs="Calibri"/>
          <w:kern w:val="1"/>
          <w:sz w:val="18"/>
          <w:szCs w:val="18"/>
          <w:lang w:eastAsia="ar-SA"/>
        </w:rPr>
        <w:t xml:space="preserve"> Se deben de identificar los factores de riesgo de desarrollar alteraciones de la densidad mineral ósea. </w:t>
      </w:r>
      <w:r w:rsidRPr="003F3B0A">
        <w:rPr>
          <w:rFonts w:ascii="Arial" w:hAnsi="Arial"/>
          <w:kern w:val="1"/>
          <w:sz w:val="18"/>
          <w:szCs w:val="18"/>
          <w:lang w:eastAsia="ar-SA"/>
        </w:rPr>
        <w:t xml:space="preserve">Se recomienda seguir las recomendaciones </w:t>
      </w:r>
      <w:r w:rsidRPr="003F3B0A">
        <w:rPr>
          <w:rFonts w:ascii="Arial" w:eastAsia="Arial Unicode MS" w:hAnsi="Arial" w:cs="Calibri"/>
          <w:kern w:val="1"/>
          <w:sz w:val="18"/>
          <w:szCs w:val="18"/>
          <w:lang w:eastAsia="ar-SA"/>
        </w:rPr>
        <w:t>el Documento de consenso de GeSida sobre osteoporosis en la infección por VIH de mayo de 2016 (</w:t>
      </w:r>
      <w:hyperlink r:id="rId100" w:history="1">
        <w:r w:rsidRPr="003F3B0A">
          <w:rPr>
            <w:rFonts w:ascii="Arial" w:eastAsia="Arial Unicode MS" w:hAnsi="Arial" w:cs="Calibri"/>
            <w:color w:val="0000FF"/>
            <w:kern w:val="1"/>
            <w:sz w:val="18"/>
            <w:szCs w:val="18"/>
            <w:u w:val="single"/>
            <w:lang w:eastAsia="ar-SA"/>
          </w:rPr>
          <w:t>enlace</w:t>
        </w:r>
      </w:hyperlink>
      <w:r w:rsidRPr="003F3B0A">
        <w:rPr>
          <w:rFonts w:ascii="Arial" w:eastAsia="Arial Unicode MS" w:hAnsi="Arial" w:cs="Calibri"/>
          <w:kern w:val="1"/>
          <w:sz w:val="18"/>
          <w:szCs w:val="18"/>
          <w:lang w:eastAsia="ar-SA"/>
        </w:rPr>
        <w:t>)</w:t>
      </w:r>
    </w:p>
    <w:p w14:paraId="17FA22CA" w14:textId="77777777" w:rsidR="00251963" w:rsidRPr="003F3B0A"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3F3B0A">
        <w:rPr>
          <w:rFonts w:ascii="Arial" w:eastAsia="Arial Unicode MS" w:hAnsi="Arial" w:cs="Arial"/>
          <w:kern w:val="1"/>
          <w:sz w:val="18"/>
          <w:szCs w:val="18"/>
          <w:vertAlign w:val="superscript"/>
          <w:lang w:eastAsia="ar-SA"/>
        </w:rPr>
        <w:t>2</w:t>
      </w:r>
      <w:r>
        <w:rPr>
          <w:rFonts w:ascii="Arial" w:eastAsia="Arial Unicode MS" w:hAnsi="Arial" w:cs="Arial"/>
          <w:kern w:val="1"/>
          <w:sz w:val="18"/>
          <w:szCs w:val="18"/>
          <w:vertAlign w:val="superscript"/>
          <w:lang w:eastAsia="ar-SA"/>
        </w:rPr>
        <w:t>6</w:t>
      </w:r>
      <w:r w:rsidRPr="003F3B0A">
        <w:rPr>
          <w:rFonts w:ascii="Arial" w:eastAsia="Arial Unicode MS" w:hAnsi="Arial" w:cs="Calibri"/>
          <w:kern w:val="1"/>
          <w:sz w:val="18"/>
          <w:szCs w:val="18"/>
          <w:lang w:eastAsia="ar-SA"/>
        </w:rPr>
        <w:t xml:space="preserve"> Valorar el riesgo de ITS y hacer cribado de las mismas siguiendo las recomendaciones del Documento de Consenso sobre las Infecciones de transmisión sexual en adultos, niños y adolescentes de GESIDA/PNS/GEITS/SEIP, 2017 (</w:t>
      </w:r>
      <w:hyperlink r:id="rId101" w:history="1">
        <w:r w:rsidRPr="003F3B0A">
          <w:rPr>
            <w:rFonts w:ascii="Arial" w:eastAsia="Arial Unicode MS" w:hAnsi="Arial" w:cs="Calibri"/>
            <w:color w:val="0563C1"/>
            <w:kern w:val="1"/>
            <w:sz w:val="18"/>
            <w:szCs w:val="18"/>
            <w:u w:val="single"/>
            <w:lang w:eastAsia="ar-SA"/>
          </w:rPr>
          <w:t>enlace</w:t>
        </w:r>
      </w:hyperlink>
      <w:r w:rsidRPr="003F3B0A">
        <w:rPr>
          <w:rFonts w:ascii="Arial" w:eastAsia="Arial Unicode MS" w:hAnsi="Arial" w:cs="Calibri"/>
          <w:kern w:val="1"/>
          <w:sz w:val="18"/>
          <w:szCs w:val="18"/>
          <w:lang w:eastAsia="ar-SA"/>
        </w:rPr>
        <w:t>)</w:t>
      </w:r>
    </w:p>
    <w:p w14:paraId="72156D28" w14:textId="77777777" w:rsidR="00251963" w:rsidRDefault="00251963" w:rsidP="00251963">
      <w:pPr>
        <w:suppressAutoHyphens/>
        <w:spacing w:before="60" w:after="60"/>
        <w:jc w:val="both"/>
        <w:textAlignment w:val="baseline"/>
        <w:rPr>
          <w:rFonts w:ascii="Arial" w:eastAsia="Arial Unicode MS" w:hAnsi="Arial" w:cs="Calibri"/>
          <w:kern w:val="1"/>
          <w:sz w:val="18"/>
          <w:szCs w:val="18"/>
          <w:lang w:eastAsia="ar-SA"/>
        </w:rPr>
      </w:pPr>
      <w:r w:rsidRPr="006F65F3">
        <w:rPr>
          <w:rFonts w:ascii="Arial" w:eastAsia="Arial Unicode MS" w:hAnsi="Arial" w:cs="Calibri"/>
          <w:kern w:val="1"/>
          <w:sz w:val="18"/>
          <w:szCs w:val="18"/>
          <w:highlight w:val="yellow"/>
          <w:vertAlign w:val="superscript"/>
          <w:lang w:eastAsia="ar-SA"/>
        </w:rPr>
        <w:t>2</w:t>
      </w:r>
      <w:r>
        <w:rPr>
          <w:rFonts w:ascii="Arial" w:eastAsia="Arial Unicode MS" w:hAnsi="Arial" w:cs="Calibri"/>
          <w:kern w:val="1"/>
          <w:sz w:val="18"/>
          <w:szCs w:val="18"/>
          <w:highlight w:val="yellow"/>
          <w:vertAlign w:val="superscript"/>
          <w:lang w:eastAsia="ar-SA"/>
        </w:rPr>
        <w:t>7</w:t>
      </w:r>
      <w:r w:rsidRPr="006F65F3">
        <w:rPr>
          <w:rFonts w:ascii="Arial" w:eastAsia="Arial Unicode MS" w:hAnsi="Arial" w:cs="Calibri"/>
          <w:kern w:val="1"/>
          <w:sz w:val="18"/>
          <w:szCs w:val="18"/>
          <w:highlight w:val="yellow"/>
          <w:lang w:eastAsia="ar-SA"/>
        </w:rPr>
        <w:t>Considerar en pacientes con &lt;50 CD4, en los que la retinitis por CMV puede cursar de manera asintomática inicialmente hasta en un 50% de los casos.</w:t>
      </w:r>
    </w:p>
    <w:p w14:paraId="3B098633" w14:textId="77777777" w:rsidR="00251963" w:rsidRDefault="00251963" w:rsidP="00251963">
      <w:pPr>
        <w:suppressAutoHyphens/>
        <w:spacing w:before="60" w:after="60"/>
        <w:jc w:val="both"/>
        <w:textAlignment w:val="baseline"/>
        <w:rPr>
          <w:rFonts w:ascii="Arial" w:eastAsia="Arial Unicode MS" w:hAnsi="Arial" w:cs="Calibri"/>
          <w:kern w:val="1"/>
          <w:sz w:val="18"/>
          <w:szCs w:val="18"/>
          <w:lang w:eastAsia="ar-SA"/>
        </w:rPr>
      </w:pPr>
      <w:r>
        <w:rPr>
          <w:rFonts w:ascii="Arial" w:eastAsia="Arial Unicode MS" w:hAnsi="Arial" w:cs="Calibri"/>
          <w:kern w:val="1"/>
          <w:sz w:val="18"/>
          <w:szCs w:val="18"/>
          <w:highlight w:val="yellow"/>
          <w:vertAlign w:val="superscript"/>
          <w:lang w:eastAsia="ar-SA"/>
        </w:rPr>
        <w:t>28</w:t>
      </w:r>
      <w:r w:rsidRPr="006F65F3">
        <w:rPr>
          <w:rFonts w:ascii="Arial" w:eastAsia="Arial Unicode MS" w:hAnsi="Arial" w:cs="Calibri"/>
          <w:kern w:val="1"/>
          <w:sz w:val="18"/>
          <w:szCs w:val="18"/>
          <w:highlight w:val="yellow"/>
          <w:lang w:eastAsia="ar-SA"/>
        </w:rPr>
        <w:t>El riesgo de enfermedad de órgano diana por CMV aumenta drásticamente en pacientes con &lt;100 CD4. En pacientes asintomáticos de riesgo (&lt;100 CD4 y viremia de CMV) el tratamiento con valganciclovir no ha demostrado beneficio clínico, por lo que la determinación debe realizarse si hay sospecha de enfermedad por CMV. (</w:t>
      </w:r>
      <w:hyperlink r:id="rId102" w:history="1">
        <w:r w:rsidRPr="006F65F3">
          <w:rPr>
            <w:rStyle w:val="Hipervnculo"/>
            <w:rFonts w:ascii="Arial" w:eastAsia="Arial Unicode MS" w:hAnsi="Arial" w:cs="Calibri"/>
            <w:kern w:val="1"/>
            <w:sz w:val="18"/>
            <w:szCs w:val="18"/>
            <w:highlight w:val="yellow"/>
            <w:lang w:eastAsia="ar-SA"/>
          </w:rPr>
          <w:t>enlace</w:t>
        </w:r>
      </w:hyperlink>
      <w:r w:rsidRPr="006F65F3">
        <w:rPr>
          <w:rFonts w:ascii="Arial" w:eastAsia="Arial Unicode MS" w:hAnsi="Arial" w:cs="Calibri"/>
          <w:kern w:val="1"/>
          <w:sz w:val="18"/>
          <w:szCs w:val="18"/>
          <w:highlight w:val="yellow"/>
          <w:lang w:eastAsia="ar-SA"/>
        </w:rPr>
        <w:t>)</w:t>
      </w:r>
    </w:p>
    <w:p w14:paraId="776E374E" w14:textId="77777777" w:rsidR="00251963" w:rsidRDefault="00251963" w:rsidP="00251963">
      <w:pPr>
        <w:suppressAutoHyphens/>
        <w:spacing w:before="60" w:after="60"/>
        <w:jc w:val="both"/>
        <w:textAlignment w:val="baseline"/>
        <w:rPr>
          <w:rFonts w:ascii="Arial" w:eastAsia="Arial Unicode MS" w:hAnsi="Arial" w:cs="Calibri"/>
          <w:kern w:val="1"/>
          <w:sz w:val="18"/>
          <w:szCs w:val="18"/>
          <w:lang w:eastAsia="ar-SA"/>
        </w:rPr>
      </w:pPr>
      <w:r>
        <w:rPr>
          <w:rFonts w:ascii="Arial" w:eastAsia="Arial Unicode MS" w:hAnsi="Arial" w:cs="Calibri"/>
          <w:kern w:val="1"/>
          <w:sz w:val="18"/>
          <w:szCs w:val="18"/>
          <w:highlight w:val="yellow"/>
          <w:vertAlign w:val="superscript"/>
          <w:lang w:eastAsia="ar-SA"/>
        </w:rPr>
        <w:t>29</w:t>
      </w:r>
      <w:r w:rsidRPr="006F65F3">
        <w:rPr>
          <w:rFonts w:ascii="Arial" w:eastAsia="Arial Unicode MS" w:hAnsi="Arial" w:cs="Calibri"/>
          <w:kern w:val="1"/>
          <w:sz w:val="18"/>
          <w:szCs w:val="18"/>
          <w:highlight w:val="yellow"/>
          <w:lang w:eastAsia="ar-SA"/>
        </w:rPr>
        <w:t>Considerar en pacientes con &lt;100 CD4, especialmente si provienen de países con recursos limitados en los que la</w:t>
      </w:r>
      <w:r>
        <w:rPr>
          <w:rFonts w:ascii="Arial" w:eastAsia="Arial Unicode MS" w:hAnsi="Arial" w:cs="Calibri"/>
          <w:kern w:val="1"/>
          <w:sz w:val="18"/>
          <w:szCs w:val="18"/>
          <w:highlight w:val="yellow"/>
          <w:lang w:eastAsia="ar-SA"/>
        </w:rPr>
        <w:t xml:space="preserve"> </w:t>
      </w:r>
      <w:r w:rsidRPr="006F65F3">
        <w:rPr>
          <w:rFonts w:ascii="Arial" w:eastAsia="Arial Unicode MS" w:hAnsi="Arial" w:cs="Calibri"/>
          <w:kern w:val="1"/>
          <w:sz w:val="18"/>
          <w:szCs w:val="18"/>
          <w:highlight w:val="yellow"/>
          <w:lang w:eastAsia="ar-SA"/>
        </w:rPr>
        <w:t>prevalencia de meningitis criptocócica es &gt;3%. El tratamiento anticipado con fluconazol ha demostrado disminuir la mortalidad en África (</w:t>
      </w:r>
      <w:hyperlink r:id="rId103" w:history="1">
        <w:r w:rsidRPr="006F65F3">
          <w:rPr>
            <w:rStyle w:val="Hipervnculo"/>
            <w:rFonts w:ascii="Arial" w:eastAsia="Arial Unicode MS" w:hAnsi="Arial" w:cs="Calibri"/>
            <w:kern w:val="1"/>
            <w:sz w:val="18"/>
            <w:szCs w:val="18"/>
            <w:highlight w:val="yellow"/>
            <w:lang w:eastAsia="ar-SA"/>
          </w:rPr>
          <w:t>enlace</w:t>
        </w:r>
      </w:hyperlink>
      <w:r w:rsidRPr="006F65F3">
        <w:rPr>
          <w:rFonts w:ascii="Arial" w:eastAsia="Arial Unicode MS" w:hAnsi="Arial" w:cs="Calibri"/>
          <w:kern w:val="1"/>
          <w:sz w:val="18"/>
          <w:szCs w:val="18"/>
          <w:highlight w:val="yellow"/>
          <w:lang w:eastAsia="ar-SA"/>
        </w:rPr>
        <w:t>). Se desconoce si estos resultados son extrapolables a Europa.</w:t>
      </w:r>
      <w:r>
        <w:rPr>
          <w:rFonts w:ascii="Arial" w:eastAsia="Arial Unicode MS" w:hAnsi="Arial" w:cs="Calibri"/>
          <w:kern w:val="1"/>
          <w:sz w:val="18"/>
          <w:szCs w:val="18"/>
          <w:lang w:eastAsia="ar-SA"/>
        </w:rPr>
        <w:t xml:space="preserve"> </w:t>
      </w:r>
    </w:p>
    <w:p w14:paraId="309E1E5C" w14:textId="77777777" w:rsidR="00DF5AF9" w:rsidRDefault="00DF5AF9">
      <w:pPr>
        <w:rPr>
          <w:rFonts w:ascii="Arial" w:eastAsia="Arial Unicode MS" w:hAnsi="Arial" w:cs="Calibri"/>
          <w:kern w:val="1"/>
          <w:sz w:val="18"/>
          <w:szCs w:val="18"/>
          <w:lang w:eastAsia="ar-SA"/>
        </w:rPr>
      </w:pPr>
      <w:r>
        <w:rPr>
          <w:rFonts w:ascii="Arial" w:eastAsia="Arial Unicode MS" w:hAnsi="Arial" w:cs="Calibri"/>
          <w:kern w:val="1"/>
          <w:sz w:val="18"/>
          <w:szCs w:val="18"/>
          <w:lang w:eastAsia="ar-SA"/>
        </w:rPr>
        <w:br w:type="page"/>
      </w:r>
    </w:p>
    <w:p w14:paraId="1EE1C68A" w14:textId="77777777" w:rsidR="00251963" w:rsidRPr="003F3B0A" w:rsidRDefault="00251963" w:rsidP="00251963">
      <w:pPr>
        <w:suppressAutoHyphens/>
        <w:spacing w:before="60" w:after="60"/>
        <w:jc w:val="both"/>
        <w:textAlignment w:val="baseline"/>
        <w:rPr>
          <w:rFonts w:ascii="Calibri" w:hAnsi="Calibri"/>
          <w:kern w:val="1"/>
          <w:sz w:val="16"/>
          <w:lang w:eastAsia="ar-SA"/>
        </w:rPr>
      </w:pPr>
      <w:r w:rsidRPr="003F3B0A">
        <w:rPr>
          <w:rFonts w:ascii="Arial" w:hAnsi="Arial" w:cs="Arial"/>
          <w:b/>
          <w:bCs/>
          <w:color w:val="AE1C1F"/>
        </w:rPr>
        <w:lastRenderedPageBreak/>
        <w:t xml:space="preserve">Tabla 2. Recomendaciones sobre TAR de inicio en pacientes con infección por el VIH-1 </w:t>
      </w:r>
    </w:p>
    <w:p w14:paraId="568A6DCE" w14:textId="77777777" w:rsidR="00251963" w:rsidRPr="003F3B0A" w:rsidRDefault="00251963" w:rsidP="00251963">
      <w:pPr>
        <w:widowControl w:val="0"/>
        <w:autoSpaceDE w:val="0"/>
        <w:autoSpaceDN w:val="0"/>
        <w:adjustRightInd w:val="0"/>
        <w:rPr>
          <w:rFonts w:ascii="Arial" w:eastAsia="MS Mincho" w:hAnsi="Arial" w:cs="Arial"/>
          <w:b/>
          <w:bCs/>
          <w:color w:val="006600"/>
        </w:rPr>
      </w:pPr>
    </w:p>
    <w:p w14:paraId="17A3513A" w14:textId="77777777" w:rsidR="00251963" w:rsidRPr="003F3B0A" w:rsidRDefault="00251963" w:rsidP="00251963">
      <w:pPr>
        <w:widowControl w:val="0"/>
        <w:autoSpaceDE w:val="0"/>
        <w:autoSpaceDN w:val="0"/>
        <w:adjustRightInd w:val="0"/>
        <w:rPr>
          <w:rFonts w:ascii="Arial" w:eastAsia="MS Mincho" w:hAnsi="Arial" w:cs="Arial"/>
          <w:color w:val="00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251963" w:rsidRPr="003F3B0A" w14:paraId="33C8EB5D" w14:textId="77777777" w:rsidTr="00A53EA0">
        <w:trPr>
          <w:trHeight w:val="333"/>
          <w:jc w:val="center"/>
        </w:trPr>
        <w:tc>
          <w:tcPr>
            <w:tcW w:w="5920" w:type="dxa"/>
            <w:shd w:val="clear" w:color="auto" w:fill="FBE4D5"/>
            <w:vAlign w:val="center"/>
          </w:tcPr>
          <w:p w14:paraId="6F6FEC4B" w14:textId="77777777" w:rsidR="00251963" w:rsidRPr="003F3B0A" w:rsidRDefault="00251963" w:rsidP="00A53EA0">
            <w:pPr>
              <w:widowControl w:val="0"/>
              <w:autoSpaceDE w:val="0"/>
              <w:autoSpaceDN w:val="0"/>
              <w:adjustRightInd w:val="0"/>
              <w:jc w:val="center"/>
              <w:rPr>
                <w:rFonts w:ascii="Arial" w:eastAsia="MS Mincho" w:hAnsi="Arial" w:cs="Arial"/>
                <w:color w:val="AE1C1F"/>
              </w:rPr>
            </w:pPr>
            <w:r w:rsidRPr="003F3B0A">
              <w:rPr>
                <w:rFonts w:ascii="Arial" w:eastAsia="MS Mincho" w:hAnsi="Arial" w:cs="Arial"/>
                <w:b/>
                <w:bCs/>
                <w:color w:val="AE1C1F"/>
              </w:rPr>
              <w:t>Recomendaciones</w:t>
            </w:r>
          </w:p>
        </w:tc>
      </w:tr>
      <w:tr w:rsidR="00251963" w:rsidRPr="003F3B0A" w14:paraId="004D0D6F" w14:textId="77777777" w:rsidTr="00A53EA0">
        <w:trPr>
          <w:trHeight w:val="582"/>
          <w:jc w:val="center"/>
        </w:trPr>
        <w:tc>
          <w:tcPr>
            <w:tcW w:w="5920" w:type="dxa"/>
          </w:tcPr>
          <w:p w14:paraId="3DFA1AD6" w14:textId="77777777" w:rsidR="00251963" w:rsidRPr="003F3B0A" w:rsidRDefault="00251963" w:rsidP="00A53EA0">
            <w:pPr>
              <w:widowControl w:val="0"/>
              <w:autoSpaceDE w:val="0"/>
              <w:autoSpaceDN w:val="0"/>
              <w:adjustRightInd w:val="0"/>
              <w:rPr>
                <w:rFonts w:ascii="Arial" w:eastAsia="MS Mincho" w:hAnsi="Arial" w:cs="Arial"/>
                <w:color w:val="000000"/>
              </w:rPr>
            </w:pPr>
            <w:r w:rsidRPr="003F3B0A">
              <w:rPr>
                <w:rFonts w:ascii="Arial" w:eastAsia="MS Mincho" w:hAnsi="Arial" w:cs="Arial"/>
                <w:color w:val="000000"/>
              </w:rPr>
              <w:t xml:space="preserve">Se recomienda la administración de TAR a todos los pacientes con infección por </w:t>
            </w:r>
            <w:r>
              <w:rPr>
                <w:rFonts w:ascii="Arial" w:eastAsia="MS Mincho" w:hAnsi="Arial" w:cs="Arial"/>
                <w:color w:val="000000"/>
              </w:rPr>
              <w:t xml:space="preserve">el </w:t>
            </w:r>
            <w:r w:rsidRPr="003F3B0A">
              <w:rPr>
                <w:rFonts w:ascii="Arial" w:eastAsia="MS Mincho" w:hAnsi="Arial" w:cs="Arial"/>
                <w:color w:val="000000"/>
              </w:rPr>
              <w:t>VIH-1</w:t>
            </w:r>
            <w:r w:rsidRPr="003F3B0A">
              <w:rPr>
                <w:rFonts w:ascii="Arial" w:eastAsia="MS Mincho" w:hAnsi="Arial" w:cs="Arial"/>
                <w:color w:val="000000"/>
                <w:vertAlign w:val="superscript"/>
              </w:rPr>
              <w:t>1</w:t>
            </w:r>
            <w:r w:rsidRPr="003F3B0A">
              <w:rPr>
                <w:rFonts w:ascii="Arial" w:eastAsia="MS Mincho" w:hAnsi="Arial" w:cs="Arial"/>
                <w:color w:val="000000"/>
              </w:rPr>
              <w:t xml:space="preserve"> </w:t>
            </w:r>
            <w:r w:rsidRPr="003F3B0A">
              <w:rPr>
                <w:rFonts w:ascii="Arial" w:eastAsia="MS Mincho" w:hAnsi="Arial" w:cs="Arial"/>
                <w:b/>
                <w:i/>
                <w:color w:val="000000"/>
              </w:rPr>
              <w:t>(A-I)</w:t>
            </w:r>
            <w:r w:rsidRPr="003F3B0A">
              <w:rPr>
                <w:rFonts w:ascii="Arial" w:eastAsia="MS Mincho" w:hAnsi="Arial" w:cs="Arial"/>
                <w:color w:val="000000"/>
              </w:rPr>
              <w:t xml:space="preserve"> </w:t>
            </w:r>
          </w:p>
          <w:p w14:paraId="3EE46B98" w14:textId="77777777" w:rsidR="00251963" w:rsidRPr="003F3B0A" w:rsidRDefault="00251963" w:rsidP="00A53EA0">
            <w:pPr>
              <w:widowControl w:val="0"/>
              <w:autoSpaceDE w:val="0"/>
              <w:autoSpaceDN w:val="0"/>
              <w:adjustRightInd w:val="0"/>
              <w:rPr>
                <w:rFonts w:ascii="Arial" w:eastAsia="MS Mincho" w:hAnsi="Arial" w:cs="Arial"/>
                <w:color w:val="000000"/>
              </w:rPr>
            </w:pPr>
          </w:p>
          <w:p w14:paraId="5C00769E" w14:textId="77777777" w:rsidR="00251963" w:rsidRPr="003F3B0A" w:rsidRDefault="00251963" w:rsidP="00A53EA0">
            <w:pPr>
              <w:widowControl w:val="0"/>
              <w:autoSpaceDE w:val="0"/>
              <w:autoSpaceDN w:val="0"/>
              <w:adjustRightInd w:val="0"/>
              <w:rPr>
                <w:rFonts w:ascii="Arial" w:eastAsia="MS Mincho" w:hAnsi="Arial" w:cs="Arial"/>
                <w:color w:val="000000"/>
                <w:vertAlign w:val="superscript"/>
              </w:rPr>
            </w:pPr>
            <w:r>
              <w:rPr>
                <w:rFonts w:ascii="Arial" w:eastAsia="MS Mincho" w:hAnsi="Arial" w:cs="Arial"/>
                <w:color w:val="000000"/>
              </w:rPr>
              <w:t>Se recomienda iniciar el TAR</w:t>
            </w:r>
            <w:r w:rsidRPr="003F3B0A">
              <w:rPr>
                <w:rFonts w:ascii="Arial" w:eastAsia="MS Mincho" w:hAnsi="Arial" w:cs="Arial"/>
                <w:color w:val="000000"/>
              </w:rPr>
              <w:t xml:space="preserve"> tan pronto como sea posible tras el diagnóstico</w:t>
            </w:r>
            <w:r w:rsidRPr="003F3B0A">
              <w:rPr>
                <w:rFonts w:ascii="Arial" w:eastAsia="MS Mincho" w:hAnsi="Arial" w:cs="Arial"/>
                <w:color w:val="000000"/>
                <w:vertAlign w:val="superscript"/>
              </w:rPr>
              <w:t xml:space="preserve">2 </w:t>
            </w:r>
            <w:r w:rsidRPr="004478B2">
              <w:rPr>
                <w:rFonts w:ascii="Arial" w:eastAsia="MS Mincho" w:hAnsi="Arial" w:cs="Arial"/>
                <w:b/>
                <w:i/>
                <w:color w:val="000000"/>
                <w:highlight w:val="yellow"/>
              </w:rPr>
              <w:t>(A-II)</w:t>
            </w:r>
          </w:p>
          <w:p w14:paraId="18D3616B" w14:textId="77777777" w:rsidR="00251963" w:rsidRPr="003F3B0A" w:rsidRDefault="00251963" w:rsidP="00A53EA0">
            <w:pPr>
              <w:widowControl w:val="0"/>
              <w:autoSpaceDE w:val="0"/>
              <w:autoSpaceDN w:val="0"/>
              <w:adjustRightInd w:val="0"/>
              <w:rPr>
                <w:rFonts w:ascii="Arial" w:eastAsia="MS Mincho" w:hAnsi="Arial" w:cs="Arial"/>
                <w:color w:val="000000"/>
              </w:rPr>
            </w:pPr>
          </w:p>
        </w:tc>
      </w:tr>
    </w:tbl>
    <w:p w14:paraId="2708FA59" w14:textId="77777777" w:rsidR="00251963" w:rsidRPr="003F3B0A" w:rsidRDefault="00251963" w:rsidP="00251963">
      <w:pPr>
        <w:rPr>
          <w:rFonts w:ascii="Arial" w:hAnsi="Arial" w:cs="Arial"/>
        </w:rPr>
      </w:pPr>
    </w:p>
    <w:p w14:paraId="1E78E374" w14:textId="77777777" w:rsidR="00251963" w:rsidRPr="003F3B0A" w:rsidRDefault="00251963" w:rsidP="00251963">
      <w:pPr>
        <w:widowControl w:val="0"/>
        <w:autoSpaceDE w:val="0"/>
        <w:autoSpaceDN w:val="0"/>
        <w:adjustRightInd w:val="0"/>
        <w:rPr>
          <w:rFonts w:ascii="Arial" w:eastAsia="MS Mincho" w:hAnsi="Arial" w:cs="Arial"/>
          <w:bCs/>
          <w:color w:val="000000"/>
          <w:sz w:val="18"/>
          <w:vertAlign w:val="superscript"/>
        </w:rPr>
      </w:pPr>
    </w:p>
    <w:p w14:paraId="1EBAA712" w14:textId="77777777" w:rsidR="00251963" w:rsidRPr="003F3B0A" w:rsidRDefault="00251963" w:rsidP="00251963">
      <w:pPr>
        <w:widowControl w:val="0"/>
        <w:autoSpaceDE w:val="0"/>
        <w:autoSpaceDN w:val="0"/>
        <w:adjustRightInd w:val="0"/>
        <w:jc w:val="both"/>
        <w:rPr>
          <w:rFonts w:ascii="Arial" w:hAnsi="Arial" w:cs="Arial"/>
          <w:sz w:val="18"/>
        </w:rPr>
      </w:pPr>
      <w:r w:rsidRPr="003F3B0A">
        <w:rPr>
          <w:rFonts w:ascii="Arial" w:eastAsia="MS Mincho" w:hAnsi="Arial" w:cs="Arial"/>
          <w:bCs/>
          <w:color w:val="000000"/>
          <w:sz w:val="18"/>
          <w:vertAlign w:val="superscript"/>
        </w:rPr>
        <w:t>1</w:t>
      </w:r>
      <w:r w:rsidRPr="003F3B0A">
        <w:rPr>
          <w:rFonts w:ascii="Arial" w:eastAsia="MS Mincho" w:hAnsi="Arial" w:cs="Arial"/>
          <w:b/>
          <w:bCs/>
          <w:color w:val="000000"/>
          <w:sz w:val="18"/>
        </w:rPr>
        <w:t xml:space="preserve"> </w:t>
      </w:r>
      <w:r w:rsidRPr="003F3B0A">
        <w:rPr>
          <w:rFonts w:ascii="Arial" w:hAnsi="Arial" w:cs="Arial"/>
          <w:sz w:val="18"/>
        </w:rPr>
        <w:t>Se consideran como excepción los pacientes que mantienen carga viral indetectable de forma mantenida sin TAR (controladores de élite). En este caso no existe información que permita valorar el efecto beneficioso del TAR, por lo que no se puede establecer una recomendación de tratamiento.</w:t>
      </w:r>
    </w:p>
    <w:p w14:paraId="79A80D6A" w14:textId="77777777" w:rsidR="00251963" w:rsidRDefault="00251963" w:rsidP="00251963">
      <w:pPr>
        <w:widowControl w:val="0"/>
        <w:autoSpaceDE w:val="0"/>
        <w:autoSpaceDN w:val="0"/>
        <w:adjustRightInd w:val="0"/>
        <w:jc w:val="both"/>
        <w:rPr>
          <w:rFonts w:ascii="Arial" w:eastAsia="MS Mincho" w:hAnsi="Arial" w:cs="Arial"/>
          <w:color w:val="000000"/>
          <w:sz w:val="18"/>
        </w:rPr>
      </w:pPr>
      <w:r w:rsidRPr="003F3B0A">
        <w:rPr>
          <w:rFonts w:ascii="Arial" w:hAnsi="Arial" w:cs="Arial"/>
          <w:bCs/>
          <w:sz w:val="18"/>
          <w:vertAlign w:val="superscript"/>
        </w:rPr>
        <w:t xml:space="preserve">2 </w:t>
      </w:r>
      <w:r w:rsidRPr="003F3B0A">
        <w:rPr>
          <w:rFonts w:ascii="Arial" w:eastAsia="MS Mincho" w:hAnsi="Arial" w:cs="Arial"/>
          <w:color w:val="000000"/>
          <w:sz w:val="18"/>
        </w:rPr>
        <w:t>La disposición y la motivación del paciente es un factor crítico a la hora de tomar la decisión de empezarlo. Es importante hacer una valoración individualizada del momento de inicio del TAR y de los FAR que deben formar parte del régimen inicial, sopesando las ventajas e inconvenientes de cada una de las opciones</w:t>
      </w:r>
      <w:r>
        <w:rPr>
          <w:rFonts w:ascii="Arial" w:eastAsia="MS Mincho" w:hAnsi="Arial" w:cs="Arial"/>
          <w:color w:val="000000"/>
          <w:sz w:val="18"/>
        </w:rPr>
        <w:t>.</w:t>
      </w:r>
    </w:p>
    <w:p w14:paraId="3F179E55" w14:textId="77777777" w:rsidR="00251963" w:rsidRPr="003F3B0A" w:rsidRDefault="00251963" w:rsidP="00251963">
      <w:pPr>
        <w:widowControl w:val="0"/>
        <w:autoSpaceDE w:val="0"/>
        <w:autoSpaceDN w:val="0"/>
        <w:adjustRightInd w:val="0"/>
        <w:jc w:val="both"/>
        <w:rPr>
          <w:rFonts w:ascii="Arial" w:eastAsia="MS Mincho" w:hAnsi="Arial" w:cs="Arial"/>
          <w:color w:val="000000"/>
          <w:sz w:val="18"/>
        </w:rPr>
        <w:sectPr w:rsidR="00251963" w:rsidRPr="003F3B0A">
          <w:headerReference w:type="default" r:id="rId104"/>
          <w:footerReference w:type="default" r:id="rId105"/>
          <w:pgSz w:w="11906" w:h="16838"/>
          <w:pgMar w:top="1417" w:right="1701" w:bottom="1417" w:left="1701" w:header="708" w:footer="708" w:gutter="0"/>
          <w:cols w:space="708"/>
          <w:docGrid w:linePitch="360"/>
        </w:sectPr>
      </w:pPr>
    </w:p>
    <w:p w14:paraId="0822026B" w14:textId="77777777" w:rsidR="00251963" w:rsidRPr="003F3B0A" w:rsidRDefault="00251963" w:rsidP="00251963">
      <w:pPr>
        <w:widowControl w:val="0"/>
        <w:autoSpaceDE w:val="0"/>
        <w:autoSpaceDN w:val="0"/>
        <w:adjustRightInd w:val="0"/>
        <w:outlineLvl w:val="0"/>
        <w:rPr>
          <w:rFonts w:ascii="Arial" w:eastAsia="MS Mincho" w:hAnsi="Arial" w:cs="Arial"/>
          <w:b/>
          <w:bCs/>
          <w:color w:val="AE1C1F"/>
          <w:vertAlign w:val="superscript"/>
          <w:lang w:val="es-ES_tradnl"/>
        </w:rPr>
      </w:pPr>
      <w:r w:rsidRPr="003F3B0A">
        <w:rPr>
          <w:rFonts w:ascii="Arial" w:eastAsia="MS Mincho" w:hAnsi="Arial" w:cs="Arial"/>
          <w:b/>
          <w:bCs/>
          <w:color w:val="AE1C1F"/>
          <w:lang w:val="es-ES_tradnl"/>
        </w:rPr>
        <w:lastRenderedPageBreak/>
        <w:t>Tabla 3. Combinaciones de TAR de inicio recomendadas</w:t>
      </w:r>
      <w:r w:rsidRPr="003F3B0A">
        <w:rPr>
          <w:rFonts w:ascii="Arial" w:eastAsia="MS Mincho" w:hAnsi="Arial" w:cs="Arial"/>
          <w:b/>
          <w:bCs/>
          <w:color w:val="AE1C1F"/>
          <w:vertAlign w:val="superscript"/>
          <w:lang w:val="es-ES_tradnl"/>
        </w:rPr>
        <w:t xml:space="preserve">† </w:t>
      </w:r>
    </w:p>
    <w:p w14:paraId="1BC366B0" w14:textId="77777777" w:rsidR="00251963" w:rsidRPr="003F3B0A" w:rsidRDefault="00251963" w:rsidP="00251963">
      <w:pPr>
        <w:widowControl w:val="0"/>
        <w:autoSpaceDE w:val="0"/>
        <w:autoSpaceDN w:val="0"/>
        <w:adjustRightInd w:val="0"/>
        <w:outlineLvl w:val="0"/>
        <w:rPr>
          <w:rFonts w:ascii="Arial" w:eastAsia="MS Mincho" w:hAnsi="Arial" w:cs="Arial"/>
          <w:b/>
          <w:bCs/>
          <w:color w:val="006600"/>
          <w:vertAlign w:val="superscript"/>
          <w:lang w:val="es-ES_tradnl"/>
        </w:rPr>
      </w:pPr>
    </w:p>
    <w:tbl>
      <w:tblPr>
        <w:tblW w:w="10207"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984"/>
        <w:gridCol w:w="6804"/>
      </w:tblGrid>
      <w:tr w:rsidR="00251963" w:rsidRPr="003F3B0A" w14:paraId="55D5E850" w14:textId="77777777" w:rsidTr="00A53EA0">
        <w:trPr>
          <w:trHeight w:val="575"/>
        </w:trPr>
        <w:tc>
          <w:tcPr>
            <w:tcW w:w="1419" w:type="dxa"/>
            <w:shd w:val="clear" w:color="auto" w:fill="FDE9D9"/>
            <w:vAlign w:val="center"/>
          </w:tcPr>
          <w:p w14:paraId="32474109" w14:textId="77777777" w:rsidR="00251963" w:rsidRPr="003F3B0A" w:rsidRDefault="00251963" w:rsidP="00A53EA0">
            <w:pPr>
              <w:widowControl w:val="0"/>
              <w:autoSpaceDE w:val="0"/>
              <w:autoSpaceDN w:val="0"/>
              <w:adjustRightInd w:val="0"/>
              <w:jc w:val="center"/>
              <w:rPr>
                <w:rFonts w:ascii="Arial" w:eastAsia="MS Mincho" w:hAnsi="Arial" w:cs="Arial"/>
                <w:color w:val="AE1C1F"/>
                <w:sz w:val="20"/>
                <w:szCs w:val="20"/>
              </w:rPr>
            </w:pPr>
            <w:r w:rsidRPr="003F3B0A">
              <w:rPr>
                <w:rFonts w:ascii="Arial" w:eastAsia="MS Mincho" w:hAnsi="Arial" w:cs="Arial"/>
                <w:b/>
                <w:bCs/>
                <w:color w:val="AE1C1F"/>
                <w:sz w:val="20"/>
                <w:szCs w:val="20"/>
              </w:rPr>
              <w:t>3er Fármaco</w:t>
            </w:r>
          </w:p>
        </w:tc>
        <w:tc>
          <w:tcPr>
            <w:tcW w:w="1984" w:type="dxa"/>
            <w:shd w:val="clear" w:color="auto" w:fill="FDE9D9"/>
            <w:vAlign w:val="center"/>
          </w:tcPr>
          <w:p w14:paraId="7296BA9A" w14:textId="77777777" w:rsidR="00251963" w:rsidRPr="003F3B0A" w:rsidRDefault="00251963" w:rsidP="00A53EA0">
            <w:pPr>
              <w:widowControl w:val="0"/>
              <w:autoSpaceDE w:val="0"/>
              <w:autoSpaceDN w:val="0"/>
              <w:adjustRightInd w:val="0"/>
              <w:jc w:val="center"/>
              <w:rPr>
                <w:rFonts w:ascii="Arial" w:eastAsia="MS Mincho" w:hAnsi="Arial" w:cs="Arial"/>
                <w:color w:val="AE1C1F"/>
                <w:sz w:val="20"/>
                <w:szCs w:val="20"/>
              </w:rPr>
            </w:pPr>
            <w:r w:rsidRPr="003F3B0A">
              <w:rPr>
                <w:rFonts w:ascii="Arial" w:eastAsia="MS Mincho" w:hAnsi="Arial" w:cs="Arial"/>
                <w:b/>
                <w:bCs/>
                <w:color w:val="AE1C1F"/>
                <w:sz w:val="20"/>
                <w:szCs w:val="20"/>
              </w:rPr>
              <w:t>Pauta</w:t>
            </w:r>
            <w:r w:rsidRPr="003F3B0A">
              <w:rPr>
                <w:rFonts w:ascii="Arial" w:eastAsia="MS Mincho" w:hAnsi="Arial" w:cs="Arial"/>
                <w:b/>
                <w:bCs/>
                <w:color w:val="AE1C1F"/>
                <w:sz w:val="20"/>
                <w:szCs w:val="20"/>
                <w:vertAlign w:val="superscript"/>
              </w:rPr>
              <w:t>†</w:t>
            </w:r>
          </w:p>
        </w:tc>
        <w:tc>
          <w:tcPr>
            <w:tcW w:w="6804" w:type="dxa"/>
            <w:shd w:val="clear" w:color="auto" w:fill="FDE9D9"/>
            <w:vAlign w:val="center"/>
          </w:tcPr>
          <w:p w14:paraId="1B8198F6" w14:textId="77777777" w:rsidR="00251963" w:rsidRPr="003F3B0A" w:rsidRDefault="00251963" w:rsidP="00A53EA0">
            <w:pPr>
              <w:widowControl w:val="0"/>
              <w:autoSpaceDE w:val="0"/>
              <w:autoSpaceDN w:val="0"/>
              <w:adjustRightInd w:val="0"/>
              <w:jc w:val="center"/>
              <w:rPr>
                <w:rFonts w:ascii="Arial" w:eastAsia="MS Mincho" w:hAnsi="Arial" w:cs="Arial"/>
                <w:color w:val="AE1C1F"/>
                <w:sz w:val="20"/>
                <w:szCs w:val="20"/>
              </w:rPr>
            </w:pPr>
            <w:r w:rsidRPr="003F3B0A">
              <w:rPr>
                <w:rFonts w:ascii="Arial" w:eastAsia="MS Mincho" w:hAnsi="Arial" w:cs="Arial"/>
                <w:b/>
                <w:bCs/>
                <w:color w:val="AE1C1F"/>
                <w:sz w:val="20"/>
                <w:szCs w:val="20"/>
              </w:rPr>
              <w:t>Comentarios</w:t>
            </w:r>
            <w:r w:rsidRPr="003F3B0A">
              <w:rPr>
                <w:rFonts w:ascii="Arial" w:eastAsia="MS Mincho" w:hAnsi="Arial" w:cs="Arial"/>
                <w:color w:val="AE1C1F"/>
                <w:sz w:val="20"/>
                <w:szCs w:val="20"/>
                <w:vertAlign w:val="superscript"/>
              </w:rPr>
              <w:t>‡</w:t>
            </w:r>
          </w:p>
        </w:tc>
      </w:tr>
      <w:tr w:rsidR="00251963" w:rsidRPr="003F3B0A" w14:paraId="0CA4708D" w14:textId="77777777" w:rsidTr="00A53EA0">
        <w:trPr>
          <w:trHeight w:val="773"/>
        </w:trPr>
        <w:tc>
          <w:tcPr>
            <w:tcW w:w="10207" w:type="dxa"/>
            <w:gridSpan w:val="3"/>
            <w:shd w:val="clear" w:color="auto" w:fill="FDE9D9"/>
          </w:tcPr>
          <w:p w14:paraId="0A3E21D4" w14:textId="77777777" w:rsidR="00251963" w:rsidRPr="003F3B0A" w:rsidRDefault="00251963" w:rsidP="00A53EA0">
            <w:pPr>
              <w:widowControl w:val="0"/>
              <w:autoSpaceDE w:val="0"/>
              <w:autoSpaceDN w:val="0"/>
              <w:adjustRightInd w:val="0"/>
              <w:spacing w:before="60" w:after="60"/>
              <w:ind w:left="1134" w:hanging="1134"/>
              <w:rPr>
                <w:rFonts w:ascii="Arial" w:eastAsia="MS Mincho" w:hAnsi="Arial" w:cs="Arial"/>
                <w:i/>
                <w:color w:val="000000"/>
                <w:sz w:val="20"/>
                <w:szCs w:val="20"/>
              </w:rPr>
            </w:pPr>
            <w:r w:rsidRPr="003F3B0A">
              <w:rPr>
                <w:rFonts w:ascii="Arial" w:eastAsia="MS Mincho" w:hAnsi="Arial" w:cs="Arial"/>
                <w:sz w:val="20"/>
                <w:szCs w:val="20"/>
              </w:rPr>
              <w:t xml:space="preserve"> </w:t>
            </w:r>
            <w:r w:rsidRPr="003F3B0A">
              <w:rPr>
                <w:rFonts w:ascii="Arial" w:eastAsia="MS Mincho" w:hAnsi="Arial" w:cs="Arial"/>
                <w:b/>
                <w:bCs/>
                <w:i/>
                <w:color w:val="000000"/>
                <w:sz w:val="18"/>
                <w:szCs w:val="20"/>
              </w:rPr>
              <w:t xml:space="preserve">Preferentes. </w:t>
            </w:r>
            <w:r w:rsidRPr="003F3B0A">
              <w:rPr>
                <w:rFonts w:ascii="Arial" w:eastAsia="MS Mincho" w:hAnsi="Arial" w:cs="Arial"/>
                <w:i/>
                <w:color w:val="000000"/>
                <w:sz w:val="18"/>
                <w:szCs w:val="20"/>
              </w:rPr>
              <w:t>Pautas aplicables a la mayoría de los pacientes y que en ensayos clínicos aleatorizados han mostrado una eficacia no</w:t>
            </w:r>
            <w:r>
              <w:rPr>
                <w:rFonts w:ascii="Arial" w:eastAsia="MS Mincho" w:hAnsi="Arial" w:cs="Arial"/>
                <w:i/>
                <w:color w:val="000000"/>
                <w:sz w:val="18"/>
                <w:szCs w:val="20"/>
              </w:rPr>
              <w:t xml:space="preserve"> </w:t>
            </w:r>
            <w:r w:rsidRPr="003F3B0A">
              <w:rPr>
                <w:rFonts w:ascii="Arial" w:eastAsia="MS Mincho" w:hAnsi="Arial" w:cs="Arial"/>
                <w:i/>
                <w:color w:val="000000"/>
                <w:sz w:val="18"/>
                <w:szCs w:val="20"/>
              </w:rPr>
              <w:t xml:space="preserve">inferior a otras pautas también consideradas actualmente como preferentes o superior frente a otras pautas y presentan ventajas adicionales en tolerancia, toxicidad o un bajo riesgo de interacciones farmacológicas. </w:t>
            </w:r>
          </w:p>
        </w:tc>
      </w:tr>
      <w:tr w:rsidR="00251963" w:rsidRPr="003F3B0A" w14:paraId="27266637" w14:textId="77777777" w:rsidTr="00A53EA0">
        <w:trPr>
          <w:trHeight w:val="270"/>
        </w:trPr>
        <w:tc>
          <w:tcPr>
            <w:tcW w:w="1419" w:type="dxa"/>
            <w:vMerge w:val="restart"/>
          </w:tcPr>
          <w:p w14:paraId="1B7E7CFC" w14:textId="77777777" w:rsidR="00251963" w:rsidRPr="003F3B0A" w:rsidRDefault="00251963" w:rsidP="00A53EA0">
            <w:pPr>
              <w:widowControl w:val="0"/>
              <w:autoSpaceDE w:val="0"/>
              <w:autoSpaceDN w:val="0"/>
              <w:adjustRightInd w:val="0"/>
              <w:rPr>
                <w:rFonts w:ascii="Arial" w:eastAsia="MS Mincho" w:hAnsi="Arial" w:cs="Arial"/>
                <w:sz w:val="20"/>
                <w:szCs w:val="20"/>
              </w:rPr>
            </w:pPr>
            <w:r w:rsidRPr="003F3B0A">
              <w:rPr>
                <w:rFonts w:ascii="Arial" w:eastAsia="MS Mincho" w:hAnsi="Arial" w:cs="Arial"/>
                <w:sz w:val="20"/>
                <w:szCs w:val="20"/>
              </w:rPr>
              <w:t xml:space="preserve"> </w:t>
            </w:r>
            <w:r w:rsidRPr="003F3B0A">
              <w:rPr>
                <w:rFonts w:ascii="Arial" w:eastAsia="MS Mincho" w:hAnsi="Arial" w:cs="Arial"/>
                <w:b/>
                <w:bCs/>
                <w:color w:val="000000"/>
                <w:sz w:val="20"/>
                <w:szCs w:val="20"/>
              </w:rPr>
              <w:t>INI</w:t>
            </w:r>
          </w:p>
        </w:tc>
        <w:tc>
          <w:tcPr>
            <w:tcW w:w="1984" w:type="dxa"/>
          </w:tcPr>
          <w:p w14:paraId="5E8D8605"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rPr>
            </w:pPr>
            <w:r w:rsidRPr="003F3B0A">
              <w:rPr>
                <w:rFonts w:ascii="Arial" w:eastAsia="MS Mincho" w:hAnsi="Arial" w:cs="Arial"/>
                <w:color w:val="000000"/>
                <w:sz w:val="20"/>
                <w:szCs w:val="20"/>
              </w:rPr>
              <w:t>BIC/FTC/TAF</w:t>
            </w:r>
          </w:p>
        </w:tc>
        <w:tc>
          <w:tcPr>
            <w:tcW w:w="6804" w:type="dxa"/>
          </w:tcPr>
          <w:p w14:paraId="765B49AD" w14:textId="77777777" w:rsidR="00251963" w:rsidRPr="00EE66FA" w:rsidRDefault="00251963" w:rsidP="00A53EA0">
            <w:pPr>
              <w:widowControl w:val="0"/>
              <w:autoSpaceDE w:val="0"/>
              <w:autoSpaceDN w:val="0"/>
              <w:adjustRightInd w:val="0"/>
              <w:spacing w:before="60"/>
              <w:rPr>
                <w:rFonts w:eastAsia="MS Mincho"/>
                <w:lang w:val="es-ES_tradnl"/>
              </w:rPr>
            </w:pPr>
          </w:p>
        </w:tc>
      </w:tr>
      <w:tr w:rsidR="00251963" w:rsidRPr="003F3B0A" w14:paraId="29976618" w14:textId="77777777" w:rsidTr="00A53EA0">
        <w:trPr>
          <w:trHeight w:val="281"/>
        </w:trPr>
        <w:tc>
          <w:tcPr>
            <w:tcW w:w="1419" w:type="dxa"/>
            <w:vMerge/>
          </w:tcPr>
          <w:p w14:paraId="072C02E8" w14:textId="77777777" w:rsidR="00251963" w:rsidRPr="003F3B0A" w:rsidRDefault="00251963" w:rsidP="00A53EA0">
            <w:pPr>
              <w:widowControl w:val="0"/>
              <w:autoSpaceDE w:val="0"/>
              <w:autoSpaceDN w:val="0"/>
              <w:adjustRightInd w:val="0"/>
              <w:rPr>
                <w:rFonts w:ascii="Arial" w:eastAsia="MS Mincho" w:hAnsi="Arial" w:cs="Arial"/>
                <w:sz w:val="20"/>
                <w:szCs w:val="20"/>
              </w:rPr>
            </w:pPr>
          </w:p>
        </w:tc>
        <w:tc>
          <w:tcPr>
            <w:tcW w:w="1984" w:type="dxa"/>
          </w:tcPr>
          <w:p w14:paraId="3E78373A"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lang w:val="en-US"/>
              </w:rPr>
              <w:t>DTG/ABC/3TC</w:t>
            </w:r>
          </w:p>
        </w:tc>
        <w:tc>
          <w:tcPr>
            <w:tcW w:w="6804" w:type="dxa"/>
          </w:tcPr>
          <w:p w14:paraId="24EB87B6" w14:textId="77777777" w:rsidR="00251963" w:rsidRPr="003F3B0A"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8"/>
                <w:szCs w:val="20"/>
                <w:lang w:val="es-ES_tradnl"/>
              </w:rPr>
            </w:pPr>
            <w:r w:rsidRPr="003F3B0A">
              <w:rPr>
                <w:rFonts w:ascii="Arial" w:eastAsia="MS Mincho" w:hAnsi="Arial" w:cs="Arial"/>
                <w:color w:val="000000"/>
                <w:sz w:val="16"/>
                <w:szCs w:val="20"/>
                <w:lang w:val="es-ES_tradnl"/>
              </w:rPr>
              <w:t>ABC está contraindicado en pacientes con HLA-B*5701 positivo.</w:t>
            </w:r>
          </w:p>
          <w:p w14:paraId="7AC20A36" w14:textId="77777777" w:rsidR="00251963" w:rsidRPr="008B1636"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8"/>
                <w:szCs w:val="20"/>
                <w:lang w:val="es-ES_tradnl"/>
              </w:rPr>
            </w:pPr>
            <w:r w:rsidRPr="003F3B0A">
              <w:rPr>
                <w:rFonts w:ascii="Arial" w:eastAsia="MS Mincho" w:hAnsi="Arial" w:cs="Arial"/>
                <w:color w:val="000000"/>
                <w:sz w:val="16"/>
                <w:szCs w:val="20"/>
                <w:lang w:val="es-ES_tradnl"/>
              </w:rPr>
              <w:t xml:space="preserve">DTG no debe utilizarse </w:t>
            </w:r>
            <w:r w:rsidRPr="008B1636">
              <w:rPr>
                <w:rFonts w:ascii="Arial" w:eastAsia="MS Mincho" w:hAnsi="Arial" w:cs="Arial"/>
                <w:color w:val="000000"/>
                <w:sz w:val="16"/>
                <w:szCs w:val="20"/>
                <w:highlight w:val="yellow"/>
                <w:lang w:val="es-ES_tradnl"/>
              </w:rPr>
              <w:t>en mujeres que deseen quedarse embarazadas o mujeres en edad fértil que no utilicen medidas anticonceptivas eficaces</w:t>
            </w:r>
            <w:r>
              <w:rPr>
                <w:rFonts w:ascii="Arial" w:eastAsia="MS Mincho" w:hAnsi="Arial" w:cs="Arial"/>
                <w:color w:val="000000"/>
                <w:sz w:val="16"/>
                <w:szCs w:val="20"/>
                <w:lang w:val="es-ES_tradnl"/>
              </w:rPr>
              <w:t>.</w:t>
            </w:r>
            <w:r w:rsidRPr="008B1636" w:rsidDel="008B1636">
              <w:rPr>
                <w:rFonts w:ascii="Arial" w:eastAsia="MS Mincho" w:hAnsi="Arial" w:cs="Arial"/>
                <w:color w:val="000000"/>
                <w:sz w:val="16"/>
                <w:szCs w:val="20"/>
                <w:lang w:val="es-ES_tradnl"/>
              </w:rPr>
              <w:t xml:space="preserve"> </w:t>
            </w:r>
          </w:p>
          <w:p w14:paraId="010EA332" w14:textId="77777777" w:rsidR="00251963" w:rsidRPr="003F3B0A"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8"/>
                <w:szCs w:val="20"/>
                <w:lang w:val="es-ES_tradnl"/>
              </w:rPr>
            </w:pPr>
            <w:r w:rsidRPr="003F3B0A">
              <w:rPr>
                <w:rFonts w:ascii="Arial" w:eastAsia="MS Mincho" w:hAnsi="Arial" w:cs="Arial"/>
                <w:color w:val="000000"/>
                <w:sz w:val="16"/>
                <w:szCs w:val="20"/>
                <w:lang w:val="es-ES_tradnl"/>
              </w:rPr>
              <w:t>No utilizar en pacientes con hepatitis crónica</w:t>
            </w:r>
            <w:r>
              <w:rPr>
                <w:rFonts w:ascii="Arial" w:eastAsia="MS Mincho" w:hAnsi="Arial" w:cs="Arial"/>
                <w:color w:val="000000"/>
                <w:sz w:val="16"/>
                <w:szCs w:val="20"/>
                <w:lang w:val="es-ES_tradnl"/>
              </w:rPr>
              <w:t xml:space="preserve"> por VHB</w:t>
            </w:r>
            <w:r w:rsidRPr="003F3B0A">
              <w:rPr>
                <w:rFonts w:ascii="Arial" w:eastAsia="MS Mincho" w:hAnsi="Arial" w:cs="Arial"/>
                <w:color w:val="000000"/>
                <w:sz w:val="16"/>
                <w:szCs w:val="20"/>
                <w:lang w:val="es-ES_tradnl"/>
              </w:rPr>
              <w:t>.</w:t>
            </w:r>
          </w:p>
        </w:tc>
      </w:tr>
      <w:tr w:rsidR="00251963" w:rsidRPr="003F3B0A" w14:paraId="04669C3A" w14:textId="77777777" w:rsidTr="00A53EA0">
        <w:trPr>
          <w:trHeight w:val="488"/>
        </w:trPr>
        <w:tc>
          <w:tcPr>
            <w:tcW w:w="1419" w:type="dxa"/>
            <w:vMerge/>
          </w:tcPr>
          <w:p w14:paraId="303471A6" w14:textId="77777777" w:rsidR="00251963" w:rsidRPr="003F3B0A" w:rsidRDefault="00251963" w:rsidP="00A53EA0">
            <w:pPr>
              <w:widowControl w:val="0"/>
              <w:autoSpaceDE w:val="0"/>
              <w:autoSpaceDN w:val="0"/>
              <w:adjustRightInd w:val="0"/>
              <w:rPr>
                <w:rFonts w:ascii="Arial" w:eastAsia="MS Mincho" w:hAnsi="Arial" w:cs="Arial"/>
                <w:sz w:val="20"/>
                <w:szCs w:val="20"/>
              </w:rPr>
            </w:pPr>
          </w:p>
        </w:tc>
        <w:tc>
          <w:tcPr>
            <w:tcW w:w="1984" w:type="dxa"/>
          </w:tcPr>
          <w:p w14:paraId="66F8C4DB"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lang w:val="en-US"/>
              </w:rPr>
              <w:t>DTG+FTC/TAF*</w:t>
            </w:r>
            <w:r>
              <w:rPr>
                <w:rFonts w:ascii="Arial" w:eastAsia="MS Mincho" w:hAnsi="Arial" w:cs="Arial"/>
                <w:color w:val="000000"/>
                <w:sz w:val="20"/>
                <w:szCs w:val="20"/>
                <w:vertAlign w:val="superscript"/>
                <w:lang w:val="en-US"/>
              </w:rPr>
              <w:t>,</w:t>
            </w:r>
            <w:r>
              <w:rPr>
                <w:rFonts w:ascii="Arial" w:eastAsia="MS Mincho" w:hAnsi="Arial" w:cs="Arial"/>
                <w:color w:val="000000"/>
                <w:sz w:val="20"/>
                <w:szCs w:val="20"/>
                <w:lang w:val="en-US"/>
              </w:rPr>
              <w:t xml:space="preserve"> **</w:t>
            </w:r>
          </w:p>
        </w:tc>
        <w:tc>
          <w:tcPr>
            <w:tcW w:w="6804" w:type="dxa"/>
          </w:tcPr>
          <w:p w14:paraId="70A4FC0E" w14:textId="77777777" w:rsidR="00251963" w:rsidRPr="003F3B0A" w:rsidRDefault="00251963" w:rsidP="00A53EA0">
            <w:pPr>
              <w:widowControl w:val="0"/>
              <w:autoSpaceDE w:val="0"/>
              <w:autoSpaceDN w:val="0"/>
              <w:adjustRightInd w:val="0"/>
              <w:spacing w:before="60"/>
              <w:rPr>
                <w:rFonts w:ascii="Arial" w:eastAsia="MS Mincho" w:hAnsi="Arial" w:cs="Arial"/>
                <w:color w:val="000000"/>
                <w:sz w:val="18"/>
                <w:szCs w:val="20"/>
                <w:lang w:val="es-ES_tradnl"/>
              </w:rPr>
            </w:pPr>
            <w:r>
              <w:rPr>
                <w:rFonts w:ascii="Arial" w:eastAsia="MS Mincho" w:hAnsi="Arial" w:cs="Arial"/>
                <w:color w:val="000000"/>
                <w:sz w:val="16"/>
                <w:szCs w:val="20"/>
                <w:lang w:val="es-ES_tradnl"/>
              </w:rPr>
              <w:t xml:space="preserve">- </w:t>
            </w:r>
            <w:r w:rsidRPr="003F3B0A">
              <w:rPr>
                <w:rFonts w:ascii="Arial" w:eastAsia="MS Mincho" w:hAnsi="Arial" w:cs="Arial"/>
                <w:color w:val="000000"/>
                <w:sz w:val="16"/>
                <w:szCs w:val="20"/>
                <w:lang w:val="es-ES_tradnl"/>
              </w:rPr>
              <w:t xml:space="preserve">DTG no debe utilizarse </w:t>
            </w:r>
            <w:r w:rsidRPr="008B1636">
              <w:rPr>
                <w:rFonts w:ascii="Arial" w:eastAsia="MS Mincho" w:hAnsi="Arial" w:cs="Arial"/>
                <w:color w:val="000000"/>
                <w:sz w:val="16"/>
                <w:szCs w:val="20"/>
                <w:highlight w:val="yellow"/>
                <w:lang w:val="es-ES_tradnl"/>
              </w:rPr>
              <w:t>en mujeres que deseen quedarse embarazadas o mujeres en edad fértil que no utilicen medidas anticonceptivas eficaces</w:t>
            </w:r>
          </w:p>
        </w:tc>
      </w:tr>
      <w:tr w:rsidR="00251963" w:rsidRPr="003F3B0A" w14:paraId="277A9A9D" w14:textId="77777777" w:rsidTr="00A53EA0">
        <w:trPr>
          <w:trHeight w:val="354"/>
        </w:trPr>
        <w:tc>
          <w:tcPr>
            <w:tcW w:w="1419" w:type="dxa"/>
            <w:vMerge/>
          </w:tcPr>
          <w:p w14:paraId="6F84095A" w14:textId="77777777" w:rsidR="00251963" w:rsidRPr="003F3B0A" w:rsidRDefault="00251963" w:rsidP="00A53EA0">
            <w:pPr>
              <w:widowControl w:val="0"/>
              <w:autoSpaceDE w:val="0"/>
              <w:autoSpaceDN w:val="0"/>
              <w:adjustRightInd w:val="0"/>
              <w:rPr>
                <w:rFonts w:ascii="Arial" w:eastAsia="MS Mincho" w:hAnsi="Arial" w:cs="Arial"/>
                <w:sz w:val="20"/>
                <w:szCs w:val="20"/>
              </w:rPr>
            </w:pPr>
          </w:p>
        </w:tc>
        <w:tc>
          <w:tcPr>
            <w:tcW w:w="1984" w:type="dxa"/>
          </w:tcPr>
          <w:p w14:paraId="3767A8F3"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lang w:val="en-US"/>
              </w:rPr>
              <w:t>RAL+FTC/TAF*</w:t>
            </w:r>
          </w:p>
        </w:tc>
        <w:tc>
          <w:tcPr>
            <w:tcW w:w="6804" w:type="dxa"/>
          </w:tcPr>
          <w:p w14:paraId="1EC93172" w14:textId="77777777" w:rsidR="00251963" w:rsidRPr="003F3B0A" w:rsidRDefault="00251963" w:rsidP="00A53EA0">
            <w:pPr>
              <w:widowControl w:val="0"/>
              <w:autoSpaceDE w:val="0"/>
              <w:autoSpaceDN w:val="0"/>
              <w:adjustRightInd w:val="0"/>
              <w:spacing w:before="60"/>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 RAL puede administrarse indistintamente como 1 comprimido de 400 mg cada 12 horas, o 2 comprimidos de 600 mg cada 24 horas.</w:t>
            </w:r>
          </w:p>
        </w:tc>
      </w:tr>
      <w:tr w:rsidR="00251963" w:rsidRPr="003F3B0A" w14:paraId="7A29F4FB" w14:textId="77777777" w:rsidTr="00A53EA0">
        <w:trPr>
          <w:trHeight w:val="354"/>
        </w:trPr>
        <w:tc>
          <w:tcPr>
            <w:tcW w:w="1419" w:type="dxa"/>
            <w:vMerge/>
          </w:tcPr>
          <w:p w14:paraId="258A355B" w14:textId="77777777" w:rsidR="00251963" w:rsidRPr="00CC1722" w:rsidRDefault="00251963" w:rsidP="00A53EA0">
            <w:pPr>
              <w:widowControl w:val="0"/>
              <w:autoSpaceDE w:val="0"/>
              <w:autoSpaceDN w:val="0"/>
              <w:adjustRightInd w:val="0"/>
              <w:rPr>
                <w:rFonts w:ascii="Arial" w:eastAsia="MS Mincho" w:hAnsi="Arial" w:cs="Arial"/>
                <w:sz w:val="20"/>
                <w:szCs w:val="20"/>
                <w:highlight w:val="yellow"/>
              </w:rPr>
            </w:pPr>
          </w:p>
        </w:tc>
        <w:tc>
          <w:tcPr>
            <w:tcW w:w="1984" w:type="dxa"/>
          </w:tcPr>
          <w:p w14:paraId="422DA000" w14:textId="77777777" w:rsidR="00251963" w:rsidRPr="00CC1722" w:rsidRDefault="00251963" w:rsidP="00A53EA0">
            <w:pPr>
              <w:widowControl w:val="0"/>
              <w:autoSpaceDE w:val="0"/>
              <w:autoSpaceDN w:val="0"/>
              <w:adjustRightInd w:val="0"/>
              <w:rPr>
                <w:rFonts w:ascii="Arial" w:eastAsia="MS Mincho" w:hAnsi="Arial" w:cs="Arial"/>
                <w:color w:val="000000"/>
                <w:sz w:val="20"/>
                <w:szCs w:val="20"/>
                <w:highlight w:val="yellow"/>
                <w:lang w:val="en-US"/>
              </w:rPr>
            </w:pPr>
            <w:r w:rsidRPr="00CC1722">
              <w:rPr>
                <w:rFonts w:ascii="Arial" w:eastAsia="MS Mincho" w:hAnsi="Arial" w:cs="Arial"/>
                <w:color w:val="000000"/>
                <w:sz w:val="20"/>
                <w:szCs w:val="20"/>
                <w:highlight w:val="yellow"/>
                <w:lang w:val="en-US"/>
              </w:rPr>
              <w:t>DTG</w:t>
            </w:r>
            <w:r>
              <w:rPr>
                <w:rFonts w:ascii="Arial" w:eastAsia="MS Mincho" w:hAnsi="Arial" w:cs="Arial"/>
                <w:color w:val="000000"/>
                <w:sz w:val="20"/>
                <w:szCs w:val="20"/>
                <w:highlight w:val="yellow"/>
                <w:lang w:val="en-US"/>
              </w:rPr>
              <w:t>/</w:t>
            </w:r>
            <w:r w:rsidRPr="00CC1722">
              <w:rPr>
                <w:rFonts w:ascii="Arial" w:eastAsia="MS Mincho" w:hAnsi="Arial" w:cs="Arial"/>
                <w:color w:val="000000"/>
                <w:sz w:val="20"/>
                <w:szCs w:val="20"/>
                <w:highlight w:val="yellow"/>
                <w:lang w:val="en-US"/>
              </w:rPr>
              <w:t>3TC</w:t>
            </w:r>
          </w:p>
        </w:tc>
        <w:tc>
          <w:tcPr>
            <w:tcW w:w="6804" w:type="dxa"/>
          </w:tcPr>
          <w:p w14:paraId="6B6005D3" w14:textId="77777777" w:rsidR="00251963" w:rsidRDefault="00251963" w:rsidP="00A53EA0">
            <w:pPr>
              <w:widowControl w:val="0"/>
              <w:autoSpaceDE w:val="0"/>
              <w:autoSpaceDN w:val="0"/>
              <w:adjustRightInd w:val="0"/>
              <w:spacing w:before="60"/>
              <w:rPr>
                <w:rFonts w:ascii="Arial" w:eastAsia="MS Mincho" w:hAnsi="Arial" w:cs="Arial"/>
                <w:color w:val="000000"/>
                <w:sz w:val="16"/>
                <w:szCs w:val="20"/>
                <w:highlight w:val="yellow"/>
              </w:rPr>
            </w:pPr>
            <w:r w:rsidRPr="00CC1722">
              <w:rPr>
                <w:rFonts w:ascii="Arial" w:eastAsia="MS Mincho" w:hAnsi="Arial" w:cs="Arial"/>
                <w:color w:val="000000"/>
                <w:sz w:val="16"/>
                <w:szCs w:val="20"/>
                <w:highlight w:val="yellow"/>
                <w:lang w:val="es-ES_tradnl"/>
              </w:rPr>
              <w:t xml:space="preserve">- </w:t>
            </w:r>
            <w:r w:rsidRPr="00CC1722">
              <w:rPr>
                <w:rFonts w:ascii="Arial" w:eastAsia="MS Mincho" w:hAnsi="Arial" w:cs="Arial"/>
                <w:color w:val="000000"/>
                <w:sz w:val="16"/>
                <w:szCs w:val="20"/>
                <w:highlight w:val="yellow"/>
              </w:rPr>
              <w:t xml:space="preserve">No recomendado en pacientes con </w:t>
            </w:r>
            <w:r>
              <w:rPr>
                <w:rFonts w:ascii="Arial" w:eastAsia="MS Mincho" w:hAnsi="Arial" w:cs="Arial"/>
                <w:color w:val="000000"/>
                <w:sz w:val="16"/>
                <w:szCs w:val="20"/>
                <w:highlight w:val="yellow"/>
              </w:rPr>
              <w:t xml:space="preserve">cifra basal de </w:t>
            </w:r>
            <w:r w:rsidRPr="00CC1722">
              <w:rPr>
                <w:rFonts w:ascii="Arial" w:eastAsia="MS Mincho" w:hAnsi="Arial" w:cs="Arial"/>
                <w:color w:val="000000"/>
                <w:sz w:val="16"/>
                <w:szCs w:val="20"/>
                <w:highlight w:val="yellow"/>
              </w:rPr>
              <w:t>CD4+ menor de 200/µL</w:t>
            </w:r>
            <w:r>
              <w:rPr>
                <w:rFonts w:ascii="Arial" w:eastAsia="MS Mincho" w:hAnsi="Arial" w:cs="Arial"/>
                <w:color w:val="000000"/>
                <w:sz w:val="16"/>
                <w:szCs w:val="20"/>
                <w:highlight w:val="yellow"/>
              </w:rPr>
              <w:t xml:space="preserve"> </w:t>
            </w:r>
          </w:p>
          <w:p w14:paraId="5DCC6A15" w14:textId="77777777" w:rsidR="00251963" w:rsidRDefault="00251963" w:rsidP="00A53EA0">
            <w:pPr>
              <w:widowControl w:val="0"/>
              <w:autoSpaceDE w:val="0"/>
              <w:autoSpaceDN w:val="0"/>
              <w:adjustRightInd w:val="0"/>
              <w:spacing w:before="60"/>
              <w:rPr>
                <w:rFonts w:ascii="Arial" w:eastAsia="MS Mincho" w:hAnsi="Arial" w:cs="Arial"/>
                <w:color w:val="000000"/>
                <w:sz w:val="16"/>
                <w:szCs w:val="20"/>
                <w:lang w:val="es-ES_tradnl"/>
              </w:rPr>
            </w:pPr>
            <w:r>
              <w:rPr>
                <w:rFonts w:ascii="Arial" w:eastAsia="MS Mincho" w:hAnsi="Arial" w:cs="Arial"/>
                <w:color w:val="000000"/>
                <w:sz w:val="16"/>
                <w:szCs w:val="20"/>
                <w:lang w:val="es-ES_tradnl"/>
              </w:rPr>
              <w:t xml:space="preserve">- </w:t>
            </w:r>
            <w:r w:rsidRPr="003F3B0A">
              <w:rPr>
                <w:rFonts w:ascii="Arial" w:eastAsia="MS Mincho" w:hAnsi="Arial" w:cs="Arial"/>
                <w:color w:val="000000"/>
                <w:sz w:val="16"/>
                <w:szCs w:val="20"/>
                <w:lang w:val="es-ES_tradnl"/>
              </w:rPr>
              <w:t xml:space="preserve">DTG no debe utilizarse </w:t>
            </w:r>
            <w:r w:rsidRPr="008B1636">
              <w:rPr>
                <w:rFonts w:ascii="Arial" w:eastAsia="MS Mincho" w:hAnsi="Arial" w:cs="Arial"/>
                <w:color w:val="000000"/>
                <w:sz w:val="16"/>
                <w:szCs w:val="20"/>
                <w:highlight w:val="yellow"/>
                <w:lang w:val="es-ES_tradnl"/>
              </w:rPr>
              <w:t>en mujeres que deseen quedarse embarazadas o mujeres en edad fértil que no utilicen medidas anticonceptivas eficaces</w:t>
            </w:r>
            <w:r w:rsidRPr="008B1636">
              <w:rPr>
                <w:rFonts w:ascii="Arial" w:eastAsia="MS Mincho" w:hAnsi="Arial" w:cs="Arial"/>
                <w:color w:val="000000"/>
                <w:sz w:val="16"/>
                <w:szCs w:val="20"/>
                <w:lang w:val="es-ES_tradnl"/>
              </w:rPr>
              <w:t xml:space="preserve"> </w:t>
            </w:r>
          </w:p>
          <w:p w14:paraId="060EA058" w14:textId="77777777" w:rsidR="00251963" w:rsidRPr="00CC1722" w:rsidRDefault="00251963" w:rsidP="00A53EA0">
            <w:pPr>
              <w:widowControl w:val="0"/>
              <w:autoSpaceDE w:val="0"/>
              <w:autoSpaceDN w:val="0"/>
              <w:adjustRightInd w:val="0"/>
              <w:spacing w:before="60"/>
              <w:rPr>
                <w:rFonts w:ascii="Arial" w:eastAsia="MS Mincho" w:hAnsi="Arial" w:cs="Arial"/>
                <w:color w:val="000000"/>
                <w:sz w:val="16"/>
                <w:szCs w:val="20"/>
                <w:highlight w:val="yellow"/>
                <w:lang w:val="es-ES_tradnl"/>
              </w:rPr>
            </w:pPr>
            <w:r>
              <w:rPr>
                <w:rFonts w:ascii="Arial" w:eastAsia="MS Mincho" w:hAnsi="Arial" w:cs="Arial"/>
                <w:color w:val="000000"/>
                <w:sz w:val="16"/>
                <w:szCs w:val="20"/>
                <w:lang w:val="es-ES_tradnl"/>
              </w:rPr>
              <w:t xml:space="preserve">- </w:t>
            </w:r>
            <w:r w:rsidRPr="003F3B0A">
              <w:rPr>
                <w:rFonts w:ascii="Arial" w:eastAsia="MS Mincho" w:hAnsi="Arial" w:cs="Arial"/>
                <w:color w:val="000000"/>
                <w:sz w:val="16"/>
                <w:szCs w:val="20"/>
                <w:lang w:val="es-ES_tradnl"/>
              </w:rPr>
              <w:t>No utilizar en pacientes con hepatitis crónica</w:t>
            </w:r>
            <w:r>
              <w:rPr>
                <w:rFonts w:ascii="Arial" w:eastAsia="MS Mincho" w:hAnsi="Arial" w:cs="Arial"/>
                <w:color w:val="000000"/>
                <w:sz w:val="16"/>
                <w:szCs w:val="20"/>
                <w:lang w:val="es-ES_tradnl"/>
              </w:rPr>
              <w:t xml:space="preserve"> por VHB</w:t>
            </w:r>
          </w:p>
        </w:tc>
      </w:tr>
      <w:tr w:rsidR="00251963" w:rsidRPr="003F3B0A" w14:paraId="6E54968E" w14:textId="77777777" w:rsidTr="00A53EA0">
        <w:trPr>
          <w:trHeight w:val="290"/>
        </w:trPr>
        <w:tc>
          <w:tcPr>
            <w:tcW w:w="10207" w:type="dxa"/>
            <w:gridSpan w:val="3"/>
            <w:shd w:val="clear" w:color="auto" w:fill="FDE9D9"/>
          </w:tcPr>
          <w:p w14:paraId="36A8370C" w14:textId="77777777" w:rsidR="00251963" w:rsidRPr="003F3B0A" w:rsidRDefault="00251963" w:rsidP="00A53EA0">
            <w:pPr>
              <w:widowControl w:val="0"/>
              <w:autoSpaceDE w:val="0"/>
              <w:autoSpaceDN w:val="0"/>
              <w:adjustRightInd w:val="0"/>
              <w:spacing w:before="60" w:after="60"/>
              <w:ind w:left="1191" w:hanging="1191"/>
              <w:rPr>
                <w:rFonts w:ascii="Arial" w:eastAsia="MS Mincho" w:hAnsi="Arial" w:cs="Arial"/>
                <w:i/>
                <w:color w:val="000000"/>
                <w:sz w:val="20"/>
                <w:szCs w:val="20"/>
              </w:rPr>
            </w:pPr>
            <w:r w:rsidRPr="003F3B0A">
              <w:rPr>
                <w:rFonts w:ascii="Arial" w:eastAsia="MS Mincho" w:hAnsi="Arial" w:cs="Arial"/>
                <w:sz w:val="20"/>
                <w:szCs w:val="20"/>
              </w:rPr>
              <w:t xml:space="preserve"> </w:t>
            </w:r>
            <w:r w:rsidRPr="003F3B0A">
              <w:rPr>
                <w:rFonts w:ascii="Arial" w:eastAsia="MS Mincho" w:hAnsi="Arial" w:cs="Arial"/>
                <w:b/>
                <w:bCs/>
                <w:i/>
                <w:color w:val="000000"/>
                <w:sz w:val="18"/>
                <w:szCs w:val="20"/>
              </w:rPr>
              <w:t xml:space="preserve">Alternativas. </w:t>
            </w:r>
            <w:r w:rsidRPr="003F3B0A">
              <w:rPr>
                <w:rFonts w:ascii="Arial" w:eastAsia="MS Mincho" w:hAnsi="Arial" w:cs="Arial"/>
                <w:bCs/>
                <w:i/>
                <w:color w:val="000000"/>
                <w:sz w:val="18"/>
                <w:szCs w:val="20"/>
              </w:rPr>
              <w:t xml:space="preserve">Pautas </w:t>
            </w:r>
            <w:r w:rsidRPr="003F3B0A">
              <w:rPr>
                <w:rFonts w:ascii="Arial" w:eastAsia="MS Mincho" w:hAnsi="Arial" w:cs="Arial"/>
                <w:i/>
                <w:color w:val="000000"/>
                <w:sz w:val="18"/>
                <w:szCs w:val="20"/>
              </w:rPr>
              <w:t xml:space="preserve">eficaces, pero que no se consideran preferentes bien porque </w:t>
            </w:r>
            <w:r w:rsidRPr="0065274E">
              <w:rPr>
                <w:rFonts w:ascii="Arial" w:eastAsia="MS Mincho" w:hAnsi="Arial" w:cs="Arial"/>
                <w:i/>
                <w:color w:val="000000"/>
                <w:sz w:val="18"/>
                <w:szCs w:val="20"/>
                <w:highlight w:val="yellow"/>
              </w:rPr>
              <w:t>no se ha demostrado eficacia no inferior</w:t>
            </w:r>
            <w:r>
              <w:rPr>
                <w:rFonts w:ascii="Arial" w:eastAsia="MS Mincho" w:hAnsi="Arial" w:cs="Arial"/>
                <w:i/>
                <w:color w:val="000000"/>
                <w:sz w:val="18"/>
                <w:szCs w:val="20"/>
              </w:rPr>
              <w:t xml:space="preserve"> a</w:t>
            </w:r>
            <w:r w:rsidRPr="003F3B0A">
              <w:rPr>
                <w:rFonts w:ascii="Arial" w:eastAsia="MS Mincho" w:hAnsi="Arial" w:cs="Arial"/>
                <w:i/>
                <w:color w:val="000000"/>
                <w:sz w:val="18"/>
                <w:szCs w:val="20"/>
              </w:rPr>
              <w:t xml:space="preserve"> las pautas preferentes en ensayos clínicos o no se han comparado con pautas preferentes, o porque tienen desventajas potenciales o restricciones en su indicación. Pueden ser, sin embargo, de elección en subgrupos de pacientes o en casos especiales</w:t>
            </w:r>
          </w:p>
        </w:tc>
      </w:tr>
      <w:tr w:rsidR="00251963" w:rsidRPr="003F3B0A" w14:paraId="1AEFF7F1" w14:textId="77777777" w:rsidTr="00A53EA0">
        <w:trPr>
          <w:trHeight w:val="320"/>
        </w:trPr>
        <w:tc>
          <w:tcPr>
            <w:tcW w:w="1419" w:type="dxa"/>
          </w:tcPr>
          <w:p w14:paraId="3E20C590" w14:textId="77777777" w:rsidR="00251963" w:rsidRPr="003F3B0A" w:rsidRDefault="00251963" w:rsidP="00A53EA0">
            <w:pPr>
              <w:widowControl w:val="0"/>
              <w:autoSpaceDE w:val="0"/>
              <w:autoSpaceDN w:val="0"/>
              <w:adjustRightInd w:val="0"/>
              <w:rPr>
                <w:rFonts w:ascii="Arial" w:eastAsia="MS Mincho" w:hAnsi="Arial" w:cs="Arial"/>
                <w:b/>
                <w:bCs/>
                <w:color w:val="000000"/>
                <w:sz w:val="20"/>
                <w:szCs w:val="20"/>
              </w:rPr>
            </w:pPr>
            <w:r>
              <w:rPr>
                <w:rFonts w:ascii="Arial" w:eastAsia="MS Mincho" w:hAnsi="Arial" w:cs="Arial"/>
                <w:b/>
                <w:bCs/>
                <w:color w:val="000000"/>
                <w:sz w:val="20"/>
                <w:szCs w:val="20"/>
              </w:rPr>
              <w:t>INI</w:t>
            </w:r>
          </w:p>
        </w:tc>
        <w:tc>
          <w:tcPr>
            <w:tcW w:w="1984" w:type="dxa"/>
          </w:tcPr>
          <w:p w14:paraId="0A480872"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lang w:val="en-US"/>
              </w:rPr>
              <w:t>EVG/c/FTC/TAF</w:t>
            </w:r>
          </w:p>
        </w:tc>
        <w:tc>
          <w:tcPr>
            <w:tcW w:w="6804" w:type="dxa"/>
          </w:tcPr>
          <w:p w14:paraId="0878BCCF" w14:textId="77777777" w:rsidR="00251963" w:rsidRPr="003F3B0A"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Es imprescindible evaluar posibles interacciones.</w:t>
            </w:r>
          </w:p>
        </w:tc>
      </w:tr>
      <w:tr w:rsidR="00251963" w:rsidRPr="003F3B0A" w14:paraId="6D7ACD35" w14:textId="77777777" w:rsidTr="00A53EA0">
        <w:trPr>
          <w:trHeight w:val="698"/>
        </w:trPr>
        <w:tc>
          <w:tcPr>
            <w:tcW w:w="1419" w:type="dxa"/>
          </w:tcPr>
          <w:p w14:paraId="03078882" w14:textId="77777777" w:rsidR="00251963" w:rsidRPr="003F3B0A" w:rsidRDefault="00251963" w:rsidP="00A53EA0">
            <w:pPr>
              <w:widowControl w:val="0"/>
              <w:autoSpaceDE w:val="0"/>
              <w:autoSpaceDN w:val="0"/>
              <w:adjustRightInd w:val="0"/>
              <w:rPr>
                <w:rFonts w:ascii="Arial" w:eastAsia="MS Mincho" w:hAnsi="Arial" w:cs="Arial"/>
                <w:b/>
                <w:bCs/>
                <w:color w:val="000000"/>
                <w:sz w:val="20"/>
                <w:szCs w:val="20"/>
              </w:rPr>
            </w:pPr>
            <w:r w:rsidRPr="003F3B0A">
              <w:rPr>
                <w:rFonts w:ascii="Arial" w:eastAsia="MS Mincho" w:hAnsi="Arial" w:cs="Arial"/>
                <w:b/>
                <w:bCs/>
                <w:color w:val="000000"/>
                <w:sz w:val="20"/>
                <w:szCs w:val="20"/>
              </w:rPr>
              <w:t xml:space="preserve">IP potenciado </w:t>
            </w:r>
          </w:p>
        </w:tc>
        <w:tc>
          <w:tcPr>
            <w:tcW w:w="1984" w:type="dxa"/>
          </w:tcPr>
          <w:p w14:paraId="530CA04B"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rPr>
              <w:t>DRV/c/FTC/TAF o DRV/r+FTC/TAF*</w:t>
            </w:r>
            <w:r>
              <w:rPr>
                <w:rFonts w:ascii="Arial" w:eastAsia="MS Mincho" w:hAnsi="Arial" w:cs="Arial"/>
                <w:color w:val="000000"/>
                <w:sz w:val="20"/>
                <w:szCs w:val="20"/>
              </w:rPr>
              <w:t>*</w:t>
            </w:r>
          </w:p>
        </w:tc>
        <w:tc>
          <w:tcPr>
            <w:tcW w:w="6804" w:type="dxa"/>
          </w:tcPr>
          <w:p w14:paraId="266E3883" w14:textId="77777777" w:rsidR="00251963" w:rsidRPr="003F3B0A"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Es imprescindible evaluar posibles interacciones.</w:t>
            </w:r>
          </w:p>
        </w:tc>
      </w:tr>
      <w:tr w:rsidR="00251963" w:rsidRPr="003F3B0A" w14:paraId="183F18D0" w14:textId="77777777" w:rsidTr="00A53EA0">
        <w:trPr>
          <w:trHeight w:val="646"/>
        </w:trPr>
        <w:tc>
          <w:tcPr>
            <w:tcW w:w="1419" w:type="dxa"/>
            <w:vMerge w:val="restart"/>
          </w:tcPr>
          <w:p w14:paraId="1B1F5F5F" w14:textId="77777777" w:rsidR="00251963" w:rsidRPr="003F3B0A" w:rsidRDefault="00251963" w:rsidP="00A53EA0">
            <w:pPr>
              <w:widowControl w:val="0"/>
              <w:autoSpaceDE w:val="0"/>
              <w:autoSpaceDN w:val="0"/>
              <w:adjustRightInd w:val="0"/>
              <w:rPr>
                <w:rFonts w:ascii="Arial" w:eastAsia="MS Mincho" w:hAnsi="Arial" w:cs="Arial"/>
                <w:sz w:val="20"/>
                <w:szCs w:val="20"/>
              </w:rPr>
            </w:pPr>
            <w:r w:rsidRPr="003F3B0A">
              <w:rPr>
                <w:rFonts w:ascii="Arial" w:eastAsia="MS Mincho" w:hAnsi="Arial" w:cs="Arial"/>
                <w:b/>
                <w:bCs/>
                <w:color w:val="000000"/>
                <w:sz w:val="20"/>
                <w:szCs w:val="20"/>
              </w:rPr>
              <w:t>ITINN</w:t>
            </w:r>
          </w:p>
          <w:p w14:paraId="1D9A6F65" w14:textId="77777777" w:rsidR="00251963" w:rsidRPr="003F3B0A" w:rsidRDefault="00251963" w:rsidP="00A53EA0">
            <w:pPr>
              <w:widowControl w:val="0"/>
              <w:autoSpaceDE w:val="0"/>
              <w:autoSpaceDN w:val="0"/>
              <w:adjustRightInd w:val="0"/>
              <w:rPr>
                <w:rFonts w:ascii="Arial" w:eastAsia="MS Mincho" w:hAnsi="Arial" w:cs="Arial"/>
                <w:b/>
                <w:bCs/>
                <w:color w:val="000000"/>
                <w:sz w:val="20"/>
                <w:szCs w:val="20"/>
              </w:rPr>
            </w:pPr>
          </w:p>
        </w:tc>
        <w:tc>
          <w:tcPr>
            <w:tcW w:w="1984" w:type="dxa"/>
          </w:tcPr>
          <w:p w14:paraId="48B02BCA" w14:textId="77777777" w:rsidR="00251963" w:rsidRPr="00A85112" w:rsidRDefault="00251963" w:rsidP="00A53EA0">
            <w:pPr>
              <w:widowControl w:val="0"/>
              <w:autoSpaceDE w:val="0"/>
              <w:autoSpaceDN w:val="0"/>
              <w:adjustRightInd w:val="0"/>
              <w:rPr>
                <w:rFonts w:ascii="Arial" w:eastAsia="MS Mincho" w:hAnsi="Arial" w:cs="Arial"/>
                <w:color w:val="000000"/>
                <w:sz w:val="20"/>
                <w:szCs w:val="20"/>
                <w:lang w:val="es-ES_tradnl"/>
              </w:rPr>
            </w:pPr>
            <w:r w:rsidRPr="00A85112">
              <w:rPr>
                <w:rFonts w:ascii="Arial" w:eastAsia="MS Mincho" w:hAnsi="Arial" w:cs="Arial"/>
                <w:color w:val="000000"/>
                <w:sz w:val="20"/>
                <w:szCs w:val="20"/>
                <w:lang w:val="es-ES_tradnl"/>
              </w:rPr>
              <w:t>DOR+FTC/TAF*</w:t>
            </w:r>
            <w:r w:rsidRPr="00A85112">
              <w:rPr>
                <w:rFonts w:ascii="Arial" w:eastAsia="MS Mincho" w:hAnsi="Arial" w:cs="Arial"/>
                <w:color w:val="000000"/>
                <w:sz w:val="20"/>
                <w:szCs w:val="20"/>
                <w:vertAlign w:val="superscript"/>
                <w:lang w:val="es-ES_tradnl"/>
              </w:rPr>
              <w:t xml:space="preserve">, </w:t>
            </w:r>
            <w:r w:rsidRPr="00A85112">
              <w:rPr>
                <w:rFonts w:ascii="Arial" w:eastAsia="MS Mincho" w:hAnsi="Arial" w:cs="Arial"/>
                <w:color w:val="000000"/>
                <w:sz w:val="20"/>
                <w:szCs w:val="20"/>
                <w:lang w:val="es-ES_tradnl"/>
              </w:rPr>
              <w:t>**</w:t>
            </w:r>
            <w:r>
              <w:rPr>
                <w:rFonts w:ascii="Arial" w:eastAsia="MS Mincho" w:hAnsi="Arial" w:cs="Arial"/>
                <w:color w:val="000000"/>
                <w:sz w:val="20"/>
                <w:szCs w:val="20"/>
                <w:lang w:val="es-ES_tradnl"/>
              </w:rPr>
              <w:t>*</w:t>
            </w:r>
          </w:p>
        </w:tc>
        <w:tc>
          <w:tcPr>
            <w:tcW w:w="6804" w:type="dxa"/>
          </w:tcPr>
          <w:p w14:paraId="298CC3C5" w14:textId="77777777" w:rsidR="00251963" w:rsidRPr="003F3B0A"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 xml:space="preserve">Existe </w:t>
            </w:r>
            <w:r>
              <w:rPr>
                <w:rFonts w:ascii="Arial" w:eastAsia="MS Mincho" w:hAnsi="Arial" w:cs="Arial"/>
                <w:color w:val="000000"/>
                <w:sz w:val="16"/>
                <w:szCs w:val="20"/>
                <w:lang w:val="es-ES_tradnl"/>
              </w:rPr>
              <w:t>la</w:t>
            </w:r>
            <w:r w:rsidRPr="003F3B0A">
              <w:rPr>
                <w:rFonts w:ascii="Arial" w:eastAsia="MS Mincho" w:hAnsi="Arial" w:cs="Arial"/>
                <w:color w:val="000000"/>
                <w:sz w:val="16"/>
                <w:szCs w:val="20"/>
                <w:lang w:val="es-ES_tradnl"/>
              </w:rPr>
              <w:t xml:space="preserve"> combinación de DOR/3TC/TDF en comprimido único, que puede utilizarse </w:t>
            </w:r>
            <w:r w:rsidRPr="003F3B0A">
              <w:rPr>
                <w:rFonts w:ascii="Arial" w:eastAsia="MS Mincho" w:hAnsi="Arial" w:cs="Arial"/>
                <w:color w:val="000000"/>
                <w:sz w:val="16"/>
              </w:rPr>
              <w:t>siempre que se excluya la presencia de alteración renal o de osteopenia/osteoporosis, y no exista</w:t>
            </w:r>
            <w:r>
              <w:rPr>
                <w:rFonts w:ascii="Arial" w:eastAsia="MS Mincho" w:hAnsi="Arial" w:cs="Arial"/>
                <w:color w:val="000000"/>
                <w:sz w:val="16"/>
              </w:rPr>
              <w:t>n</w:t>
            </w:r>
            <w:r w:rsidRPr="003F3B0A">
              <w:rPr>
                <w:rFonts w:ascii="Arial" w:eastAsia="MS Mincho" w:hAnsi="Arial" w:cs="Arial"/>
                <w:color w:val="000000"/>
                <w:sz w:val="16"/>
              </w:rPr>
              <w:t xml:space="preserve"> </w:t>
            </w:r>
            <w:r>
              <w:rPr>
                <w:rFonts w:ascii="Arial" w:eastAsia="MS Mincho" w:hAnsi="Arial" w:cs="Arial"/>
                <w:color w:val="000000"/>
                <w:sz w:val="16"/>
              </w:rPr>
              <w:t xml:space="preserve">factores de </w:t>
            </w:r>
            <w:r w:rsidRPr="003F3B0A">
              <w:rPr>
                <w:rFonts w:ascii="Arial" w:eastAsia="MS Mincho" w:hAnsi="Arial" w:cs="Arial"/>
                <w:color w:val="000000"/>
                <w:sz w:val="16"/>
              </w:rPr>
              <w:t xml:space="preserve">riesgo </w:t>
            </w:r>
            <w:r>
              <w:rPr>
                <w:rFonts w:ascii="Arial" w:eastAsia="MS Mincho" w:hAnsi="Arial" w:cs="Arial"/>
                <w:color w:val="000000"/>
                <w:sz w:val="16"/>
              </w:rPr>
              <w:t>para</w:t>
            </w:r>
            <w:r w:rsidRPr="003F3B0A">
              <w:rPr>
                <w:rFonts w:ascii="Arial" w:eastAsia="MS Mincho" w:hAnsi="Arial" w:cs="Arial"/>
                <w:color w:val="000000"/>
                <w:sz w:val="16"/>
              </w:rPr>
              <w:t xml:space="preserve"> desarrollarlas.</w:t>
            </w:r>
          </w:p>
        </w:tc>
      </w:tr>
      <w:tr w:rsidR="00251963" w:rsidRPr="003F3B0A" w14:paraId="63B9EB4F" w14:textId="77777777" w:rsidTr="00A53EA0">
        <w:trPr>
          <w:trHeight w:val="1061"/>
        </w:trPr>
        <w:tc>
          <w:tcPr>
            <w:tcW w:w="1419" w:type="dxa"/>
            <w:vMerge/>
          </w:tcPr>
          <w:p w14:paraId="47A79889" w14:textId="77777777" w:rsidR="00251963" w:rsidRPr="003F3B0A" w:rsidRDefault="00251963" w:rsidP="00A53EA0">
            <w:pPr>
              <w:widowControl w:val="0"/>
              <w:autoSpaceDE w:val="0"/>
              <w:autoSpaceDN w:val="0"/>
              <w:adjustRightInd w:val="0"/>
              <w:rPr>
                <w:rFonts w:ascii="Arial" w:eastAsia="MS Mincho" w:hAnsi="Arial" w:cs="Arial"/>
                <w:sz w:val="20"/>
                <w:szCs w:val="20"/>
              </w:rPr>
            </w:pPr>
          </w:p>
        </w:tc>
        <w:tc>
          <w:tcPr>
            <w:tcW w:w="1984" w:type="dxa"/>
          </w:tcPr>
          <w:p w14:paraId="0393A9B9" w14:textId="77777777" w:rsidR="00251963" w:rsidRPr="003F3B0A" w:rsidRDefault="00251963" w:rsidP="00A53EA0">
            <w:pPr>
              <w:widowControl w:val="0"/>
              <w:autoSpaceDE w:val="0"/>
              <w:autoSpaceDN w:val="0"/>
              <w:adjustRightInd w:val="0"/>
              <w:rPr>
                <w:rFonts w:ascii="Arial" w:eastAsia="MS Mincho" w:hAnsi="Arial" w:cs="Arial"/>
                <w:color w:val="000000"/>
                <w:sz w:val="20"/>
                <w:szCs w:val="20"/>
                <w:lang w:val="en-US"/>
              </w:rPr>
            </w:pPr>
            <w:r w:rsidRPr="003F3B0A">
              <w:rPr>
                <w:rFonts w:ascii="Arial" w:eastAsia="MS Mincho" w:hAnsi="Arial" w:cs="Arial"/>
                <w:color w:val="000000"/>
                <w:sz w:val="20"/>
                <w:szCs w:val="20"/>
                <w:lang w:val="en-US"/>
              </w:rPr>
              <w:t>RPV/FTC/TAF*</w:t>
            </w:r>
          </w:p>
        </w:tc>
        <w:tc>
          <w:tcPr>
            <w:tcW w:w="6804" w:type="dxa"/>
          </w:tcPr>
          <w:p w14:paraId="52E2CB8A" w14:textId="77777777" w:rsidR="00251963" w:rsidRPr="00330240" w:rsidRDefault="00251963" w:rsidP="00A53EA0">
            <w:pPr>
              <w:widowControl w:val="0"/>
              <w:numPr>
                <w:ilvl w:val="0"/>
                <w:numId w:val="37"/>
              </w:numPr>
              <w:autoSpaceDE w:val="0"/>
              <w:autoSpaceDN w:val="0"/>
              <w:adjustRightInd w:val="0"/>
              <w:spacing w:before="6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No indicado en pacientes con CVP &gt;100.000 copias/mL.</w:t>
            </w:r>
          </w:p>
          <w:p w14:paraId="61A742D9" w14:textId="77777777" w:rsidR="00251963" w:rsidRPr="003F3B0A" w:rsidRDefault="00251963" w:rsidP="00A53EA0">
            <w:pPr>
              <w:widowControl w:val="0"/>
              <w:numPr>
                <w:ilvl w:val="0"/>
                <w:numId w:val="37"/>
              </w:numPr>
              <w:autoSpaceDE w:val="0"/>
              <w:autoSpaceDN w:val="0"/>
              <w:adjustRightInd w:val="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Realizar previamente un estudio genotípico que descarte mutaciones de resistencia a ITINN</w:t>
            </w:r>
            <w:r>
              <w:rPr>
                <w:rFonts w:ascii="Arial" w:eastAsia="MS Mincho" w:hAnsi="Arial" w:cs="Arial"/>
                <w:color w:val="000000"/>
                <w:sz w:val="16"/>
                <w:szCs w:val="20"/>
                <w:lang w:val="es-ES_tradnl"/>
              </w:rPr>
              <w:t>.</w:t>
            </w:r>
          </w:p>
          <w:p w14:paraId="68BC773D" w14:textId="77777777" w:rsidR="00251963" w:rsidRPr="003F3B0A" w:rsidRDefault="00251963" w:rsidP="00A53EA0">
            <w:pPr>
              <w:widowControl w:val="0"/>
              <w:numPr>
                <w:ilvl w:val="0"/>
                <w:numId w:val="37"/>
              </w:numPr>
              <w:autoSpaceDE w:val="0"/>
              <w:autoSpaceDN w:val="0"/>
              <w:adjustRightInd w:val="0"/>
              <w:ind w:left="142" w:hanging="142"/>
              <w:rPr>
                <w:rFonts w:ascii="Arial" w:eastAsia="MS Mincho" w:hAnsi="Arial" w:cs="Arial"/>
                <w:color w:val="000000"/>
                <w:sz w:val="16"/>
                <w:szCs w:val="20"/>
                <w:lang w:val="es-ES_tradnl"/>
              </w:rPr>
            </w:pPr>
            <w:r w:rsidRPr="003F3B0A">
              <w:rPr>
                <w:rFonts w:ascii="Arial" w:eastAsia="MS Mincho" w:hAnsi="Arial" w:cs="Arial"/>
                <w:color w:val="000000"/>
                <w:sz w:val="16"/>
                <w:szCs w:val="20"/>
                <w:lang w:val="es-ES_tradnl"/>
              </w:rPr>
              <w:t>Contraindicado si se utilizan inhibidores de la bomba de protones.</w:t>
            </w:r>
          </w:p>
          <w:p w14:paraId="21375B65" w14:textId="77777777" w:rsidR="00251963" w:rsidRPr="003F3B0A" w:rsidRDefault="00251963" w:rsidP="00A53EA0">
            <w:pPr>
              <w:widowControl w:val="0"/>
              <w:numPr>
                <w:ilvl w:val="0"/>
                <w:numId w:val="37"/>
              </w:numPr>
              <w:autoSpaceDE w:val="0"/>
              <w:autoSpaceDN w:val="0"/>
              <w:adjustRightInd w:val="0"/>
              <w:spacing w:after="60"/>
              <w:ind w:left="142" w:hanging="142"/>
              <w:rPr>
                <w:rFonts w:ascii="Arial" w:eastAsia="MS Mincho" w:hAnsi="Arial" w:cs="Arial"/>
                <w:color w:val="000000"/>
                <w:sz w:val="18"/>
                <w:szCs w:val="20"/>
              </w:rPr>
            </w:pPr>
            <w:r w:rsidRPr="003F3B0A">
              <w:rPr>
                <w:rFonts w:ascii="Arial" w:eastAsia="MS Mincho" w:hAnsi="Arial" w:cs="Arial"/>
                <w:color w:val="000000"/>
                <w:sz w:val="16"/>
                <w:szCs w:val="20"/>
                <w:lang w:val="es-ES_tradnl"/>
              </w:rPr>
              <w:t>Se debe tomar siempre con una comida.</w:t>
            </w:r>
          </w:p>
        </w:tc>
      </w:tr>
    </w:tbl>
    <w:p w14:paraId="6E8529B0" w14:textId="77777777" w:rsidR="00251963" w:rsidRPr="003F3B0A" w:rsidRDefault="00251963" w:rsidP="00251963">
      <w:pPr>
        <w:widowControl w:val="0"/>
        <w:autoSpaceDE w:val="0"/>
        <w:autoSpaceDN w:val="0"/>
        <w:adjustRightInd w:val="0"/>
        <w:spacing w:before="120" w:after="120"/>
        <w:ind w:left="-425" w:right="-1276"/>
        <w:rPr>
          <w:rFonts w:ascii="Arial" w:eastAsia="MS Mincho" w:hAnsi="Arial" w:cs="Arial"/>
          <w:b/>
          <w:bCs/>
          <w:color w:val="000000"/>
          <w:sz w:val="16"/>
        </w:rPr>
      </w:pPr>
      <w:r w:rsidRPr="003F3B0A">
        <w:rPr>
          <w:rFonts w:ascii="Arial" w:eastAsia="MS Mincho" w:hAnsi="Arial" w:cs="Arial"/>
          <w:b/>
          <w:bCs/>
          <w:color w:val="000000"/>
          <w:sz w:val="16"/>
        </w:rPr>
        <w:t xml:space="preserve">† </w:t>
      </w:r>
      <w:r w:rsidRPr="00C755CC">
        <w:rPr>
          <w:rFonts w:ascii="Arial" w:eastAsia="MS Mincho" w:hAnsi="Arial" w:cs="Arial"/>
          <w:b/>
          <w:bCs/>
          <w:color w:val="000000"/>
          <w:sz w:val="16"/>
        </w:rPr>
        <w:t xml:space="preserve">En el caso de mujeres embarazadas o de pacientes con tuberculosis estas recomendaciones no son válidas y se debe utilizar la información existente en los apartados correspondientes </w:t>
      </w:r>
      <w:r>
        <w:rPr>
          <w:rFonts w:ascii="Arial" w:eastAsia="MS Mincho" w:hAnsi="Arial" w:cs="Arial"/>
          <w:b/>
          <w:bCs/>
          <w:color w:val="000000"/>
          <w:sz w:val="16"/>
        </w:rPr>
        <w:t xml:space="preserve">de este Documento </w:t>
      </w:r>
      <w:r w:rsidRPr="00C755CC">
        <w:rPr>
          <w:rFonts w:ascii="Arial" w:eastAsia="MS Mincho" w:hAnsi="Arial" w:cs="Arial"/>
          <w:b/>
          <w:bCs/>
          <w:color w:val="000000"/>
          <w:sz w:val="16"/>
        </w:rPr>
        <w:t>y las guías específicas</w:t>
      </w:r>
      <w:r w:rsidRPr="003F3B0A">
        <w:rPr>
          <w:rFonts w:ascii="Arial" w:eastAsia="MS Mincho" w:hAnsi="Arial" w:cs="Arial"/>
          <w:bCs/>
          <w:color w:val="000000"/>
          <w:sz w:val="16"/>
        </w:rPr>
        <w:t>.</w:t>
      </w:r>
      <w:r w:rsidRPr="003F3B0A">
        <w:rPr>
          <w:rFonts w:ascii="Arial" w:eastAsia="MS Mincho" w:hAnsi="Arial" w:cs="Arial"/>
          <w:b/>
          <w:bCs/>
          <w:color w:val="000000"/>
          <w:sz w:val="16"/>
        </w:rPr>
        <w:t xml:space="preserve"> </w:t>
      </w:r>
    </w:p>
    <w:p w14:paraId="059D25AC" w14:textId="77777777" w:rsidR="00251963" w:rsidRPr="003F3B0A" w:rsidRDefault="00251963" w:rsidP="00251963">
      <w:pPr>
        <w:widowControl w:val="0"/>
        <w:autoSpaceDE w:val="0"/>
        <w:autoSpaceDN w:val="0"/>
        <w:adjustRightInd w:val="0"/>
        <w:spacing w:before="120" w:after="120"/>
        <w:ind w:left="-425" w:right="-1276"/>
        <w:rPr>
          <w:rFonts w:ascii="Arial" w:eastAsia="MS Mincho" w:hAnsi="Arial" w:cs="Arial"/>
          <w:bCs/>
          <w:color w:val="000000"/>
          <w:sz w:val="16"/>
        </w:rPr>
      </w:pPr>
      <w:r w:rsidRPr="003F3B0A">
        <w:rPr>
          <w:rFonts w:ascii="Arial" w:eastAsia="MS Mincho" w:hAnsi="Arial" w:cs="Arial"/>
          <w:bCs/>
          <w:color w:val="000000"/>
          <w:sz w:val="16"/>
        </w:rPr>
        <w:t>Si se opta por un inicio rápido tras</w:t>
      </w:r>
      <w:r>
        <w:rPr>
          <w:rFonts w:ascii="Arial" w:eastAsia="MS Mincho" w:hAnsi="Arial" w:cs="Arial"/>
          <w:bCs/>
          <w:color w:val="000000"/>
          <w:sz w:val="16"/>
        </w:rPr>
        <w:t xml:space="preserve"> </w:t>
      </w:r>
      <w:r w:rsidRPr="003F3B0A">
        <w:rPr>
          <w:rFonts w:ascii="Arial" w:eastAsia="MS Mincho" w:hAnsi="Arial" w:cs="Arial"/>
          <w:bCs/>
          <w:color w:val="000000"/>
          <w:sz w:val="16"/>
        </w:rPr>
        <w:t>el diagnóstico, es habitual no disponer del resultado del estudio de resistencias ni de la determinación de HLA-B*5701, por lo que no se deben utilizar regímenes basados en ITINN ni con abacavir. Si se inicia el TAR antes de disponer de los resultados del recuento de linfocitos CD4 o CVP hay que evitar de inicio los regímenes cuya recomendación esté condicionada por estos resultados (como los basados en rilpivirina o la combinación DTG+3TC).</w:t>
      </w:r>
    </w:p>
    <w:p w14:paraId="78BAFE23" w14:textId="77777777" w:rsidR="00251963" w:rsidRPr="003F3B0A" w:rsidRDefault="00251963" w:rsidP="00251963">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 xml:space="preserve">Cuando estén disponibles, se recomienda el uso de preparados que combinen fármacos a dosis fijas. </w:t>
      </w:r>
    </w:p>
    <w:p w14:paraId="38B48FEF" w14:textId="77777777" w:rsidR="00251963" w:rsidRPr="003F3B0A" w:rsidRDefault="00251963" w:rsidP="00251963">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 xml:space="preserve">Los ensayos clínicos en los que se fundamenta la evidencia de cada pauta se referencian en el texto. </w:t>
      </w:r>
    </w:p>
    <w:p w14:paraId="02028A30" w14:textId="77777777" w:rsidR="00251963" w:rsidRPr="003F3B0A" w:rsidRDefault="00251963" w:rsidP="00251963">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 xml:space="preserve">‡ Los comentarios reflejan aspectos que se deben considerar en la elección de régimen, pero no pretenden ser una guía exhaustiva de las precauciones a tomar en el uso de los fármacos. Para mayor información se recomienda revisar el texto del documento, así como las fichas técnicas de los fármacos. </w:t>
      </w:r>
    </w:p>
    <w:p w14:paraId="367BF60E" w14:textId="77777777" w:rsidR="00251963" w:rsidRPr="003F3B0A" w:rsidRDefault="00251963" w:rsidP="00251963">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 xml:space="preserve">En otro apartado de estas guías se tratan aspectos de precio y de costes de los diferentes regímenes terapéuticos. </w:t>
      </w:r>
    </w:p>
    <w:p w14:paraId="4C9B4DC8" w14:textId="77777777" w:rsidR="00251963" w:rsidRDefault="00251963" w:rsidP="00251963">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w:t>
      </w:r>
      <w:r>
        <w:rPr>
          <w:rFonts w:ascii="Arial" w:eastAsia="MS Mincho" w:hAnsi="Arial" w:cs="Arial"/>
          <w:color w:val="000000"/>
          <w:sz w:val="16"/>
        </w:rPr>
        <w:t xml:space="preserve"> </w:t>
      </w:r>
      <w:r w:rsidRPr="003F3B0A">
        <w:rPr>
          <w:rFonts w:ascii="Arial" w:eastAsia="MS Mincho" w:hAnsi="Arial" w:cs="Arial"/>
          <w:color w:val="000000"/>
          <w:sz w:val="16"/>
        </w:rPr>
        <w:t>La utilización de tenofovir como tenofovir disoproxilo (TDx) puede considerarse una alternativa a TAF cuando no se asocie a un fármaco potenciado</w:t>
      </w:r>
      <w:r>
        <w:rPr>
          <w:rFonts w:ascii="Arial" w:eastAsia="MS Mincho" w:hAnsi="Arial" w:cs="Arial"/>
          <w:color w:val="000000"/>
          <w:sz w:val="16"/>
        </w:rPr>
        <w:t xml:space="preserve"> y </w:t>
      </w:r>
      <w:r w:rsidRPr="003F3B0A">
        <w:rPr>
          <w:rFonts w:ascii="Arial" w:eastAsia="MS Mincho" w:hAnsi="Arial" w:cs="Arial"/>
          <w:color w:val="000000"/>
          <w:sz w:val="16"/>
        </w:rPr>
        <w:t xml:space="preserve">siempre que se excluya la presencia de alteración renal o de osteopenia/osteoporosis, </w:t>
      </w:r>
      <w:r w:rsidRPr="00643B04">
        <w:rPr>
          <w:rFonts w:ascii="Arial" w:eastAsia="MS Mincho" w:hAnsi="Arial" w:cs="Arial"/>
          <w:color w:val="000000"/>
          <w:sz w:val="16"/>
          <w:highlight w:val="yellow"/>
        </w:rPr>
        <w:t>y no existan otros factores de riesgo</w:t>
      </w:r>
      <w:r w:rsidRPr="003F3B0A">
        <w:rPr>
          <w:rFonts w:ascii="Arial" w:eastAsia="MS Mincho" w:hAnsi="Arial" w:cs="Arial"/>
          <w:color w:val="000000"/>
          <w:sz w:val="16"/>
        </w:rPr>
        <w:t xml:space="preserve"> </w:t>
      </w:r>
      <w:r>
        <w:rPr>
          <w:rFonts w:ascii="Arial" w:eastAsia="MS Mincho" w:hAnsi="Arial" w:cs="Arial"/>
          <w:color w:val="000000"/>
          <w:sz w:val="16"/>
        </w:rPr>
        <w:t>para</w:t>
      </w:r>
      <w:r w:rsidRPr="003F3B0A">
        <w:rPr>
          <w:rFonts w:ascii="Arial" w:eastAsia="MS Mincho" w:hAnsi="Arial" w:cs="Arial"/>
          <w:color w:val="000000"/>
          <w:sz w:val="16"/>
        </w:rPr>
        <w:t xml:space="preserve"> desarrollarlas.</w:t>
      </w:r>
    </w:p>
    <w:p w14:paraId="143E28D9" w14:textId="56296895" w:rsidR="00251963" w:rsidRPr="00251963" w:rsidRDefault="00251963" w:rsidP="00251963">
      <w:pPr>
        <w:widowControl w:val="0"/>
        <w:autoSpaceDE w:val="0"/>
        <w:autoSpaceDN w:val="0"/>
        <w:adjustRightInd w:val="0"/>
        <w:spacing w:before="120" w:after="120"/>
        <w:ind w:left="-426" w:right="-1277"/>
      </w:pPr>
      <w:r w:rsidRPr="003F3B0A">
        <w:rPr>
          <w:rFonts w:ascii="Arial" w:eastAsia="MS Mincho" w:hAnsi="Arial" w:cs="Arial"/>
          <w:color w:val="000000"/>
          <w:sz w:val="16"/>
        </w:rPr>
        <w:t xml:space="preserve">** DRV se puede potenciar con ritonavir o cobicistat. La combinación con cobicistat disminuye el número de pastillas al estar </w:t>
      </w:r>
      <w:r>
        <w:rPr>
          <w:rFonts w:ascii="Arial" w:eastAsia="MS Mincho" w:hAnsi="Arial" w:cs="Arial"/>
          <w:color w:val="000000"/>
          <w:sz w:val="16"/>
        </w:rPr>
        <w:t>disponible la combinación coformulada en un solo comprimido</w:t>
      </w:r>
      <w:r w:rsidRPr="003F3B0A">
        <w:rPr>
          <w:rFonts w:ascii="Arial" w:eastAsia="MS Mincho" w:hAnsi="Arial" w:cs="Arial"/>
          <w:color w:val="000000"/>
          <w:sz w:val="16"/>
        </w:rPr>
        <w:t>. En la elección de potenciador se deben revisar las posibles interacciones</w:t>
      </w:r>
      <w:r>
        <w:rPr>
          <w:rFonts w:ascii="Arial" w:eastAsia="MS Mincho" w:hAnsi="Arial" w:cs="Arial"/>
          <w:color w:val="000000"/>
          <w:sz w:val="16"/>
        </w:rPr>
        <w:t xml:space="preserve"> con ritonavir o cobicistat</w:t>
      </w:r>
      <w:r w:rsidRPr="003F3B0A">
        <w:rPr>
          <w:rFonts w:ascii="Arial" w:eastAsia="MS Mincho" w:hAnsi="Arial" w:cs="Arial"/>
          <w:color w:val="000000"/>
          <w:sz w:val="16"/>
        </w:rPr>
        <w:t>, que en ocasiones no coinciden.</w:t>
      </w:r>
    </w:p>
    <w:p w14:paraId="66DCB0F5" w14:textId="11F68CE7" w:rsidR="00EC4A76" w:rsidRPr="003E6146" w:rsidRDefault="00251963" w:rsidP="003E6146">
      <w:pPr>
        <w:widowControl w:val="0"/>
        <w:autoSpaceDE w:val="0"/>
        <w:autoSpaceDN w:val="0"/>
        <w:adjustRightInd w:val="0"/>
        <w:spacing w:before="120" w:after="120"/>
        <w:ind w:left="-426" w:right="-1277"/>
        <w:rPr>
          <w:rFonts w:ascii="Arial" w:eastAsia="MS Mincho" w:hAnsi="Arial" w:cs="Arial"/>
          <w:color w:val="000000"/>
          <w:sz w:val="16"/>
        </w:rPr>
      </w:pPr>
      <w:r w:rsidRPr="003F3B0A">
        <w:rPr>
          <w:rFonts w:ascii="Arial" w:eastAsia="MS Mincho" w:hAnsi="Arial" w:cs="Arial"/>
          <w:color w:val="000000"/>
          <w:sz w:val="16"/>
        </w:rPr>
        <w:t>*</w:t>
      </w:r>
      <w:r>
        <w:rPr>
          <w:rFonts w:ascii="Arial" w:eastAsia="MS Mincho" w:hAnsi="Arial" w:cs="Arial"/>
          <w:color w:val="000000"/>
          <w:sz w:val="16"/>
        </w:rPr>
        <w:t>**</w:t>
      </w:r>
      <w:r w:rsidRPr="003F3B0A">
        <w:rPr>
          <w:rFonts w:ascii="Arial" w:eastAsia="MS Mincho" w:hAnsi="Arial" w:cs="Arial"/>
          <w:color w:val="000000"/>
          <w:sz w:val="16"/>
        </w:rPr>
        <w:t xml:space="preserve"> DOR, y la combinaci</w:t>
      </w:r>
      <w:r>
        <w:rPr>
          <w:rFonts w:ascii="Arial" w:eastAsia="MS Mincho" w:hAnsi="Arial" w:cs="Arial"/>
          <w:color w:val="000000"/>
          <w:sz w:val="16"/>
        </w:rPr>
        <w:t>ón</w:t>
      </w:r>
      <w:r w:rsidRPr="003F3B0A">
        <w:rPr>
          <w:rFonts w:ascii="Arial" w:eastAsia="MS Mincho" w:hAnsi="Arial" w:cs="Arial"/>
          <w:color w:val="000000"/>
          <w:sz w:val="16"/>
        </w:rPr>
        <w:t xml:space="preserve"> coformulada</w:t>
      </w:r>
      <w:r>
        <w:rPr>
          <w:rFonts w:ascii="Arial" w:eastAsia="MS Mincho" w:hAnsi="Arial" w:cs="Arial"/>
          <w:color w:val="000000"/>
          <w:sz w:val="16"/>
        </w:rPr>
        <w:t xml:space="preserve"> </w:t>
      </w:r>
      <w:r w:rsidRPr="003F3B0A">
        <w:rPr>
          <w:rFonts w:ascii="Arial" w:eastAsia="MS Mincho" w:hAnsi="Arial" w:cs="Arial"/>
          <w:color w:val="000000"/>
          <w:sz w:val="16"/>
        </w:rPr>
        <w:t xml:space="preserve">de DOR/3TC/TDF han sido aprobadas por la EMA aunque en el momento de redactar estas guías aún no están disponibles en España. </w:t>
      </w:r>
    </w:p>
    <w:p w14:paraId="7C389E6A" w14:textId="77777777" w:rsidR="00DF5AF9" w:rsidRDefault="00DF5AF9" w:rsidP="003E6146"/>
    <w:p w14:paraId="02993813" w14:textId="77777777" w:rsidR="00DF5AF9" w:rsidRPr="00DF5AF9" w:rsidRDefault="00DF5AF9" w:rsidP="00DF5AF9">
      <w:pPr>
        <w:pStyle w:val="Prrafodelista"/>
        <w:suppressAutoHyphens/>
        <w:spacing w:before="60" w:after="60"/>
        <w:ind w:left="-851" w:firstLine="425"/>
        <w:jc w:val="both"/>
        <w:textAlignment w:val="baseline"/>
        <w:rPr>
          <w:rFonts w:ascii="Arial" w:eastAsia="Arial Unicode MS" w:hAnsi="Arial" w:cs="Calibri"/>
          <w:kern w:val="1"/>
          <w:sz w:val="18"/>
          <w:szCs w:val="18"/>
          <w:lang w:eastAsia="ar-SA"/>
        </w:rPr>
      </w:pPr>
    </w:p>
    <w:p w14:paraId="57247777" w14:textId="3A8830B1" w:rsidR="003E6146" w:rsidRPr="003F3B0A" w:rsidRDefault="003E6146" w:rsidP="003E6146">
      <w:pPr>
        <w:widowControl w:val="0"/>
        <w:autoSpaceDE w:val="0"/>
        <w:autoSpaceDN w:val="0"/>
        <w:adjustRightInd w:val="0"/>
        <w:spacing w:before="120" w:after="120"/>
        <w:ind w:right="-1277"/>
        <w:rPr>
          <w:rFonts w:ascii="Arial" w:eastAsia="MS Mincho" w:hAnsi="Arial" w:cs="Arial"/>
          <w:color w:val="000000"/>
          <w:sz w:val="16"/>
        </w:rPr>
      </w:pPr>
      <w:r w:rsidRPr="003F3B0A">
        <w:rPr>
          <w:rFonts w:ascii="Arial" w:hAnsi="Arial" w:cs="Arial"/>
          <w:b/>
          <w:color w:val="AE1C1F"/>
          <w:lang w:val="es-ES_tradnl"/>
        </w:rPr>
        <w:t>Tabla 4. Recomendaciones sobre la necesidad de cambio de TAR, asumiendo que se mantendrá la supresión virológica</w:t>
      </w:r>
    </w:p>
    <w:tbl>
      <w:tblPr>
        <w:tblpPr w:leftFromText="141" w:rightFromText="141" w:vertAnchor="text" w:tblpY="26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3543"/>
        <w:gridCol w:w="3261"/>
        <w:gridCol w:w="1134"/>
      </w:tblGrid>
      <w:tr w:rsidR="003E6146" w:rsidRPr="0007408E" w14:paraId="3B6F1BCB" w14:textId="77777777" w:rsidTr="00A53EA0">
        <w:tc>
          <w:tcPr>
            <w:tcW w:w="1668" w:type="dxa"/>
            <w:shd w:val="clear" w:color="auto" w:fill="FBE4D5"/>
            <w:vAlign w:val="center"/>
          </w:tcPr>
          <w:p w14:paraId="2D07F4B6" w14:textId="77777777" w:rsidR="003E6146" w:rsidRPr="0007408E" w:rsidRDefault="003E6146" w:rsidP="00A53EA0">
            <w:pPr>
              <w:spacing w:before="60" w:after="60"/>
              <w:jc w:val="center"/>
              <w:rPr>
                <w:rFonts w:ascii="Arial" w:hAnsi="Arial" w:cs="Arial"/>
                <w:b/>
                <w:color w:val="AE1C1F"/>
                <w:sz w:val="20"/>
                <w:lang w:val="es-ES_tradnl"/>
              </w:rPr>
            </w:pPr>
            <w:r w:rsidRPr="0007408E">
              <w:rPr>
                <w:rFonts w:ascii="Arial" w:hAnsi="Arial" w:cs="Arial"/>
                <w:b/>
                <w:color w:val="AE1C1F"/>
                <w:sz w:val="20"/>
                <w:lang w:val="es-ES_tradnl"/>
              </w:rPr>
              <w:t>ART actual</w:t>
            </w:r>
          </w:p>
        </w:tc>
        <w:tc>
          <w:tcPr>
            <w:tcW w:w="3543" w:type="dxa"/>
            <w:shd w:val="clear" w:color="auto" w:fill="FBE4D5"/>
            <w:vAlign w:val="center"/>
          </w:tcPr>
          <w:p w14:paraId="2543B3D9" w14:textId="77777777" w:rsidR="003E6146" w:rsidRPr="0007408E" w:rsidRDefault="003E6146" w:rsidP="00A53EA0">
            <w:pPr>
              <w:spacing w:before="60" w:after="60"/>
              <w:jc w:val="center"/>
              <w:rPr>
                <w:rFonts w:ascii="Arial" w:hAnsi="Arial" w:cs="Arial"/>
                <w:b/>
                <w:color w:val="AE1C1F"/>
                <w:sz w:val="20"/>
                <w:lang w:val="es-ES_tradnl"/>
              </w:rPr>
            </w:pPr>
            <w:r w:rsidRPr="0007408E">
              <w:rPr>
                <w:rFonts w:ascii="Arial" w:hAnsi="Arial" w:cs="Arial"/>
                <w:b/>
                <w:color w:val="AE1C1F"/>
                <w:sz w:val="20"/>
                <w:lang w:val="es-ES_tradnl"/>
              </w:rPr>
              <w:t>Motivo del cambio</w:t>
            </w:r>
          </w:p>
        </w:tc>
        <w:tc>
          <w:tcPr>
            <w:tcW w:w="3261" w:type="dxa"/>
            <w:shd w:val="clear" w:color="auto" w:fill="FBE4D5"/>
            <w:vAlign w:val="center"/>
          </w:tcPr>
          <w:p w14:paraId="31575B7B" w14:textId="77777777" w:rsidR="003E6146" w:rsidRPr="0007408E" w:rsidRDefault="003E6146" w:rsidP="00A53EA0">
            <w:pPr>
              <w:spacing w:before="60" w:after="60"/>
              <w:jc w:val="center"/>
              <w:rPr>
                <w:rFonts w:ascii="Arial" w:hAnsi="Arial" w:cs="Arial"/>
                <w:b/>
                <w:color w:val="AE1C1F"/>
                <w:sz w:val="20"/>
                <w:lang w:val="es-ES_tradnl"/>
              </w:rPr>
            </w:pPr>
            <w:r w:rsidRPr="0007408E">
              <w:rPr>
                <w:rFonts w:ascii="Arial" w:hAnsi="Arial" w:cs="Arial"/>
                <w:b/>
                <w:color w:val="AE1C1F"/>
                <w:sz w:val="20"/>
                <w:lang w:val="es-ES_tradnl"/>
              </w:rPr>
              <w:t>Necesidad de cambio</w:t>
            </w:r>
          </w:p>
        </w:tc>
        <w:tc>
          <w:tcPr>
            <w:tcW w:w="1134" w:type="dxa"/>
            <w:shd w:val="clear" w:color="auto" w:fill="FBE4D5"/>
            <w:vAlign w:val="center"/>
          </w:tcPr>
          <w:p w14:paraId="7F5D5ABE" w14:textId="77777777" w:rsidR="003E6146" w:rsidRPr="0007408E" w:rsidRDefault="003E6146" w:rsidP="00A53EA0">
            <w:pPr>
              <w:spacing w:before="60" w:after="60"/>
              <w:jc w:val="center"/>
              <w:rPr>
                <w:rFonts w:ascii="Arial" w:hAnsi="Arial" w:cs="Arial"/>
                <w:b/>
                <w:color w:val="AE1C1F"/>
                <w:sz w:val="20"/>
                <w:lang w:val="es-ES_tradnl"/>
              </w:rPr>
            </w:pPr>
            <w:r w:rsidRPr="0007408E">
              <w:rPr>
                <w:rFonts w:ascii="Arial" w:hAnsi="Arial" w:cs="Arial"/>
                <w:b/>
                <w:color w:val="AE1C1F"/>
                <w:sz w:val="20"/>
                <w:lang w:val="es-ES_tradnl"/>
              </w:rPr>
              <w:t>Recomendación</w:t>
            </w:r>
          </w:p>
        </w:tc>
      </w:tr>
      <w:tr w:rsidR="003E6146" w:rsidRPr="0007408E" w14:paraId="66C8927D" w14:textId="77777777" w:rsidTr="00A53EA0">
        <w:tc>
          <w:tcPr>
            <w:tcW w:w="1668" w:type="dxa"/>
          </w:tcPr>
          <w:p w14:paraId="3089FC76"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TDF</w:t>
            </w:r>
          </w:p>
        </w:tc>
        <w:tc>
          <w:tcPr>
            <w:tcW w:w="3543" w:type="dxa"/>
          </w:tcPr>
          <w:p w14:paraId="38A6F9CF"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Osteopenia/osteoporosis</w:t>
            </w:r>
          </w:p>
        </w:tc>
        <w:tc>
          <w:tcPr>
            <w:tcW w:w="3261" w:type="dxa"/>
          </w:tcPr>
          <w:p w14:paraId="78CA43DA"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Obligado</w:t>
            </w:r>
          </w:p>
        </w:tc>
        <w:tc>
          <w:tcPr>
            <w:tcW w:w="1134" w:type="dxa"/>
          </w:tcPr>
          <w:p w14:paraId="0299F13E"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A-I</w:t>
            </w:r>
          </w:p>
        </w:tc>
      </w:tr>
      <w:tr w:rsidR="003E6146" w:rsidRPr="0007408E" w14:paraId="018EF4E7" w14:textId="77777777" w:rsidTr="00A53EA0">
        <w:tc>
          <w:tcPr>
            <w:tcW w:w="1668" w:type="dxa"/>
          </w:tcPr>
          <w:p w14:paraId="37A8C3BE"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TDF</w:t>
            </w:r>
          </w:p>
        </w:tc>
        <w:tc>
          <w:tcPr>
            <w:tcW w:w="3543" w:type="dxa"/>
          </w:tcPr>
          <w:p w14:paraId="606A23F1"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Disminución del FGe o disfunción tubular</w:t>
            </w:r>
          </w:p>
        </w:tc>
        <w:tc>
          <w:tcPr>
            <w:tcW w:w="3261" w:type="dxa"/>
          </w:tcPr>
          <w:p w14:paraId="62F1BF2C"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highlight w:val="yellow"/>
                <w:lang w:val="es-ES_tradnl"/>
              </w:rPr>
              <w:t>Variable, dependiendo de la magnitud de descenso del FGe. Obligado si se desarrolla insuficiencia renal o parámetros de disfunción tubular</w:t>
            </w:r>
          </w:p>
        </w:tc>
        <w:tc>
          <w:tcPr>
            <w:tcW w:w="1134" w:type="dxa"/>
          </w:tcPr>
          <w:p w14:paraId="6F3FE707"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A-I</w:t>
            </w:r>
          </w:p>
        </w:tc>
      </w:tr>
      <w:tr w:rsidR="003E6146" w:rsidRPr="0007408E" w14:paraId="5F01C706" w14:textId="77777777" w:rsidTr="00A53EA0">
        <w:tc>
          <w:tcPr>
            <w:tcW w:w="1668" w:type="dxa"/>
          </w:tcPr>
          <w:p w14:paraId="6455F10C"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 xml:space="preserve">EFV </w:t>
            </w:r>
          </w:p>
        </w:tc>
        <w:tc>
          <w:tcPr>
            <w:tcW w:w="3543" w:type="dxa"/>
          </w:tcPr>
          <w:p w14:paraId="500D3CDD"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Sintomatología del SNC: mareo, trastornos del sueño</w:t>
            </w:r>
          </w:p>
        </w:tc>
        <w:tc>
          <w:tcPr>
            <w:tcW w:w="3261" w:type="dxa"/>
          </w:tcPr>
          <w:p w14:paraId="26E4D7FB"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Obligado</w:t>
            </w:r>
          </w:p>
        </w:tc>
        <w:tc>
          <w:tcPr>
            <w:tcW w:w="1134" w:type="dxa"/>
          </w:tcPr>
          <w:p w14:paraId="343E8F07"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A-I</w:t>
            </w:r>
          </w:p>
        </w:tc>
      </w:tr>
      <w:tr w:rsidR="003E6146" w:rsidRPr="0007408E" w14:paraId="067424A8" w14:textId="77777777" w:rsidTr="00A53EA0">
        <w:tc>
          <w:tcPr>
            <w:tcW w:w="1668" w:type="dxa"/>
          </w:tcPr>
          <w:p w14:paraId="623D15F5"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 xml:space="preserve">EFV </w:t>
            </w:r>
          </w:p>
        </w:tc>
        <w:tc>
          <w:tcPr>
            <w:tcW w:w="3543" w:type="dxa"/>
          </w:tcPr>
          <w:p w14:paraId="5C803D9B"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 xml:space="preserve">Toxicidad del SNC </w:t>
            </w:r>
            <w:r w:rsidRPr="0007408E">
              <w:rPr>
                <w:rFonts w:ascii="Arial" w:hAnsi="Arial" w:cs="Arial"/>
                <w:i/>
                <w:sz w:val="20"/>
                <w:lang w:val="es-ES_tradnl"/>
              </w:rPr>
              <w:t>subclínica</w:t>
            </w:r>
          </w:p>
        </w:tc>
        <w:tc>
          <w:tcPr>
            <w:tcW w:w="3261" w:type="dxa"/>
          </w:tcPr>
          <w:p w14:paraId="3EC848D6"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No se ha demostrado beneficio</w:t>
            </w:r>
          </w:p>
        </w:tc>
        <w:tc>
          <w:tcPr>
            <w:tcW w:w="1134" w:type="dxa"/>
          </w:tcPr>
          <w:p w14:paraId="249F184E"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A-II</w:t>
            </w:r>
          </w:p>
        </w:tc>
      </w:tr>
      <w:tr w:rsidR="003E6146" w:rsidRPr="0007408E" w14:paraId="31C94B87" w14:textId="77777777" w:rsidTr="00A53EA0">
        <w:tc>
          <w:tcPr>
            <w:tcW w:w="1668" w:type="dxa"/>
          </w:tcPr>
          <w:p w14:paraId="30AEFCFA"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IP/r</w:t>
            </w:r>
          </w:p>
        </w:tc>
        <w:tc>
          <w:tcPr>
            <w:tcW w:w="3543" w:type="dxa"/>
          </w:tcPr>
          <w:p w14:paraId="442BC249"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Diarrea u otros síntomas gastrointestinales asociados a ritonavir</w:t>
            </w:r>
          </w:p>
        </w:tc>
        <w:tc>
          <w:tcPr>
            <w:tcW w:w="3261" w:type="dxa"/>
          </w:tcPr>
          <w:p w14:paraId="5DC93E96"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Obligado</w:t>
            </w:r>
          </w:p>
        </w:tc>
        <w:tc>
          <w:tcPr>
            <w:tcW w:w="1134" w:type="dxa"/>
          </w:tcPr>
          <w:p w14:paraId="0C72F90E"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A-III</w:t>
            </w:r>
          </w:p>
        </w:tc>
      </w:tr>
      <w:tr w:rsidR="003E6146" w:rsidRPr="0007408E" w14:paraId="7DD429DF" w14:textId="77777777" w:rsidTr="00A53EA0">
        <w:tc>
          <w:tcPr>
            <w:tcW w:w="1668" w:type="dxa"/>
          </w:tcPr>
          <w:p w14:paraId="126351C9"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IP/r</w:t>
            </w:r>
          </w:p>
        </w:tc>
        <w:tc>
          <w:tcPr>
            <w:tcW w:w="3543" w:type="dxa"/>
          </w:tcPr>
          <w:p w14:paraId="07455A66"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 xml:space="preserve">Dislipidemia, alto riesgo cardiovascular </w:t>
            </w:r>
          </w:p>
        </w:tc>
        <w:tc>
          <w:tcPr>
            <w:tcW w:w="3261" w:type="dxa"/>
          </w:tcPr>
          <w:p w14:paraId="0AA9AE62"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Variable. No se ha demostrado que el cambio sea mejor que el uso de hipolipemiantes ni el impacto sobre el riesgo cardiovascular</w:t>
            </w:r>
          </w:p>
        </w:tc>
        <w:tc>
          <w:tcPr>
            <w:tcW w:w="1134" w:type="dxa"/>
          </w:tcPr>
          <w:p w14:paraId="2A93A957"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B-II</w:t>
            </w:r>
          </w:p>
        </w:tc>
      </w:tr>
      <w:tr w:rsidR="003E6146" w:rsidRPr="0007408E" w14:paraId="1330BD33" w14:textId="77777777" w:rsidTr="00A53EA0">
        <w:tc>
          <w:tcPr>
            <w:tcW w:w="1668" w:type="dxa"/>
          </w:tcPr>
          <w:p w14:paraId="4F5743DA"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Múltiples comprimidos</w:t>
            </w:r>
          </w:p>
        </w:tc>
        <w:tc>
          <w:tcPr>
            <w:tcW w:w="3543" w:type="dxa"/>
          </w:tcPr>
          <w:p w14:paraId="61D2D524"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Comprimido único</w:t>
            </w:r>
          </w:p>
        </w:tc>
        <w:tc>
          <w:tcPr>
            <w:tcW w:w="3261" w:type="dxa"/>
          </w:tcPr>
          <w:p w14:paraId="7047A2D6" w14:textId="77777777" w:rsidR="003E6146" w:rsidRPr="0007408E" w:rsidRDefault="003E6146" w:rsidP="00A53EA0">
            <w:pPr>
              <w:spacing w:before="60" w:after="60"/>
              <w:rPr>
                <w:rFonts w:ascii="Arial" w:hAnsi="Arial" w:cs="Arial"/>
                <w:sz w:val="20"/>
                <w:lang w:val="es-ES_tradnl"/>
              </w:rPr>
            </w:pPr>
            <w:r w:rsidRPr="0007408E">
              <w:rPr>
                <w:rFonts w:ascii="Arial" w:hAnsi="Arial" w:cs="Arial"/>
                <w:sz w:val="20"/>
                <w:lang w:val="es-ES_tradnl"/>
              </w:rPr>
              <w:t xml:space="preserve">No se ha demostrado que el cambio sea necesario en la mayoría de los pacientes </w:t>
            </w:r>
          </w:p>
        </w:tc>
        <w:tc>
          <w:tcPr>
            <w:tcW w:w="1134" w:type="dxa"/>
          </w:tcPr>
          <w:p w14:paraId="073EE701" w14:textId="77777777" w:rsidR="003E6146" w:rsidRPr="006534DF" w:rsidRDefault="003E6146" w:rsidP="00A53EA0">
            <w:pPr>
              <w:spacing w:before="60" w:after="60"/>
              <w:jc w:val="center"/>
              <w:rPr>
                <w:rFonts w:ascii="Arial" w:hAnsi="Arial" w:cs="Arial"/>
                <w:sz w:val="20"/>
                <w:lang w:val="es-ES_tradnl"/>
              </w:rPr>
            </w:pPr>
            <w:r w:rsidRPr="006534DF">
              <w:rPr>
                <w:rFonts w:ascii="Arial" w:hAnsi="Arial" w:cs="Arial"/>
                <w:sz w:val="20"/>
                <w:lang w:val="es-ES_tradnl"/>
              </w:rPr>
              <w:t>B-III</w:t>
            </w:r>
          </w:p>
        </w:tc>
      </w:tr>
      <w:tr w:rsidR="003E6146" w:rsidRPr="0007408E" w14:paraId="688A4821" w14:textId="77777777" w:rsidTr="00A53EA0">
        <w:tc>
          <w:tcPr>
            <w:tcW w:w="1668" w:type="dxa"/>
          </w:tcPr>
          <w:p w14:paraId="4FD70AF8" w14:textId="77777777" w:rsidR="003E6146" w:rsidRPr="0007408E" w:rsidRDefault="003E6146" w:rsidP="00A53EA0">
            <w:pPr>
              <w:spacing w:before="60" w:after="60"/>
              <w:rPr>
                <w:rFonts w:ascii="Arial" w:hAnsi="Arial" w:cs="Arial"/>
                <w:sz w:val="20"/>
                <w:highlight w:val="yellow"/>
                <w:lang w:val="es-ES_tradnl"/>
              </w:rPr>
            </w:pPr>
            <w:r w:rsidRPr="0007408E">
              <w:rPr>
                <w:rFonts w:ascii="Arial" w:hAnsi="Arial" w:cs="Arial"/>
                <w:sz w:val="20"/>
                <w:highlight w:val="yellow"/>
                <w:lang w:val="es-ES_tradnl"/>
              </w:rPr>
              <w:t>DTG</w:t>
            </w:r>
          </w:p>
          <w:p w14:paraId="07CCA3D7" w14:textId="77777777" w:rsidR="003E6146" w:rsidRPr="0007408E" w:rsidRDefault="003E6146" w:rsidP="00A53EA0">
            <w:pPr>
              <w:spacing w:before="60" w:after="60"/>
              <w:rPr>
                <w:rFonts w:ascii="Arial" w:hAnsi="Arial" w:cs="Arial"/>
                <w:sz w:val="20"/>
                <w:highlight w:val="yellow"/>
                <w:lang w:val="es-ES_tradnl"/>
              </w:rPr>
            </w:pPr>
            <w:r w:rsidRPr="0007408E">
              <w:rPr>
                <w:rFonts w:ascii="Arial" w:hAnsi="Arial" w:cs="Arial"/>
                <w:sz w:val="20"/>
                <w:highlight w:val="yellow"/>
                <w:lang w:val="es-ES_tradnl"/>
              </w:rPr>
              <w:t>BIC, COBI, TAF</w:t>
            </w:r>
          </w:p>
        </w:tc>
        <w:tc>
          <w:tcPr>
            <w:tcW w:w="3543" w:type="dxa"/>
          </w:tcPr>
          <w:p w14:paraId="50B6171E" w14:textId="77777777" w:rsidR="003E6146" w:rsidRPr="0007408E" w:rsidRDefault="003E6146" w:rsidP="00A53EA0">
            <w:pPr>
              <w:spacing w:before="60" w:after="60"/>
              <w:rPr>
                <w:rFonts w:ascii="Arial" w:hAnsi="Arial" w:cs="Arial"/>
                <w:sz w:val="20"/>
                <w:highlight w:val="yellow"/>
                <w:lang w:val="es-ES_tradnl"/>
              </w:rPr>
            </w:pPr>
            <w:r w:rsidRPr="0007408E">
              <w:rPr>
                <w:rFonts w:ascii="Arial" w:hAnsi="Arial" w:cs="Arial"/>
                <w:sz w:val="20"/>
                <w:highlight w:val="yellow"/>
                <w:lang w:val="es-ES_tradnl"/>
              </w:rPr>
              <w:t>Teratogenicidad peri concepción</w:t>
            </w:r>
          </w:p>
          <w:p w14:paraId="74A1B396" w14:textId="77777777" w:rsidR="003E6146" w:rsidRPr="0007408E" w:rsidRDefault="003E6146" w:rsidP="00A53EA0">
            <w:pPr>
              <w:spacing w:before="60" w:after="60"/>
              <w:rPr>
                <w:rFonts w:ascii="Arial" w:hAnsi="Arial" w:cs="Arial"/>
                <w:sz w:val="20"/>
                <w:highlight w:val="yellow"/>
                <w:lang w:val="es-ES_tradnl"/>
              </w:rPr>
            </w:pPr>
            <w:r w:rsidRPr="0007408E">
              <w:rPr>
                <w:rFonts w:ascii="Arial" w:hAnsi="Arial" w:cs="Arial"/>
                <w:sz w:val="20"/>
                <w:highlight w:val="yellow"/>
                <w:lang w:val="es-ES_tradnl"/>
              </w:rPr>
              <w:t>Sin datos de seguridad</w:t>
            </w:r>
            <w:r>
              <w:rPr>
                <w:rFonts w:ascii="Arial" w:hAnsi="Arial" w:cs="Arial"/>
                <w:sz w:val="20"/>
                <w:highlight w:val="yellow"/>
                <w:lang w:val="es-ES_tradnl"/>
              </w:rPr>
              <w:t xml:space="preserve"> en embarazo</w:t>
            </w:r>
          </w:p>
        </w:tc>
        <w:tc>
          <w:tcPr>
            <w:tcW w:w="3261" w:type="dxa"/>
          </w:tcPr>
          <w:p w14:paraId="7A736B96" w14:textId="77777777" w:rsidR="003E6146" w:rsidRPr="0007408E" w:rsidRDefault="003E6146" w:rsidP="00A53EA0">
            <w:pPr>
              <w:spacing w:before="60" w:after="60"/>
              <w:rPr>
                <w:rFonts w:ascii="Arial" w:hAnsi="Arial" w:cs="Arial"/>
                <w:sz w:val="20"/>
                <w:highlight w:val="yellow"/>
                <w:lang w:val="es-ES_tradnl"/>
              </w:rPr>
            </w:pPr>
            <w:r w:rsidRPr="0007408E">
              <w:rPr>
                <w:rFonts w:ascii="Arial" w:hAnsi="Arial" w:cs="Arial"/>
                <w:sz w:val="20"/>
                <w:highlight w:val="yellow"/>
                <w:lang w:val="es-ES_tradnl"/>
              </w:rPr>
              <w:t xml:space="preserve">Obligado en </w:t>
            </w:r>
            <w:r w:rsidRPr="0007408E">
              <w:rPr>
                <w:highlight w:val="yellow"/>
              </w:rPr>
              <w:t xml:space="preserve"> </w:t>
            </w:r>
            <w:r w:rsidRPr="0007408E">
              <w:rPr>
                <w:rFonts w:ascii="Arial" w:hAnsi="Arial" w:cs="Arial"/>
                <w:sz w:val="20"/>
                <w:highlight w:val="yellow"/>
                <w:lang w:val="es-ES_tradnl"/>
              </w:rPr>
              <w:t>en mujeres que deciden quedarse embarazadas</w:t>
            </w:r>
          </w:p>
        </w:tc>
        <w:tc>
          <w:tcPr>
            <w:tcW w:w="1134" w:type="dxa"/>
          </w:tcPr>
          <w:p w14:paraId="38F3617D" w14:textId="77777777" w:rsidR="003E6146" w:rsidRPr="006534DF" w:rsidRDefault="003E6146" w:rsidP="00A53EA0">
            <w:pPr>
              <w:spacing w:before="60" w:after="60"/>
              <w:jc w:val="center"/>
              <w:rPr>
                <w:rFonts w:ascii="Arial" w:hAnsi="Arial" w:cs="Arial"/>
                <w:sz w:val="20"/>
                <w:highlight w:val="yellow"/>
                <w:lang w:val="es-ES_tradnl"/>
              </w:rPr>
            </w:pPr>
            <w:r w:rsidRPr="006534DF">
              <w:rPr>
                <w:rFonts w:ascii="Arial" w:hAnsi="Arial" w:cs="Arial"/>
                <w:sz w:val="20"/>
                <w:highlight w:val="yellow"/>
                <w:lang w:val="es-ES_tradnl"/>
              </w:rPr>
              <w:t>A-II</w:t>
            </w:r>
          </w:p>
          <w:p w14:paraId="6BEFC5F5" w14:textId="77777777" w:rsidR="003E6146" w:rsidRPr="006534DF" w:rsidRDefault="003E6146" w:rsidP="00A53EA0">
            <w:pPr>
              <w:spacing w:before="60" w:after="60"/>
              <w:jc w:val="center"/>
              <w:rPr>
                <w:rFonts w:ascii="Arial" w:hAnsi="Arial" w:cs="Arial"/>
                <w:sz w:val="20"/>
                <w:highlight w:val="yellow"/>
                <w:lang w:val="es-ES_tradnl"/>
              </w:rPr>
            </w:pPr>
            <w:r w:rsidRPr="006534DF">
              <w:rPr>
                <w:rFonts w:ascii="Arial" w:hAnsi="Arial" w:cs="Arial"/>
                <w:sz w:val="20"/>
                <w:highlight w:val="yellow"/>
                <w:lang w:val="es-ES_tradnl"/>
              </w:rPr>
              <w:t>A-III</w:t>
            </w:r>
          </w:p>
        </w:tc>
      </w:tr>
    </w:tbl>
    <w:p w14:paraId="1BFE0B35" w14:textId="77777777" w:rsidR="003E6146" w:rsidRDefault="003E6146" w:rsidP="003E6146">
      <w:pPr>
        <w:spacing w:before="60" w:after="60"/>
        <w:rPr>
          <w:rFonts w:ascii="Arial" w:hAnsi="Arial" w:cs="Arial"/>
          <w:b/>
          <w:color w:val="006600"/>
          <w:lang w:val="es-ES_tradnl"/>
        </w:rPr>
      </w:pPr>
    </w:p>
    <w:p w14:paraId="7C00B556" w14:textId="77777777" w:rsidR="003E6146" w:rsidRPr="00AF47F3" w:rsidRDefault="003E6146" w:rsidP="003E6146">
      <w:pPr>
        <w:spacing w:before="60" w:after="60"/>
        <w:rPr>
          <w:rFonts w:ascii="Arial" w:hAnsi="Arial" w:cs="Arial"/>
          <w:b/>
          <w:color w:val="000000" w:themeColor="text1"/>
          <w:lang w:val="es-ES_tradnl"/>
        </w:rPr>
      </w:pPr>
    </w:p>
    <w:p w14:paraId="42399037" w14:textId="77777777" w:rsidR="003E6146" w:rsidRPr="003F3B0A" w:rsidRDefault="003E6146" w:rsidP="003E6146">
      <w:pPr>
        <w:spacing w:before="60" w:after="60"/>
        <w:rPr>
          <w:rFonts w:ascii="Arial" w:hAnsi="Arial" w:cs="Arial"/>
          <w:b/>
          <w:color w:val="006600"/>
          <w:lang w:val="es-ES_tradnl"/>
        </w:rPr>
      </w:pPr>
    </w:p>
    <w:p w14:paraId="355E5E14" w14:textId="77777777" w:rsidR="003E6146" w:rsidRPr="003F3B0A" w:rsidRDefault="003E6146" w:rsidP="003E6146">
      <w:pPr>
        <w:spacing w:before="60" w:after="60"/>
        <w:rPr>
          <w:rFonts w:ascii="Arial" w:hAnsi="Arial" w:cs="Arial"/>
          <w:lang w:val="es-ES_tradnl"/>
        </w:rPr>
        <w:sectPr w:rsidR="003E6146" w:rsidRPr="003F3B0A">
          <w:pgSz w:w="11900" w:h="16840"/>
          <w:pgMar w:top="1418" w:right="1701" w:bottom="1418" w:left="1701" w:header="709" w:footer="709" w:gutter="0"/>
          <w:cols w:space="708"/>
          <w:docGrid w:linePitch="360"/>
        </w:sectPr>
      </w:pPr>
    </w:p>
    <w:p w14:paraId="004C05C7" w14:textId="77777777" w:rsidR="003E6146" w:rsidRPr="003F3B0A" w:rsidRDefault="003E6146" w:rsidP="003E6146">
      <w:pPr>
        <w:jc w:val="both"/>
        <w:rPr>
          <w:rFonts w:ascii="Arial" w:hAnsi="Arial" w:cs="Arial"/>
          <w:b/>
          <w:color w:val="AE1C1F"/>
        </w:rPr>
      </w:pPr>
      <w:r w:rsidRPr="003F3B0A">
        <w:rPr>
          <w:rFonts w:ascii="Arial" w:hAnsi="Arial" w:cs="Arial"/>
          <w:b/>
          <w:color w:val="AE1C1F"/>
        </w:rPr>
        <w:lastRenderedPageBreak/>
        <w:t>Tabla 5. Recomendaciones sobre cambios entre FAR, con el motivo de cambio y la evidencia sobre la eficacia del cambio</w:t>
      </w:r>
    </w:p>
    <w:p w14:paraId="7F8654F8" w14:textId="77777777" w:rsidR="003E6146" w:rsidRPr="003F3B0A" w:rsidRDefault="003E6146" w:rsidP="003E6146">
      <w:pPr>
        <w:rPr>
          <w:rFonts w:ascii="Arial" w:hAnsi="Arial" w:cs="Arial"/>
        </w:rPr>
      </w:pPr>
    </w:p>
    <w:tbl>
      <w:tblPr>
        <w:tblW w:w="93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649"/>
        <w:gridCol w:w="37"/>
        <w:gridCol w:w="2231"/>
        <w:gridCol w:w="1313"/>
      </w:tblGrid>
      <w:tr w:rsidR="003E6146" w:rsidRPr="00B777E4" w14:paraId="42FED68F" w14:textId="77777777" w:rsidTr="00A53EA0">
        <w:trPr>
          <w:trHeight w:val="675"/>
        </w:trPr>
        <w:tc>
          <w:tcPr>
            <w:tcW w:w="2127" w:type="dxa"/>
            <w:shd w:val="clear" w:color="auto" w:fill="FBE4D5"/>
            <w:vAlign w:val="center"/>
          </w:tcPr>
          <w:p w14:paraId="5F769858"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TAR actual</w:t>
            </w:r>
          </w:p>
        </w:tc>
        <w:tc>
          <w:tcPr>
            <w:tcW w:w="3649" w:type="dxa"/>
            <w:shd w:val="clear" w:color="auto" w:fill="FBE4D5"/>
            <w:vAlign w:val="center"/>
          </w:tcPr>
          <w:p w14:paraId="63BF3F8F"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 xml:space="preserve">Motivos del cambio* </w:t>
            </w:r>
          </w:p>
        </w:tc>
        <w:tc>
          <w:tcPr>
            <w:tcW w:w="2268" w:type="dxa"/>
            <w:gridSpan w:val="2"/>
            <w:shd w:val="clear" w:color="auto" w:fill="FBE4D5"/>
            <w:vAlign w:val="center"/>
          </w:tcPr>
          <w:p w14:paraId="3AF637C0"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TAR Nuevo</w:t>
            </w:r>
            <w:r w:rsidRPr="00B777E4">
              <w:rPr>
                <w:rFonts w:ascii="Arial" w:hAnsi="Arial" w:cs="Arial"/>
                <w:b/>
                <w:color w:val="AE1C1F"/>
                <w:highlight w:val="yellow"/>
              </w:rPr>
              <w:t>**</w:t>
            </w:r>
          </w:p>
        </w:tc>
        <w:tc>
          <w:tcPr>
            <w:tcW w:w="1313" w:type="dxa"/>
            <w:shd w:val="clear" w:color="auto" w:fill="FBE4D5"/>
            <w:vAlign w:val="center"/>
          </w:tcPr>
          <w:p w14:paraId="12C5A2AF"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Recomendación</w:t>
            </w:r>
            <w:r w:rsidRPr="00B777E4">
              <w:rPr>
                <w:rFonts w:ascii="Arial" w:hAnsi="Arial" w:cs="Arial"/>
                <w:b/>
                <w:color w:val="AE1C1F"/>
                <w:highlight w:val="yellow"/>
              </w:rPr>
              <w:t>***</w:t>
            </w:r>
          </w:p>
        </w:tc>
      </w:tr>
      <w:tr w:rsidR="003E6146" w:rsidRPr="00B777E4" w14:paraId="77760E72" w14:textId="77777777" w:rsidTr="00A53EA0">
        <w:trPr>
          <w:trHeight w:val="493"/>
        </w:trPr>
        <w:tc>
          <w:tcPr>
            <w:tcW w:w="9357" w:type="dxa"/>
            <w:gridSpan w:val="5"/>
            <w:shd w:val="clear" w:color="auto" w:fill="D9D9D9"/>
            <w:vAlign w:val="center"/>
          </w:tcPr>
          <w:p w14:paraId="457A14A0"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Cambio a regímenes que siguen incluyendo 3 fármacos</w:t>
            </w:r>
          </w:p>
        </w:tc>
      </w:tr>
      <w:tr w:rsidR="003E6146" w:rsidRPr="00B777E4" w14:paraId="5665FE98" w14:textId="77777777" w:rsidTr="00A53EA0">
        <w:tc>
          <w:tcPr>
            <w:tcW w:w="2127" w:type="dxa"/>
          </w:tcPr>
          <w:p w14:paraId="071520D5" w14:textId="77777777" w:rsidR="003E6146" w:rsidRPr="00B777E4" w:rsidRDefault="003E6146" w:rsidP="00A53EA0">
            <w:pPr>
              <w:spacing w:after="60"/>
              <w:rPr>
                <w:rFonts w:ascii="Arial" w:hAnsi="Arial" w:cs="Arial"/>
              </w:rPr>
            </w:pPr>
            <w:r w:rsidRPr="00B777E4">
              <w:rPr>
                <w:rFonts w:ascii="Arial" w:hAnsi="Arial" w:cs="Arial"/>
              </w:rPr>
              <w:t>TDF</w:t>
            </w:r>
          </w:p>
          <w:p w14:paraId="509930C4" w14:textId="77777777" w:rsidR="003E6146" w:rsidRPr="00B777E4" w:rsidRDefault="003E6146" w:rsidP="00A53EA0">
            <w:pPr>
              <w:spacing w:after="60"/>
              <w:rPr>
                <w:rFonts w:ascii="Arial" w:hAnsi="Arial" w:cs="Arial"/>
              </w:rPr>
            </w:pPr>
            <w:r w:rsidRPr="00B777E4">
              <w:rPr>
                <w:rFonts w:ascii="Arial" w:hAnsi="Arial" w:cs="Arial"/>
              </w:rPr>
              <w:t>TDF/FTC</w:t>
            </w:r>
          </w:p>
        </w:tc>
        <w:tc>
          <w:tcPr>
            <w:tcW w:w="3686" w:type="dxa"/>
            <w:gridSpan w:val="2"/>
          </w:tcPr>
          <w:p w14:paraId="1FF0C18C" w14:textId="77777777" w:rsidR="003E6146" w:rsidRPr="00B777E4" w:rsidRDefault="003E6146" w:rsidP="00A53EA0">
            <w:pPr>
              <w:spacing w:after="60"/>
              <w:rPr>
                <w:rFonts w:ascii="Arial" w:hAnsi="Arial" w:cs="Arial"/>
              </w:rPr>
            </w:pPr>
            <w:r w:rsidRPr="00B777E4">
              <w:rPr>
                <w:rFonts w:ascii="Arial" w:hAnsi="Arial" w:cs="Arial"/>
              </w:rPr>
              <w:t>Evitar los efectos de TDF sobre riñón y/o hueso</w:t>
            </w:r>
          </w:p>
        </w:tc>
        <w:tc>
          <w:tcPr>
            <w:tcW w:w="2231" w:type="dxa"/>
          </w:tcPr>
          <w:p w14:paraId="723DD260" w14:textId="77777777" w:rsidR="003E6146" w:rsidRPr="00B777E4" w:rsidRDefault="003E6146" w:rsidP="00A53EA0">
            <w:pPr>
              <w:spacing w:after="60"/>
              <w:rPr>
                <w:rFonts w:ascii="Arial" w:hAnsi="Arial" w:cs="Arial"/>
              </w:rPr>
            </w:pPr>
            <w:r w:rsidRPr="00B777E4">
              <w:rPr>
                <w:rFonts w:ascii="Arial" w:hAnsi="Arial" w:cs="Arial"/>
              </w:rPr>
              <w:t>ABC</w:t>
            </w:r>
          </w:p>
          <w:p w14:paraId="48BCA7C2" w14:textId="77777777" w:rsidR="003E6146" w:rsidRPr="00B777E4" w:rsidRDefault="003E6146" w:rsidP="00A53EA0">
            <w:pPr>
              <w:spacing w:after="60"/>
              <w:rPr>
                <w:rFonts w:ascii="Arial" w:hAnsi="Arial" w:cs="Arial"/>
              </w:rPr>
            </w:pPr>
            <w:r w:rsidRPr="00B777E4">
              <w:rPr>
                <w:rFonts w:ascii="Arial" w:hAnsi="Arial" w:cs="Arial"/>
              </w:rPr>
              <w:t>TAF/FTC</w:t>
            </w:r>
          </w:p>
        </w:tc>
        <w:tc>
          <w:tcPr>
            <w:tcW w:w="1313" w:type="dxa"/>
          </w:tcPr>
          <w:p w14:paraId="087C9320" w14:textId="77777777" w:rsidR="003E6146" w:rsidRPr="00B777E4" w:rsidRDefault="003E6146" w:rsidP="00A53EA0">
            <w:pPr>
              <w:spacing w:after="60"/>
              <w:rPr>
                <w:rFonts w:ascii="Arial" w:hAnsi="Arial" w:cs="Arial"/>
              </w:rPr>
            </w:pPr>
            <w:r w:rsidRPr="00B777E4">
              <w:rPr>
                <w:rFonts w:ascii="Arial" w:hAnsi="Arial" w:cs="Arial"/>
              </w:rPr>
              <w:t>A-II</w:t>
            </w:r>
          </w:p>
          <w:p w14:paraId="2E24D757" w14:textId="77777777" w:rsidR="003E6146" w:rsidRPr="00B777E4" w:rsidRDefault="003E6146" w:rsidP="00A53EA0">
            <w:pPr>
              <w:spacing w:after="60"/>
              <w:rPr>
                <w:rFonts w:ascii="Arial" w:hAnsi="Arial" w:cs="Arial"/>
              </w:rPr>
            </w:pPr>
            <w:r w:rsidRPr="00B777E4">
              <w:rPr>
                <w:rFonts w:ascii="Arial" w:hAnsi="Arial" w:cs="Arial"/>
              </w:rPr>
              <w:t>A-I</w:t>
            </w:r>
          </w:p>
        </w:tc>
      </w:tr>
      <w:tr w:rsidR="003E6146" w:rsidRPr="00B777E4" w14:paraId="34ECC25C" w14:textId="77777777" w:rsidTr="00A53EA0">
        <w:trPr>
          <w:trHeight w:val="297"/>
        </w:trPr>
        <w:tc>
          <w:tcPr>
            <w:tcW w:w="2127" w:type="dxa"/>
          </w:tcPr>
          <w:p w14:paraId="21E4ECD4" w14:textId="77777777" w:rsidR="003E6146" w:rsidRPr="00B777E4" w:rsidRDefault="003E6146" w:rsidP="00A53EA0">
            <w:pPr>
              <w:spacing w:after="60"/>
              <w:rPr>
                <w:rFonts w:ascii="Arial" w:hAnsi="Arial" w:cs="Arial"/>
              </w:rPr>
            </w:pPr>
            <w:r w:rsidRPr="00B777E4">
              <w:rPr>
                <w:rFonts w:ascii="Arial" w:hAnsi="Arial" w:cs="Arial"/>
              </w:rPr>
              <w:t>ABC/3TC</w:t>
            </w:r>
          </w:p>
        </w:tc>
        <w:tc>
          <w:tcPr>
            <w:tcW w:w="3686" w:type="dxa"/>
            <w:gridSpan w:val="2"/>
          </w:tcPr>
          <w:p w14:paraId="665E5229" w14:textId="77777777" w:rsidR="003E6146" w:rsidRPr="00B777E4" w:rsidRDefault="003E6146" w:rsidP="00A53EA0">
            <w:pPr>
              <w:spacing w:after="60"/>
              <w:rPr>
                <w:rFonts w:ascii="Arial" w:hAnsi="Arial" w:cs="Arial"/>
              </w:rPr>
            </w:pPr>
            <w:r w:rsidRPr="00B777E4">
              <w:rPr>
                <w:rFonts w:ascii="Arial" w:hAnsi="Arial" w:cs="Arial"/>
              </w:rPr>
              <w:t>Decisión clínica</w:t>
            </w:r>
          </w:p>
        </w:tc>
        <w:tc>
          <w:tcPr>
            <w:tcW w:w="2231" w:type="dxa"/>
          </w:tcPr>
          <w:p w14:paraId="4B82E43B" w14:textId="77777777" w:rsidR="003E6146" w:rsidRPr="00B777E4" w:rsidRDefault="003E6146" w:rsidP="00A53EA0">
            <w:pPr>
              <w:spacing w:after="60"/>
              <w:rPr>
                <w:rFonts w:ascii="Arial" w:hAnsi="Arial" w:cs="Arial"/>
              </w:rPr>
            </w:pPr>
            <w:r w:rsidRPr="00B777E4">
              <w:rPr>
                <w:rFonts w:ascii="Arial" w:hAnsi="Arial" w:cs="Arial"/>
              </w:rPr>
              <w:t>TAF/FTC</w:t>
            </w:r>
          </w:p>
        </w:tc>
        <w:tc>
          <w:tcPr>
            <w:tcW w:w="1313" w:type="dxa"/>
          </w:tcPr>
          <w:p w14:paraId="777A9681" w14:textId="77777777" w:rsidR="003E6146" w:rsidRPr="00B777E4" w:rsidRDefault="003E6146" w:rsidP="00A53EA0">
            <w:pPr>
              <w:spacing w:after="60"/>
              <w:rPr>
                <w:rFonts w:ascii="Arial" w:hAnsi="Arial" w:cs="Arial"/>
              </w:rPr>
            </w:pPr>
            <w:r w:rsidRPr="00B777E4">
              <w:rPr>
                <w:rFonts w:ascii="Arial" w:hAnsi="Arial" w:cs="Arial"/>
              </w:rPr>
              <w:t>A-I</w:t>
            </w:r>
          </w:p>
        </w:tc>
      </w:tr>
      <w:tr w:rsidR="003E6146" w:rsidRPr="00B777E4" w14:paraId="3B0C411F" w14:textId="77777777" w:rsidTr="00A53EA0">
        <w:tc>
          <w:tcPr>
            <w:tcW w:w="2127" w:type="dxa"/>
          </w:tcPr>
          <w:p w14:paraId="79E901AF" w14:textId="77777777" w:rsidR="003E6146" w:rsidRPr="00B777E4" w:rsidRDefault="003E6146" w:rsidP="00A53EA0">
            <w:pPr>
              <w:spacing w:after="60"/>
              <w:rPr>
                <w:rFonts w:ascii="Arial" w:hAnsi="Arial" w:cs="Arial"/>
              </w:rPr>
            </w:pPr>
            <w:r w:rsidRPr="00B777E4">
              <w:rPr>
                <w:rFonts w:ascii="Arial" w:hAnsi="Arial" w:cs="Arial"/>
              </w:rPr>
              <w:t>ITINN + 2 ITIAN</w:t>
            </w:r>
          </w:p>
        </w:tc>
        <w:tc>
          <w:tcPr>
            <w:tcW w:w="3686" w:type="dxa"/>
            <w:gridSpan w:val="2"/>
          </w:tcPr>
          <w:p w14:paraId="7AF2949A" w14:textId="77777777" w:rsidR="003E6146" w:rsidRPr="00B777E4" w:rsidRDefault="003E6146" w:rsidP="00A53EA0">
            <w:pPr>
              <w:spacing w:after="60"/>
              <w:rPr>
                <w:rFonts w:ascii="Arial" w:hAnsi="Arial" w:cs="Arial"/>
              </w:rPr>
            </w:pPr>
            <w:r w:rsidRPr="00B777E4">
              <w:rPr>
                <w:rFonts w:ascii="Arial" w:hAnsi="Arial" w:cs="Arial"/>
              </w:rPr>
              <w:t xml:space="preserve">Evitar los efectos de TDF sobre riñón y/o hueso; Decisión clínica; Evitar toxicidad de los ITINN (especialmente de EFV sobre SNC); Disminución del número de comprimidos; </w:t>
            </w:r>
            <w:r w:rsidRPr="00B777E4">
              <w:rPr>
                <w:rFonts w:ascii="Arial" w:hAnsi="Arial" w:cs="Arial"/>
                <w:highlight w:val="yellow"/>
              </w:rPr>
              <w:t>Evitar interacciones</w:t>
            </w:r>
          </w:p>
        </w:tc>
        <w:tc>
          <w:tcPr>
            <w:tcW w:w="2231" w:type="dxa"/>
          </w:tcPr>
          <w:p w14:paraId="473BC5DD" w14:textId="77777777" w:rsidR="003E6146" w:rsidRPr="003E6146" w:rsidRDefault="003E6146" w:rsidP="00A53EA0">
            <w:pPr>
              <w:spacing w:after="60"/>
              <w:rPr>
                <w:rFonts w:ascii="Arial" w:hAnsi="Arial" w:cs="Arial"/>
                <w:lang w:val="en-US"/>
              </w:rPr>
            </w:pPr>
            <w:r w:rsidRPr="003E6146">
              <w:rPr>
                <w:rFonts w:ascii="Arial" w:hAnsi="Arial" w:cs="Arial"/>
                <w:highlight w:val="yellow"/>
                <w:lang w:val="en-US"/>
              </w:rPr>
              <w:t>BIC/FTC/TAF</w:t>
            </w:r>
          </w:p>
          <w:p w14:paraId="5B229B1B" w14:textId="77777777" w:rsidR="003E6146" w:rsidRPr="003E6146" w:rsidRDefault="003E6146" w:rsidP="00A53EA0">
            <w:pPr>
              <w:spacing w:after="60"/>
              <w:rPr>
                <w:rFonts w:ascii="Arial" w:hAnsi="Arial" w:cs="Arial"/>
                <w:lang w:val="en-US"/>
              </w:rPr>
            </w:pPr>
            <w:r w:rsidRPr="003E6146">
              <w:rPr>
                <w:rFonts w:ascii="Arial" w:hAnsi="Arial" w:cs="Arial"/>
                <w:lang w:val="en-US"/>
              </w:rPr>
              <w:t>EVG/c/FTC/TAF</w:t>
            </w:r>
          </w:p>
          <w:p w14:paraId="59A54342" w14:textId="77777777" w:rsidR="003E6146" w:rsidRDefault="003E6146" w:rsidP="00A53EA0">
            <w:pPr>
              <w:spacing w:after="60"/>
              <w:rPr>
                <w:rFonts w:ascii="Arial" w:hAnsi="Arial" w:cs="Arial"/>
                <w:lang w:val="en-US"/>
              </w:rPr>
            </w:pPr>
            <w:r w:rsidRPr="00B777E4">
              <w:rPr>
                <w:rFonts w:ascii="Arial" w:hAnsi="Arial" w:cs="Arial"/>
                <w:lang w:val="en-US"/>
              </w:rPr>
              <w:t>DTG/ABC/3TC</w:t>
            </w:r>
          </w:p>
          <w:p w14:paraId="34121CC2" w14:textId="77777777" w:rsidR="003E6146" w:rsidRDefault="003E6146" w:rsidP="00A53EA0">
            <w:pPr>
              <w:spacing w:after="60"/>
              <w:rPr>
                <w:rFonts w:ascii="Arial" w:hAnsi="Arial" w:cs="Arial"/>
                <w:lang w:val="en-US"/>
              </w:rPr>
            </w:pPr>
            <w:r w:rsidRPr="00B777E4">
              <w:rPr>
                <w:rFonts w:ascii="Arial" w:hAnsi="Arial" w:cs="Arial"/>
                <w:lang w:val="en-US"/>
              </w:rPr>
              <w:t>RAL + 2 ITIAN</w:t>
            </w:r>
          </w:p>
          <w:p w14:paraId="35E619E4" w14:textId="77777777" w:rsidR="003E6146" w:rsidRPr="003E6146" w:rsidRDefault="003E6146" w:rsidP="00A53EA0">
            <w:pPr>
              <w:spacing w:after="60"/>
              <w:rPr>
                <w:rFonts w:ascii="Arial" w:hAnsi="Arial" w:cs="Arial"/>
                <w:lang w:val="en-US"/>
              </w:rPr>
            </w:pPr>
            <w:r w:rsidRPr="003E6146">
              <w:rPr>
                <w:rFonts w:ascii="Arial" w:hAnsi="Arial" w:cs="Arial"/>
                <w:lang w:val="en-US"/>
              </w:rPr>
              <w:t>DOR</w:t>
            </w:r>
            <w:r w:rsidRPr="003E6146">
              <w:rPr>
                <w:rFonts w:ascii="Arial" w:hAnsi="Arial" w:cs="Arial"/>
                <w:highlight w:val="yellow"/>
                <w:lang w:val="en-US"/>
              </w:rPr>
              <w:t>/3TC/TDF</w:t>
            </w:r>
            <w:r w:rsidRPr="003E6146">
              <w:rPr>
                <w:rFonts w:ascii="Arial" w:hAnsi="Arial" w:cs="Arial"/>
                <w:highlight w:val="yellow"/>
                <w:vertAlign w:val="superscript"/>
                <w:lang w:val="en-US"/>
              </w:rPr>
              <w:t>b</w:t>
            </w:r>
          </w:p>
          <w:p w14:paraId="577C0A61" w14:textId="77777777" w:rsidR="003E6146" w:rsidRPr="00B777E4" w:rsidRDefault="003E6146" w:rsidP="00A53EA0">
            <w:pPr>
              <w:spacing w:after="60"/>
              <w:rPr>
                <w:rFonts w:ascii="Arial" w:hAnsi="Arial" w:cs="Arial"/>
                <w:lang w:val="en-US"/>
              </w:rPr>
            </w:pPr>
            <w:r w:rsidRPr="00B777E4">
              <w:rPr>
                <w:rFonts w:ascii="Arial" w:hAnsi="Arial" w:cs="Arial"/>
              </w:rPr>
              <w:t>RPV/FTC/TAF</w:t>
            </w:r>
          </w:p>
        </w:tc>
        <w:tc>
          <w:tcPr>
            <w:tcW w:w="1313" w:type="dxa"/>
          </w:tcPr>
          <w:p w14:paraId="4CA7212D" w14:textId="77777777" w:rsidR="003E6146" w:rsidRPr="00B777E4" w:rsidRDefault="003E6146" w:rsidP="00A53EA0">
            <w:pPr>
              <w:spacing w:after="60"/>
              <w:rPr>
                <w:rFonts w:ascii="Arial" w:hAnsi="Arial" w:cs="Arial"/>
                <w:lang w:val="en-US"/>
              </w:rPr>
            </w:pPr>
            <w:r w:rsidRPr="00B777E4">
              <w:rPr>
                <w:rFonts w:ascii="Arial" w:hAnsi="Arial" w:cs="Arial"/>
                <w:highlight w:val="yellow"/>
                <w:lang w:val="en-US"/>
              </w:rPr>
              <w:t>A-III</w:t>
            </w:r>
          </w:p>
          <w:p w14:paraId="42B09171"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0AC86A94"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45AD7107"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29D5FB67"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111A5A70"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tc>
      </w:tr>
      <w:tr w:rsidR="003E6146" w:rsidRPr="00B777E4" w14:paraId="14B12F10" w14:textId="77777777" w:rsidTr="00A53EA0">
        <w:tc>
          <w:tcPr>
            <w:tcW w:w="2127" w:type="dxa"/>
          </w:tcPr>
          <w:p w14:paraId="602B1235" w14:textId="77777777" w:rsidR="003E6146" w:rsidRPr="00B777E4" w:rsidRDefault="003E6146" w:rsidP="00A53EA0">
            <w:pPr>
              <w:spacing w:after="60"/>
              <w:rPr>
                <w:rFonts w:ascii="Arial" w:hAnsi="Arial" w:cs="Arial"/>
                <w:lang w:val="en-US"/>
              </w:rPr>
            </w:pPr>
            <w:r w:rsidRPr="00B777E4">
              <w:rPr>
                <w:rFonts w:ascii="Arial" w:hAnsi="Arial" w:cs="Arial"/>
                <w:lang w:val="en-US"/>
              </w:rPr>
              <w:t>ATV/r</w:t>
            </w:r>
          </w:p>
          <w:p w14:paraId="6F667430" w14:textId="77777777" w:rsidR="003E6146" w:rsidRPr="00B777E4" w:rsidRDefault="003E6146" w:rsidP="00A53EA0">
            <w:pPr>
              <w:spacing w:after="60"/>
              <w:rPr>
                <w:rFonts w:ascii="Arial" w:hAnsi="Arial" w:cs="Arial"/>
                <w:lang w:val="en-US"/>
              </w:rPr>
            </w:pPr>
            <w:r w:rsidRPr="00B777E4">
              <w:rPr>
                <w:rFonts w:ascii="Arial" w:hAnsi="Arial" w:cs="Arial"/>
                <w:lang w:val="en-US"/>
              </w:rPr>
              <w:t xml:space="preserve">DRV/r </w:t>
            </w:r>
            <w:r w:rsidRPr="00B777E4">
              <w:rPr>
                <w:rFonts w:ascii="Arial" w:hAnsi="Arial" w:cs="Arial"/>
                <w:highlight w:val="yellow"/>
                <w:lang w:val="en-US"/>
              </w:rPr>
              <w:t>800/100 mg</w:t>
            </w:r>
          </w:p>
        </w:tc>
        <w:tc>
          <w:tcPr>
            <w:tcW w:w="3686" w:type="dxa"/>
            <w:gridSpan w:val="2"/>
          </w:tcPr>
          <w:p w14:paraId="488435B8" w14:textId="77777777" w:rsidR="003E6146" w:rsidRPr="00B777E4" w:rsidRDefault="003E6146" w:rsidP="00A53EA0">
            <w:pPr>
              <w:spacing w:after="60"/>
              <w:rPr>
                <w:rFonts w:ascii="Arial" w:hAnsi="Arial" w:cs="Arial"/>
              </w:rPr>
            </w:pPr>
            <w:r w:rsidRPr="00B777E4">
              <w:rPr>
                <w:rFonts w:ascii="Arial" w:hAnsi="Arial" w:cs="Arial"/>
              </w:rPr>
              <w:t>Disminución del número de comprimidos</w:t>
            </w:r>
          </w:p>
        </w:tc>
        <w:tc>
          <w:tcPr>
            <w:tcW w:w="2231" w:type="dxa"/>
          </w:tcPr>
          <w:p w14:paraId="130DBD6C" w14:textId="77777777" w:rsidR="003E6146" w:rsidRPr="00B777E4" w:rsidRDefault="003E6146" w:rsidP="00A53EA0">
            <w:pPr>
              <w:spacing w:after="60"/>
              <w:rPr>
                <w:rFonts w:ascii="Arial" w:hAnsi="Arial" w:cs="Arial"/>
              </w:rPr>
            </w:pPr>
            <w:r w:rsidRPr="00B777E4">
              <w:rPr>
                <w:rFonts w:ascii="Arial" w:hAnsi="Arial" w:cs="Arial"/>
              </w:rPr>
              <w:t>ATV/c</w:t>
            </w:r>
          </w:p>
          <w:p w14:paraId="11288917" w14:textId="77777777" w:rsidR="003E6146" w:rsidRPr="00B777E4" w:rsidRDefault="003E6146" w:rsidP="00A53EA0">
            <w:pPr>
              <w:spacing w:after="60"/>
              <w:rPr>
                <w:rFonts w:ascii="Arial" w:hAnsi="Arial" w:cs="Arial"/>
              </w:rPr>
            </w:pPr>
            <w:r w:rsidRPr="00B777E4">
              <w:rPr>
                <w:rFonts w:ascii="Arial" w:hAnsi="Arial" w:cs="Arial"/>
              </w:rPr>
              <w:t>DRV/c</w:t>
            </w:r>
          </w:p>
        </w:tc>
        <w:tc>
          <w:tcPr>
            <w:tcW w:w="1313" w:type="dxa"/>
          </w:tcPr>
          <w:p w14:paraId="5B1FFB50" w14:textId="77777777" w:rsidR="003E6146" w:rsidRPr="00B777E4" w:rsidRDefault="003E6146" w:rsidP="00A53EA0">
            <w:pPr>
              <w:spacing w:after="60"/>
              <w:rPr>
                <w:rFonts w:ascii="Arial" w:hAnsi="Arial" w:cs="Arial"/>
              </w:rPr>
            </w:pPr>
            <w:r w:rsidRPr="00B777E4">
              <w:rPr>
                <w:rFonts w:ascii="Arial" w:hAnsi="Arial" w:cs="Arial"/>
              </w:rPr>
              <w:t>A-I</w:t>
            </w:r>
          </w:p>
          <w:p w14:paraId="74F92299" w14:textId="77777777" w:rsidR="003E6146" w:rsidRPr="00B777E4" w:rsidRDefault="003E6146" w:rsidP="00A53EA0">
            <w:pPr>
              <w:spacing w:after="60"/>
              <w:rPr>
                <w:rFonts w:ascii="Arial" w:hAnsi="Arial" w:cs="Arial"/>
              </w:rPr>
            </w:pPr>
            <w:r w:rsidRPr="00B777E4">
              <w:rPr>
                <w:rFonts w:ascii="Arial" w:hAnsi="Arial" w:cs="Arial"/>
              </w:rPr>
              <w:t>A-I</w:t>
            </w:r>
          </w:p>
        </w:tc>
      </w:tr>
      <w:tr w:rsidR="003E6146" w:rsidRPr="00A41C48" w14:paraId="2894FFA8" w14:textId="77777777" w:rsidTr="00A53EA0">
        <w:tc>
          <w:tcPr>
            <w:tcW w:w="2127" w:type="dxa"/>
          </w:tcPr>
          <w:p w14:paraId="6C672671" w14:textId="77777777" w:rsidR="003E6146" w:rsidRPr="00B777E4" w:rsidRDefault="003E6146" w:rsidP="00A53EA0">
            <w:pPr>
              <w:spacing w:after="60"/>
              <w:rPr>
                <w:rFonts w:ascii="Arial" w:hAnsi="Arial" w:cs="Arial"/>
              </w:rPr>
            </w:pPr>
            <w:r w:rsidRPr="00B777E4">
              <w:rPr>
                <w:rFonts w:ascii="Arial" w:hAnsi="Arial" w:cs="Arial"/>
              </w:rPr>
              <w:t>IP/p + 2 ITIAN</w:t>
            </w:r>
            <w:r w:rsidRPr="00B777E4">
              <w:rPr>
                <w:rFonts w:ascii="Arial" w:hAnsi="Arial" w:cs="Arial"/>
                <w:vertAlign w:val="superscript"/>
              </w:rPr>
              <w:t>a</w:t>
            </w:r>
          </w:p>
        </w:tc>
        <w:tc>
          <w:tcPr>
            <w:tcW w:w="3686" w:type="dxa"/>
            <w:gridSpan w:val="2"/>
          </w:tcPr>
          <w:p w14:paraId="4C3AAEA4" w14:textId="77777777" w:rsidR="003E6146" w:rsidRPr="00B777E4" w:rsidRDefault="003E6146" w:rsidP="00A53EA0">
            <w:pPr>
              <w:spacing w:after="60"/>
              <w:rPr>
                <w:rFonts w:ascii="Arial" w:hAnsi="Arial" w:cs="Arial"/>
              </w:rPr>
            </w:pPr>
            <w:r w:rsidRPr="00B777E4">
              <w:rPr>
                <w:rFonts w:ascii="Arial" w:hAnsi="Arial" w:cs="Arial"/>
              </w:rPr>
              <w:t xml:space="preserve">Evitar los efectos de TDF sobre riñón y/o hueso; Decisión clínica; Dislipemia o síntomas gastrointestinales por IP/p; Disminución del número de comprimidos; </w:t>
            </w:r>
            <w:r w:rsidRPr="00B777E4">
              <w:rPr>
                <w:rFonts w:ascii="Arial" w:hAnsi="Arial" w:cs="Arial"/>
                <w:highlight w:val="yellow"/>
              </w:rPr>
              <w:t>Evitar interacciones</w:t>
            </w:r>
          </w:p>
          <w:p w14:paraId="024AB182" w14:textId="77777777" w:rsidR="003E6146" w:rsidRPr="00B777E4" w:rsidRDefault="003E6146" w:rsidP="00A53EA0">
            <w:pPr>
              <w:spacing w:after="60"/>
              <w:rPr>
                <w:rFonts w:ascii="Arial" w:hAnsi="Arial" w:cs="Arial"/>
              </w:rPr>
            </w:pPr>
          </w:p>
        </w:tc>
        <w:tc>
          <w:tcPr>
            <w:tcW w:w="2231" w:type="dxa"/>
          </w:tcPr>
          <w:p w14:paraId="0688793C" w14:textId="77777777" w:rsidR="003E6146" w:rsidRDefault="003E6146" w:rsidP="00A53EA0">
            <w:pPr>
              <w:spacing w:after="60"/>
              <w:rPr>
                <w:rFonts w:ascii="Arial" w:hAnsi="Arial" w:cs="Arial"/>
                <w:lang w:val="en-US"/>
              </w:rPr>
            </w:pPr>
            <w:r w:rsidRPr="003E6146">
              <w:rPr>
                <w:rFonts w:ascii="Arial" w:hAnsi="Arial" w:cs="Arial"/>
                <w:lang w:val="en-US"/>
              </w:rPr>
              <w:t>BIC/FTC/TAF</w:t>
            </w:r>
          </w:p>
          <w:p w14:paraId="3C9F9E55" w14:textId="77777777" w:rsidR="003E6146" w:rsidRDefault="003E6146" w:rsidP="00A53EA0">
            <w:pPr>
              <w:spacing w:after="60"/>
              <w:rPr>
                <w:rFonts w:ascii="Arial" w:hAnsi="Arial" w:cs="Arial"/>
                <w:lang w:val="en-US"/>
              </w:rPr>
            </w:pPr>
            <w:r w:rsidRPr="00B777E4">
              <w:rPr>
                <w:rFonts w:ascii="Arial" w:hAnsi="Arial" w:cs="Arial"/>
                <w:lang w:val="en-US"/>
              </w:rPr>
              <w:t>EVG/c/FTC/TAF</w:t>
            </w:r>
          </w:p>
          <w:p w14:paraId="528A01CE" w14:textId="77777777" w:rsidR="003E6146" w:rsidRPr="00B777E4" w:rsidRDefault="003E6146" w:rsidP="00A53EA0">
            <w:pPr>
              <w:spacing w:after="60"/>
              <w:rPr>
                <w:rFonts w:ascii="Arial" w:hAnsi="Arial" w:cs="Arial"/>
                <w:lang w:val="en-US"/>
              </w:rPr>
            </w:pPr>
            <w:r w:rsidRPr="00B777E4">
              <w:rPr>
                <w:rFonts w:ascii="Arial" w:hAnsi="Arial" w:cs="Arial"/>
                <w:lang w:val="en-US"/>
              </w:rPr>
              <w:t>DTG/ABC/3TC</w:t>
            </w:r>
          </w:p>
          <w:p w14:paraId="13740BB6" w14:textId="77777777" w:rsidR="003E6146" w:rsidRPr="00B777E4" w:rsidRDefault="003E6146" w:rsidP="00A53EA0">
            <w:pPr>
              <w:spacing w:after="60"/>
              <w:rPr>
                <w:rFonts w:ascii="Arial" w:hAnsi="Arial" w:cs="Arial"/>
                <w:lang w:val="en-US"/>
              </w:rPr>
            </w:pPr>
            <w:r w:rsidRPr="00B777E4">
              <w:rPr>
                <w:rFonts w:ascii="Arial" w:hAnsi="Arial" w:cs="Arial"/>
                <w:lang w:val="en-US"/>
              </w:rPr>
              <w:t>DTG + 2 ITIAN</w:t>
            </w:r>
          </w:p>
          <w:p w14:paraId="65F210B8" w14:textId="77777777" w:rsidR="003E6146" w:rsidRDefault="003E6146" w:rsidP="00A53EA0">
            <w:pPr>
              <w:spacing w:after="60"/>
              <w:rPr>
                <w:rFonts w:ascii="Arial" w:hAnsi="Arial" w:cs="Arial"/>
                <w:lang w:val="en-US"/>
              </w:rPr>
            </w:pPr>
            <w:r w:rsidRPr="00B777E4">
              <w:rPr>
                <w:rFonts w:ascii="Arial" w:hAnsi="Arial" w:cs="Arial"/>
                <w:lang w:val="en-US"/>
              </w:rPr>
              <w:t>RAL + 2 ITIAN</w:t>
            </w:r>
          </w:p>
          <w:p w14:paraId="12784740" w14:textId="77777777" w:rsidR="003E6146" w:rsidRPr="00B777E4" w:rsidRDefault="003E6146" w:rsidP="00A53EA0">
            <w:pPr>
              <w:spacing w:after="60"/>
              <w:rPr>
                <w:rFonts w:ascii="Arial" w:hAnsi="Arial" w:cs="Arial"/>
                <w:lang w:val="en-US"/>
              </w:rPr>
            </w:pPr>
            <w:r w:rsidRPr="00B777E4">
              <w:rPr>
                <w:rFonts w:ascii="Arial" w:hAnsi="Arial" w:cs="Arial"/>
                <w:lang w:val="en-US"/>
              </w:rPr>
              <w:t>DOR</w:t>
            </w:r>
            <w:r w:rsidRPr="00B777E4">
              <w:rPr>
                <w:rFonts w:ascii="Arial" w:hAnsi="Arial" w:cs="Arial"/>
                <w:highlight w:val="yellow"/>
                <w:lang w:val="en-US"/>
              </w:rPr>
              <w:t>/3TC/TDF</w:t>
            </w:r>
            <w:r w:rsidRPr="00B777E4">
              <w:rPr>
                <w:rFonts w:ascii="Arial" w:hAnsi="Arial" w:cs="Arial"/>
                <w:highlight w:val="yellow"/>
                <w:vertAlign w:val="superscript"/>
                <w:lang w:val="en-US"/>
              </w:rPr>
              <w:t>b</w:t>
            </w:r>
          </w:p>
          <w:p w14:paraId="2B522503" w14:textId="77777777" w:rsidR="003E6146" w:rsidRDefault="003E6146" w:rsidP="00A53EA0">
            <w:pPr>
              <w:spacing w:after="60"/>
              <w:rPr>
                <w:rFonts w:ascii="Arial" w:hAnsi="Arial" w:cs="Arial"/>
                <w:lang w:val="en-US"/>
              </w:rPr>
            </w:pPr>
            <w:r w:rsidRPr="00B777E4">
              <w:rPr>
                <w:rFonts w:ascii="Arial" w:hAnsi="Arial" w:cs="Arial"/>
                <w:lang w:val="en-US"/>
              </w:rPr>
              <w:t>RPV/FTC/TAF</w:t>
            </w:r>
          </w:p>
          <w:p w14:paraId="0962B7DD" w14:textId="77777777" w:rsidR="003E6146" w:rsidRPr="00B777E4" w:rsidRDefault="003E6146" w:rsidP="00A53EA0">
            <w:pPr>
              <w:spacing w:after="60"/>
              <w:rPr>
                <w:rFonts w:ascii="Arial" w:hAnsi="Arial" w:cs="Arial"/>
                <w:lang w:val="en-US"/>
              </w:rPr>
            </w:pPr>
            <w:r w:rsidRPr="00B777E4">
              <w:rPr>
                <w:rFonts w:ascii="Arial" w:hAnsi="Arial" w:cs="Arial"/>
                <w:lang w:val="en-US"/>
              </w:rPr>
              <w:t>DRV/c/FTC/TAF</w:t>
            </w:r>
          </w:p>
        </w:tc>
        <w:tc>
          <w:tcPr>
            <w:tcW w:w="1313" w:type="dxa"/>
          </w:tcPr>
          <w:p w14:paraId="2B344F9C" w14:textId="77777777" w:rsidR="003E6146" w:rsidRDefault="003E6146" w:rsidP="00A53EA0">
            <w:pPr>
              <w:spacing w:after="60"/>
              <w:rPr>
                <w:rFonts w:ascii="Arial" w:hAnsi="Arial" w:cs="Arial"/>
                <w:lang w:val="en-US"/>
              </w:rPr>
            </w:pPr>
            <w:r w:rsidRPr="003E6146">
              <w:rPr>
                <w:rFonts w:ascii="Arial" w:hAnsi="Arial" w:cs="Arial"/>
                <w:lang w:val="en-US"/>
              </w:rPr>
              <w:t>A-I</w:t>
            </w:r>
            <w:r w:rsidRPr="00B777E4">
              <w:rPr>
                <w:rFonts w:ascii="Arial" w:hAnsi="Arial" w:cs="Arial"/>
                <w:lang w:val="en-US"/>
              </w:rPr>
              <w:t xml:space="preserve"> </w:t>
            </w:r>
          </w:p>
          <w:p w14:paraId="10DEE19A" w14:textId="77777777" w:rsidR="003E6146" w:rsidRPr="00B777E4" w:rsidRDefault="003E6146" w:rsidP="00A53EA0">
            <w:pPr>
              <w:spacing w:after="60"/>
              <w:rPr>
                <w:rFonts w:ascii="Arial" w:hAnsi="Arial" w:cs="Arial"/>
                <w:lang w:val="en-US"/>
              </w:rPr>
            </w:pPr>
            <w:r w:rsidRPr="00B777E4">
              <w:rPr>
                <w:rFonts w:ascii="Arial" w:hAnsi="Arial" w:cs="Arial"/>
                <w:lang w:val="en-US"/>
              </w:rPr>
              <w:t>A-III, A-I</w:t>
            </w:r>
          </w:p>
          <w:p w14:paraId="518180D3" w14:textId="77777777" w:rsidR="003E6146" w:rsidRPr="003E6146" w:rsidRDefault="003E6146" w:rsidP="00A53EA0">
            <w:pPr>
              <w:spacing w:after="60"/>
              <w:rPr>
                <w:rFonts w:ascii="Arial" w:hAnsi="Arial" w:cs="Arial"/>
                <w:lang w:val="en-US"/>
              </w:rPr>
            </w:pPr>
            <w:r w:rsidRPr="003E6146">
              <w:rPr>
                <w:rFonts w:ascii="Arial" w:hAnsi="Arial" w:cs="Arial"/>
                <w:lang w:val="en-US"/>
              </w:rPr>
              <w:t>A-I</w:t>
            </w:r>
          </w:p>
          <w:p w14:paraId="7037FB1C" w14:textId="77777777" w:rsidR="003E6146" w:rsidRPr="003E6146" w:rsidRDefault="003E6146" w:rsidP="00A53EA0">
            <w:pPr>
              <w:spacing w:after="60"/>
              <w:rPr>
                <w:rFonts w:ascii="Arial" w:hAnsi="Arial" w:cs="Arial"/>
                <w:lang w:val="en-US"/>
              </w:rPr>
            </w:pPr>
            <w:r w:rsidRPr="003E6146">
              <w:rPr>
                <w:rFonts w:ascii="Arial" w:hAnsi="Arial" w:cs="Arial"/>
                <w:lang w:val="en-US"/>
              </w:rPr>
              <w:t>A-I</w:t>
            </w:r>
          </w:p>
          <w:p w14:paraId="2EA966EC"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33DE280D" w14:textId="77777777" w:rsidR="003E6146" w:rsidRPr="00B777E4" w:rsidRDefault="003E6146" w:rsidP="00A53EA0">
            <w:pPr>
              <w:spacing w:after="60"/>
              <w:rPr>
                <w:rFonts w:ascii="Arial" w:hAnsi="Arial" w:cs="Arial"/>
                <w:lang w:val="en-US"/>
              </w:rPr>
            </w:pPr>
            <w:r w:rsidRPr="00B777E4">
              <w:rPr>
                <w:rFonts w:ascii="Arial" w:hAnsi="Arial" w:cs="Arial"/>
                <w:lang w:val="en-US"/>
              </w:rPr>
              <w:t>A-I</w:t>
            </w:r>
          </w:p>
          <w:p w14:paraId="6CB35D07" w14:textId="77777777" w:rsidR="003E6146" w:rsidRPr="003E6146" w:rsidRDefault="003E6146" w:rsidP="00A53EA0">
            <w:pPr>
              <w:spacing w:after="60"/>
              <w:rPr>
                <w:rFonts w:ascii="Arial" w:hAnsi="Arial" w:cs="Arial"/>
                <w:lang w:val="en-US"/>
              </w:rPr>
            </w:pPr>
            <w:r w:rsidRPr="00B777E4">
              <w:rPr>
                <w:rFonts w:ascii="Arial" w:hAnsi="Arial" w:cs="Arial"/>
                <w:lang w:val="en-US"/>
              </w:rPr>
              <w:t>A-III</w:t>
            </w:r>
            <w:r w:rsidRPr="003E6146">
              <w:rPr>
                <w:rFonts w:ascii="Arial" w:hAnsi="Arial" w:cs="Arial"/>
                <w:lang w:val="en-US"/>
              </w:rPr>
              <w:t xml:space="preserve"> </w:t>
            </w:r>
          </w:p>
          <w:p w14:paraId="3804BB5F" w14:textId="77777777" w:rsidR="003E6146" w:rsidRPr="00B777E4" w:rsidRDefault="003E6146" w:rsidP="00A53EA0">
            <w:pPr>
              <w:spacing w:after="60"/>
              <w:rPr>
                <w:rFonts w:ascii="Arial" w:hAnsi="Arial" w:cs="Arial"/>
                <w:lang w:val="en-US"/>
              </w:rPr>
            </w:pPr>
            <w:r w:rsidRPr="003E6146">
              <w:rPr>
                <w:rFonts w:ascii="Arial" w:hAnsi="Arial" w:cs="Arial"/>
                <w:lang w:val="en-US"/>
              </w:rPr>
              <w:t>A-I</w:t>
            </w:r>
          </w:p>
        </w:tc>
      </w:tr>
      <w:tr w:rsidR="003E6146" w:rsidRPr="00B777E4" w14:paraId="2F9EF280" w14:textId="77777777" w:rsidTr="00A53EA0">
        <w:trPr>
          <w:trHeight w:val="357"/>
        </w:trPr>
        <w:tc>
          <w:tcPr>
            <w:tcW w:w="2127" w:type="dxa"/>
          </w:tcPr>
          <w:p w14:paraId="7720A931" w14:textId="77777777" w:rsidR="003E6146" w:rsidRPr="00B777E4" w:rsidRDefault="003E6146" w:rsidP="00A53EA0">
            <w:pPr>
              <w:spacing w:after="60"/>
              <w:rPr>
                <w:rFonts w:ascii="Arial" w:hAnsi="Arial" w:cs="Arial"/>
              </w:rPr>
            </w:pPr>
            <w:r w:rsidRPr="00B777E4">
              <w:rPr>
                <w:rFonts w:ascii="Arial" w:hAnsi="Arial" w:cs="Arial"/>
              </w:rPr>
              <w:t>INI + 2 ITIAN</w:t>
            </w:r>
          </w:p>
        </w:tc>
        <w:tc>
          <w:tcPr>
            <w:tcW w:w="3686" w:type="dxa"/>
            <w:gridSpan w:val="2"/>
          </w:tcPr>
          <w:p w14:paraId="3B07C2D9" w14:textId="77777777" w:rsidR="003E6146" w:rsidRPr="00B777E4" w:rsidRDefault="003E6146" w:rsidP="00A53EA0">
            <w:pPr>
              <w:spacing w:after="60"/>
              <w:rPr>
                <w:rFonts w:ascii="Arial" w:hAnsi="Arial" w:cs="Arial"/>
              </w:rPr>
            </w:pPr>
            <w:r w:rsidRPr="00B777E4">
              <w:rPr>
                <w:rFonts w:ascii="Arial" w:hAnsi="Arial" w:cs="Arial"/>
              </w:rPr>
              <w:t xml:space="preserve">Decisión clínica; </w:t>
            </w:r>
            <w:r w:rsidRPr="00B777E4">
              <w:rPr>
                <w:rFonts w:ascii="Arial" w:hAnsi="Arial" w:cs="Arial"/>
                <w:highlight w:val="yellow"/>
              </w:rPr>
              <w:t>Disminución del número de comprimidos</w:t>
            </w:r>
          </w:p>
        </w:tc>
        <w:tc>
          <w:tcPr>
            <w:tcW w:w="2231" w:type="dxa"/>
          </w:tcPr>
          <w:p w14:paraId="33CAD706" w14:textId="77777777" w:rsidR="003E6146" w:rsidRPr="003E6146" w:rsidRDefault="003E6146" w:rsidP="00A53EA0">
            <w:pPr>
              <w:spacing w:after="60"/>
              <w:rPr>
                <w:rFonts w:ascii="Arial" w:hAnsi="Arial" w:cs="Arial"/>
              </w:rPr>
            </w:pPr>
            <w:r w:rsidRPr="003E6146">
              <w:rPr>
                <w:rFonts w:ascii="Arial" w:hAnsi="Arial" w:cs="Arial"/>
              </w:rPr>
              <w:t>BIC/FTC/TAF DTG/ABC/3TC</w:t>
            </w:r>
          </w:p>
        </w:tc>
        <w:tc>
          <w:tcPr>
            <w:tcW w:w="1313" w:type="dxa"/>
          </w:tcPr>
          <w:p w14:paraId="07A7D301" w14:textId="77777777" w:rsidR="003E6146" w:rsidRPr="00B777E4" w:rsidRDefault="003E6146" w:rsidP="00A53EA0">
            <w:pPr>
              <w:spacing w:after="60"/>
              <w:rPr>
                <w:rFonts w:ascii="Arial" w:hAnsi="Arial" w:cs="Arial"/>
              </w:rPr>
            </w:pPr>
            <w:r w:rsidRPr="00B777E4">
              <w:rPr>
                <w:rFonts w:ascii="Arial" w:hAnsi="Arial" w:cs="Arial"/>
              </w:rPr>
              <w:t>A-I</w:t>
            </w:r>
          </w:p>
          <w:p w14:paraId="4C568E53" w14:textId="77777777" w:rsidR="003E6146" w:rsidRPr="00B777E4" w:rsidRDefault="003E6146" w:rsidP="00A53EA0">
            <w:pPr>
              <w:spacing w:after="60"/>
              <w:rPr>
                <w:rFonts w:ascii="Arial" w:hAnsi="Arial" w:cs="Arial"/>
              </w:rPr>
            </w:pPr>
            <w:r w:rsidRPr="00B777E4">
              <w:rPr>
                <w:rFonts w:ascii="Arial" w:hAnsi="Arial" w:cs="Arial"/>
              </w:rPr>
              <w:t>A-I</w:t>
            </w:r>
          </w:p>
        </w:tc>
      </w:tr>
      <w:tr w:rsidR="003E6146" w:rsidRPr="00B777E4" w14:paraId="7F631C4B" w14:textId="77777777" w:rsidTr="00A53EA0">
        <w:trPr>
          <w:trHeight w:val="521"/>
        </w:trPr>
        <w:tc>
          <w:tcPr>
            <w:tcW w:w="9357" w:type="dxa"/>
            <w:gridSpan w:val="5"/>
            <w:shd w:val="clear" w:color="auto" w:fill="D9D9D9"/>
            <w:vAlign w:val="center"/>
          </w:tcPr>
          <w:p w14:paraId="7FC9E500" w14:textId="77777777" w:rsidR="003E6146" w:rsidRPr="00B777E4" w:rsidRDefault="003E6146" w:rsidP="00A53EA0">
            <w:pPr>
              <w:spacing w:after="60"/>
              <w:rPr>
                <w:rFonts w:ascii="Arial" w:hAnsi="Arial" w:cs="Arial"/>
                <w:b/>
                <w:color w:val="AE1C1F"/>
              </w:rPr>
            </w:pPr>
            <w:r w:rsidRPr="00B777E4">
              <w:rPr>
                <w:rFonts w:ascii="Arial" w:hAnsi="Arial" w:cs="Arial"/>
                <w:b/>
                <w:color w:val="AE1C1F"/>
              </w:rPr>
              <w:t>Cambio a regímenes con menos de 3 fármacos</w:t>
            </w:r>
            <w:r w:rsidRPr="00B777E4">
              <w:rPr>
                <w:rFonts w:ascii="Arial" w:hAnsi="Arial" w:cs="Arial"/>
                <w:b/>
                <w:color w:val="AE1C1F"/>
                <w:vertAlign w:val="superscript"/>
              </w:rPr>
              <w:t>a</w:t>
            </w:r>
          </w:p>
        </w:tc>
      </w:tr>
      <w:tr w:rsidR="003E6146" w:rsidRPr="00B777E4" w14:paraId="65841773" w14:textId="77777777" w:rsidTr="00A53EA0">
        <w:tc>
          <w:tcPr>
            <w:tcW w:w="2127" w:type="dxa"/>
          </w:tcPr>
          <w:p w14:paraId="18416DA6" w14:textId="77777777" w:rsidR="003E6146" w:rsidRPr="00B777E4" w:rsidRDefault="003E6146" w:rsidP="00A53EA0">
            <w:pPr>
              <w:spacing w:after="60"/>
              <w:rPr>
                <w:rFonts w:ascii="Arial" w:hAnsi="Arial" w:cs="Arial"/>
              </w:rPr>
            </w:pPr>
            <w:r w:rsidRPr="00B777E4">
              <w:rPr>
                <w:rFonts w:ascii="Arial" w:hAnsi="Arial" w:cs="Arial"/>
              </w:rPr>
              <w:t>IP/p + 2 ITIAN</w:t>
            </w:r>
            <w:r w:rsidRPr="00B777E4">
              <w:rPr>
                <w:rFonts w:ascii="Arial" w:hAnsi="Arial" w:cs="Arial"/>
                <w:vertAlign w:val="superscript"/>
              </w:rPr>
              <w:t>a</w:t>
            </w:r>
          </w:p>
        </w:tc>
        <w:tc>
          <w:tcPr>
            <w:tcW w:w="3686" w:type="dxa"/>
            <w:gridSpan w:val="2"/>
          </w:tcPr>
          <w:p w14:paraId="21182B49" w14:textId="77777777" w:rsidR="003E6146" w:rsidRPr="00B777E4" w:rsidRDefault="003E6146" w:rsidP="00A53EA0">
            <w:pPr>
              <w:spacing w:after="60"/>
              <w:rPr>
                <w:rFonts w:ascii="Arial" w:hAnsi="Arial" w:cs="Arial"/>
              </w:rPr>
            </w:pPr>
            <w:r w:rsidRPr="00B777E4">
              <w:rPr>
                <w:rFonts w:ascii="Arial" w:hAnsi="Arial" w:cs="Arial"/>
              </w:rPr>
              <w:t xml:space="preserve">Evitar efectos adversos del régimen actual; </w:t>
            </w:r>
            <w:r w:rsidRPr="00B777E4">
              <w:rPr>
                <w:rFonts w:ascii="Arial" w:hAnsi="Arial" w:cs="Arial"/>
                <w:highlight w:val="yellow"/>
              </w:rPr>
              <w:t>Simplificación</w:t>
            </w:r>
          </w:p>
        </w:tc>
        <w:tc>
          <w:tcPr>
            <w:tcW w:w="2231" w:type="dxa"/>
          </w:tcPr>
          <w:p w14:paraId="374148EA" w14:textId="77777777" w:rsidR="003E6146" w:rsidRPr="00B777E4" w:rsidRDefault="003E6146" w:rsidP="00A53EA0">
            <w:pPr>
              <w:spacing w:after="60"/>
              <w:rPr>
                <w:rFonts w:ascii="Arial" w:hAnsi="Arial" w:cs="Arial"/>
              </w:rPr>
            </w:pPr>
            <w:r w:rsidRPr="00B777E4">
              <w:rPr>
                <w:rFonts w:ascii="Arial" w:hAnsi="Arial" w:cs="Arial"/>
              </w:rPr>
              <w:t>DRV/p o ATV/p + 3TC</w:t>
            </w:r>
          </w:p>
        </w:tc>
        <w:tc>
          <w:tcPr>
            <w:tcW w:w="1313" w:type="dxa"/>
          </w:tcPr>
          <w:p w14:paraId="5E971817" w14:textId="77777777" w:rsidR="003E6146" w:rsidRPr="00B777E4" w:rsidRDefault="003E6146" w:rsidP="00A53EA0">
            <w:pPr>
              <w:spacing w:after="60"/>
              <w:rPr>
                <w:rFonts w:ascii="Arial" w:hAnsi="Arial" w:cs="Arial"/>
              </w:rPr>
            </w:pPr>
            <w:r w:rsidRPr="00B777E4">
              <w:rPr>
                <w:rFonts w:ascii="Arial" w:hAnsi="Arial" w:cs="Arial"/>
              </w:rPr>
              <w:t>A-I</w:t>
            </w:r>
          </w:p>
        </w:tc>
      </w:tr>
      <w:tr w:rsidR="003E6146" w:rsidRPr="00B777E4" w14:paraId="6EEEF8D2" w14:textId="77777777" w:rsidTr="00A53EA0">
        <w:trPr>
          <w:trHeight w:val="274"/>
        </w:trPr>
        <w:tc>
          <w:tcPr>
            <w:tcW w:w="2127" w:type="dxa"/>
          </w:tcPr>
          <w:p w14:paraId="1784829A"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IP/p o ITINN o INI + 2 ITIAN</w:t>
            </w:r>
            <w:r w:rsidRPr="00B777E4">
              <w:rPr>
                <w:rFonts w:ascii="Arial" w:hAnsi="Arial" w:cs="Arial"/>
                <w:vertAlign w:val="superscript"/>
              </w:rPr>
              <w:t>a</w:t>
            </w:r>
          </w:p>
        </w:tc>
        <w:tc>
          <w:tcPr>
            <w:tcW w:w="3686" w:type="dxa"/>
            <w:gridSpan w:val="2"/>
          </w:tcPr>
          <w:p w14:paraId="51931008"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Evitar efectos adversos del régimen actual; Simplificación; Evitar interacciones</w:t>
            </w:r>
          </w:p>
        </w:tc>
        <w:tc>
          <w:tcPr>
            <w:tcW w:w="2231" w:type="dxa"/>
          </w:tcPr>
          <w:p w14:paraId="11DAE4B1"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DTG/3TC</w:t>
            </w:r>
          </w:p>
          <w:p w14:paraId="15840F5A"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DTG/RPV</w:t>
            </w:r>
          </w:p>
        </w:tc>
        <w:tc>
          <w:tcPr>
            <w:tcW w:w="1313" w:type="dxa"/>
          </w:tcPr>
          <w:p w14:paraId="064DBA41"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A-I</w:t>
            </w:r>
          </w:p>
        </w:tc>
      </w:tr>
      <w:tr w:rsidR="003E6146" w:rsidRPr="00B777E4" w14:paraId="4B2607B3" w14:textId="77777777" w:rsidTr="00A53EA0">
        <w:trPr>
          <w:trHeight w:val="274"/>
        </w:trPr>
        <w:tc>
          <w:tcPr>
            <w:tcW w:w="2127" w:type="dxa"/>
          </w:tcPr>
          <w:p w14:paraId="60CC8CBE"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IP/p + 2 ITIAN</w:t>
            </w:r>
          </w:p>
          <w:p w14:paraId="224049FD"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Regímenes varios</w:t>
            </w:r>
          </w:p>
        </w:tc>
        <w:tc>
          <w:tcPr>
            <w:tcW w:w="3686" w:type="dxa"/>
            <w:gridSpan w:val="2"/>
          </w:tcPr>
          <w:p w14:paraId="17633725"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Evitar efectos adversos del régimen actual; Simplificación</w:t>
            </w:r>
          </w:p>
        </w:tc>
        <w:tc>
          <w:tcPr>
            <w:tcW w:w="2231" w:type="dxa"/>
          </w:tcPr>
          <w:p w14:paraId="54473DD0"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DTG + DRV/p</w:t>
            </w:r>
          </w:p>
        </w:tc>
        <w:tc>
          <w:tcPr>
            <w:tcW w:w="1313" w:type="dxa"/>
          </w:tcPr>
          <w:p w14:paraId="4C1B3751" w14:textId="77777777" w:rsidR="003E6146" w:rsidRPr="00B777E4" w:rsidRDefault="003E6146" w:rsidP="00A53EA0">
            <w:pPr>
              <w:spacing w:after="60"/>
              <w:rPr>
                <w:rFonts w:ascii="Arial" w:hAnsi="Arial" w:cs="Arial"/>
                <w:highlight w:val="yellow"/>
              </w:rPr>
            </w:pPr>
            <w:r w:rsidRPr="00B777E4">
              <w:rPr>
                <w:rFonts w:ascii="Arial" w:hAnsi="Arial" w:cs="Arial"/>
                <w:highlight w:val="yellow"/>
              </w:rPr>
              <w:t>A-I, A-II</w:t>
            </w:r>
            <w:r w:rsidRPr="00B777E4">
              <w:rPr>
                <w:rFonts w:ascii="Arial" w:hAnsi="Arial" w:cs="Arial"/>
                <w:highlight w:val="red"/>
              </w:rPr>
              <w:t xml:space="preserve"> </w:t>
            </w:r>
          </w:p>
        </w:tc>
      </w:tr>
    </w:tbl>
    <w:p w14:paraId="0D023FBD" w14:textId="77777777" w:rsidR="003E6146" w:rsidRPr="003F3B0A" w:rsidRDefault="003E6146" w:rsidP="003E6146">
      <w:pPr>
        <w:rPr>
          <w:rFonts w:ascii="Arial" w:hAnsi="Arial" w:cs="Arial"/>
        </w:rPr>
      </w:pPr>
    </w:p>
    <w:p w14:paraId="2A53E3BE" w14:textId="77777777" w:rsidR="003E6146" w:rsidRPr="003F3B0A" w:rsidRDefault="003E6146" w:rsidP="003E6146">
      <w:pPr>
        <w:rPr>
          <w:rFonts w:ascii="Arial" w:hAnsi="Arial" w:cs="Arial"/>
          <w:sz w:val="20"/>
          <w:szCs w:val="20"/>
        </w:rPr>
      </w:pPr>
      <w:r w:rsidRPr="003F3B0A">
        <w:rPr>
          <w:rFonts w:ascii="Arial" w:hAnsi="Arial" w:cs="Arial"/>
          <w:sz w:val="20"/>
          <w:szCs w:val="20"/>
        </w:rPr>
        <w:t>* Véase en el texto la justificación de los motivos del cambio para cada pauta.</w:t>
      </w:r>
    </w:p>
    <w:p w14:paraId="6F54BEB2" w14:textId="77777777" w:rsidR="003E6146" w:rsidRPr="003F3B0A" w:rsidRDefault="003E6146" w:rsidP="003E6146">
      <w:pPr>
        <w:rPr>
          <w:rFonts w:ascii="Arial" w:hAnsi="Arial" w:cs="Arial"/>
          <w:sz w:val="20"/>
          <w:szCs w:val="20"/>
        </w:rPr>
      </w:pPr>
      <w:r w:rsidRPr="00B37FD8">
        <w:rPr>
          <w:rFonts w:ascii="Arial" w:hAnsi="Arial" w:cs="Arial"/>
          <w:sz w:val="20"/>
          <w:szCs w:val="20"/>
          <w:highlight w:val="yellow"/>
        </w:rPr>
        <w:t>** Por orden alfabético dentro de cada familia (</w:t>
      </w:r>
      <w:r>
        <w:rPr>
          <w:rFonts w:ascii="Arial" w:hAnsi="Arial" w:cs="Arial"/>
          <w:sz w:val="20"/>
          <w:szCs w:val="20"/>
          <w:highlight w:val="yellow"/>
        </w:rPr>
        <w:t>INI, ITINN, IP</w:t>
      </w:r>
      <w:r w:rsidRPr="00B37FD8">
        <w:rPr>
          <w:rFonts w:ascii="Arial" w:hAnsi="Arial" w:cs="Arial"/>
          <w:sz w:val="20"/>
          <w:szCs w:val="20"/>
          <w:highlight w:val="yellow"/>
        </w:rPr>
        <w:t>)</w:t>
      </w:r>
    </w:p>
    <w:p w14:paraId="2124A83B" w14:textId="77777777" w:rsidR="003E6146" w:rsidRDefault="003E6146" w:rsidP="003E6146">
      <w:pPr>
        <w:rPr>
          <w:rFonts w:ascii="Arial" w:hAnsi="Arial" w:cs="Arial"/>
          <w:sz w:val="20"/>
          <w:szCs w:val="20"/>
        </w:rPr>
      </w:pPr>
      <w:r w:rsidRPr="003F3B0A">
        <w:rPr>
          <w:rFonts w:ascii="Arial" w:hAnsi="Arial" w:cs="Arial"/>
          <w:sz w:val="20"/>
          <w:szCs w:val="20"/>
        </w:rPr>
        <w:t>**</w:t>
      </w:r>
      <w:r w:rsidRPr="00B37FD8">
        <w:rPr>
          <w:rFonts w:ascii="Arial" w:hAnsi="Arial" w:cs="Arial"/>
          <w:sz w:val="20"/>
          <w:szCs w:val="20"/>
          <w:highlight w:val="yellow"/>
        </w:rPr>
        <w:t>*</w:t>
      </w:r>
      <w:r w:rsidRPr="003F3B0A">
        <w:rPr>
          <w:rFonts w:ascii="Arial" w:hAnsi="Arial" w:cs="Arial"/>
          <w:sz w:val="20"/>
          <w:szCs w:val="20"/>
        </w:rPr>
        <w:t xml:space="preserve"> Véanse en el texto los criterios relativos a la fuerza de la recomendación y la base en que se sustentan.</w:t>
      </w:r>
    </w:p>
    <w:p w14:paraId="165692C3" w14:textId="77777777" w:rsidR="003E6146" w:rsidRPr="003F3B0A" w:rsidRDefault="003E6146" w:rsidP="003E6146">
      <w:pPr>
        <w:rPr>
          <w:rFonts w:ascii="Arial" w:hAnsi="Arial" w:cs="Arial"/>
          <w:sz w:val="20"/>
          <w:szCs w:val="20"/>
        </w:rPr>
      </w:pPr>
    </w:p>
    <w:p w14:paraId="12490694" w14:textId="77777777" w:rsidR="003E6146" w:rsidRPr="003F3B0A" w:rsidRDefault="003E6146" w:rsidP="003E6146">
      <w:pPr>
        <w:spacing w:before="60" w:after="60"/>
        <w:jc w:val="both"/>
        <w:rPr>
          <w:rFonts w:ascii="Arial" w:hAnsi="Arial" w:cs="Arial"/>
          <w:sz w:val="20"/>
          <w:szCs w:val="20"/>
        </w:rPr>
      </w:pPr>
      <w:r w:rsidRPr="003F3B0A">
        <w:rPr>
          <w:rFonts w:ascii="Arial" w:hAnsi="Arial" w:cs="Arial"/>
          <w:sz w:val="20"/>
          <w:szCs w:val="20"/>
          <w:vertAlign w:val="superscript"/>
        </w:rPr>
        <w:lastRenderedPageBreak/>
        <w:t>a</w:t>
      </w:r>
      <w:r w:rsidRPr="003F3B0A">
        <w:rPr>
          <w:rFonts w:ascii="Arial" w:hAnsi="Arial" w:cs="Arial"/>
          <w:sz w:val="20"/>
          <w:szCs w:val="20"/>
        </w:rPr>
        <w:t xml:space="preserve"> El cambio desde una pauta con dos ITIAN más un IP/r </w:t>
      </w:r>
      <w:r w:rsidRPr="008E3268">
        <w:rPr>
          <w:rFonts w:ascii="Arial" w:hAnsi="Arial" w:cs="Arial"/>
          <w:sz w:val="20"/>
          <w:szCs w:val="20"/>
        </w:rPr>
        <w:t xml:space="preserve">a dos ITIAN más un ITINN o INI </w:t>
      </w:r>
      <w:r w:rsidRPr="008E3268">
        <w:rPr>
          <w:rFonts w:ascii="Arial" w:hAnsi="Arial" w:cs="Arial"/>
          <w:sz w:val="20"/>
          <w:szCs w:val="20"/>
          <w:highlight w:val="yellow"/>
        </w:rPr>
        <w:t xml:space="preserve">de baja barrera genética </w:t>
      </w:r>
      <w:r w:rsidRPr="003F3B0A">
        <w:rPr>
          <w:rFonts w:ascii="Arial" w:hAnsi="Arial" w:cs="Arial"/>
          <w:sz w:val="20"/>
          <w:szCs w:val="20"/>
        </w:rPr>
        <w:t>y el cambio desde cualquier pauta a regímenes de menos de 3 fármacos solo debe hacerse si se puede garantizar la actividad antiviral de todos los fármacos de la nueva pauta.</w:t>
      </w:r>
    </w:p>
    <w:p w14:paraId="168E1709" w14:textId="77777777" w:rsidR="003E6146" w:rsidRPr="003F3B0A" w:rsidRDefault="003E6146" w:rsidP="003E6146">
      <w:pPr>
        <w:spacing w:before="60" w:after="60"/>
        <w:jc w:val="both"/>
        <w:rPr>
          <w:rFonts w:ascii="Arial" w:hAnsi="Arial" w:cs="Arial"/>
          <w:sz w:val="20"/>
          <w:szCs w:val="20"/>
        </w:rPr>
      </w:pPr>
    </w:p>
    <w:p w14:paraId="641681BE" w14:textId="77777777" w:rsidR="003E6146" w:rsidRDefault="003E6146" w:rsidP="003E6146">
      <w:pPr>
        <w:jc w:val="both"/>
        <w:rPr>
          <w:rFonts w:ascii="Arial" w:hAnsi="Arial" w:cs="Arial"/>
          <w:sz w:val="20"/>
          <w:szCs w:val="20"/>
        </w:rPr>
      </w:pPr>
      <w:r w:rsidRPr="003F3B0A">
        <w:rPr>
          <w:rFonts w:ascii="Arial" w:hAnsi="Arial" w:cs="Arial"/>
          <w:sz w:val="20"/>
          <w:szCs w:val="20"/>
          <w:vertAlign w:val="superscript"/>
        </w:rPr>
        <w:t>b</w:t>
      </w:r>
      <w:r w:rsidRPr="003F3B0A">
        <w:rPr>
          <w:rFonts w:ascii="Arial" w:hAnsi="Arial" w:cs="Arial"/>
          <w:sz w:val="20"/>
          <w:szCs w:val="20"/>
        </w:rPr>
        <w:t xml:space="preserve"> DOR//TDF</w:t>
      </w:r>
      <w:r>
        <w:rPr>
          <w:rFonts w:ascii="Arial" w:hAnsi="Arial" w:cs="Arial"/>
          <w:sz w:val="20"/>
          <w:szCs w:val="20"/>
        </w:rPr>
        <w:t>/3TC</w:t>
      </w:r>
      <w:r w:rsidRPr="003F3B0A">
        <w:rPr>
          <w:rFonts w:ascii="Arial" w:hAnsi="Arial" w:cs="Arial"/>
          <w:sz w:val="20"/>
          <w:szCs w:val="20"/>
        </w:rPr>
        <w:t xml:space="preserve"> ha sido aprobada por la EMA, aunque en el momento de redactar estas guías aún no está comercializada en Españ</w:t>
      </w:r>
      <w:r>
        <w:rPr>
          <w:rFonts w:ascii="Arial" w:hAnsi="Arial" w:cs="Arial"/>
          <w:sz w:val="20"/>
          <w:szCs w:val="20"/>
        </w:rPr>
        <w:t>a.</w:t>
      </w:r>
    </w:p>
    <w:p w14:paraId="0616486B" w14:textId="496C3470" w:rsidR="001702C3" w:rsidRPr="003F3B0A" w:rsidRDefault="001702C3" w:rsidP="003E6146">
      <w:pPr>
        <w:rPr>
          <w:rFonts w:ascii="Arial" w:hAnsi="Arial" w:cs="Arial"/>
          <w:sz w:val="20"/>
          <w:szCs w:val="20"/>
        </w:rPr>
        <w:sectPr w:rsidR="001702C3" w:rsidRPr="003F3B0A">
          <w:pgSz w:w="11900" w:h="16840"/>
          <w:pgMar w:top="1418" w:right="1701" w:bottom="1418" w:left="1701" w:header="709" w:footer="709" w:gutter="0"/>
          <w:cols w:space="708"/>
          <w:docGrid w:linePitch="360"/>
        </w:sectPr>
      </w:pPr>
    </w:p>
    <w:p w14:paraId="0F90B2AD" w14:textId="77777777" w:rsidR="00C83180" w:rsidRPr="003F3B0A" w:rsidRDefault="00C83180" w:rsidP="00C83180">
      <w:pPr>
        <w:jc w:val="both"/>
        <w:rPr>
          <w:rFonts w:ascii="Arial" w:hAnsi="Arial" w:cs="Arial"/>
          <w:b/>
          <w:color w:val="AE1C1F"/>
        </w:rPr>
      </w:pPr>
      <w:r w:rsidRPr="003F3B0A">
        <w:rPr>
          <w:rFonts w:ascii="Arial" w:hAnsi="Arial" w:cs="Arial"/>
          <w:b/>
          <w:color w:val="AE1C1F"/>
        </w:rPr>
        <w:lastRenderedPageBreak/>
        <w:t>Tabla 6. Principales ensayos clínicos de tratamiento antirretroviral en pacientes con fracaso virológico precoz y avanzado</w:t>
      </w:r>
    </w:p>
    <w:p w14:paraId="3D235530" w14:textId="77777777" w:rsidR="00C83180" w:rsidRPr="003F3B0A" w:rsidRDefault="00C83180" w:rsidP="00C83180">
      <w:pPr>
        <w:jc w:val="center"/>
        <w:rPr>
          <w:rFonts w:ascii="Arial" w:hAnsi="Arial" w:cs="Arial"/>
          <w:b/>
          <w:color w:val="AE1C1F"/>
          <w:sz w:val="18"/>
        </w:rPr>
      </w:pPr>
      <w:r w:rsidRPr="003F3B0A">
        <w:rPr>
          <w:rFonts w:ascii="Arial" w:hAnsi="Arial" w:cs="Arial"/>
          <w:b/>
          <w:color w:val="AE1C1F"/>
          <w:sz w:val="18"/>
        </w:rPr>
        <w:t>(las referencias bibliográficas corresponden a las del capítulo 5: Fracaso del tratamiento antrirretroviral)</w:t>
      </w:r>
    </w:p>
    <w:p w14:paraId="0F87F113" w14:textId="77777777" w:rsidR="00C83180" w:rsidRPr="003F3B0A" w:rsidRDefault="00C83180" w:rsidP="00C83180">
      <w:pPr>
        <w:jc w:val="center"/>
        <w:rPr>
          <w:rFonts w:ascii="Arial" w:hAnsi="Arial" w:cs="Arial"/>
          <w:b/>
          <w:color w:val="AE1C1F"/>
          <w:sz w:val="18"/>
        </w:rPr>
      </w:pPr>
    </w:p>
    <w:p w14:paraId="6D38292F" w14:textId="77777777" w:rsidR="00C83180" w:rsidRPr="003F3B0A" w:rsidRDefault="00C83180" w:rsidP="00C83180">
      <w:pPr>
        <w:jc w:val="center"/>
        <w:rPr>
          <w:rFonts w:ascii="Arial" w:hAnsi="Arial" w:cs="Arial"/>
          <w:b/>
          <w:color w:val="AE1C1F"/>
          <w:sz w:val="18"/>
        </w:rPr>
      </w:pPr>
    </w:p>
    <w:tbl>
      <w:tblPr>
        <w:tblW w:w="14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65"/>
        <w:gridCol w:w="1559"/>
        <w:gridCol w:w="1837"/>
        <w:gridCol w:w="567"/>
        <w:gridCol w:w="2600"/>
        <w:gridCol w:w="2502"/>
        <w:gridCol w:w="2632"/>
      </w:tblGrid>
      <w:tr w:rsidR="00C83180" w:rsidRPr="003F3B0A" w14:paraId="5B519889" w14:textId="77777777" w:rsidTr="00A53EA0">
        <w:trPr>
          <w:tblHeader/>
        </w:trPr>
        <w:tc>
          <w:tcPr>
            <w:tcW w:w="1368" w:type="dxa"/>
            <w:shd w:val="clear" w:color="auto" w:fill="FBE4D5"/>
            <w:vAlign w:val="center"/>
          </w:tcPr>
          <w:p w14:paraId="1E90F4A0"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lastRenderedPageBreak/>
              <w:t>Fármaco</w:t>
            </w:r>
          </w:p>
          <w:p w14:paraId="3A055E0A"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(Ensayo)</w:t>
            </w:r>
          </w:p>
        </w:tc>
        <w:tc>
          <w:tcPr>
            <w:tcW w:w="1865" w:type="dxa"/>
            <w:shd w:val="clear" w:color="auto" w:fill="FBE4D5"/>
            <w:vAlign w:val="center"/>
          </w:tcPr>
          <w:p w14:paraId="7AF57D25"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Criterios inclusión</w:t>
            </w:r>
          </w:p>
        </w:tc>
        <w:tc>
          <w:tcPr>
            <w:tcW w:w="1559" w:type="dxa"/>
            <w:shd w:val="clear" w:color="auto" w:fill="FBE4D5"/>
            <w:vAlign w:val="center"/>
          </w:tcPr>
          <w:p w14:paraId="36CEFAA4"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Diseño</w:t>
            </w:r>
          </w:p>
        </w:tc>
        <w:tc>
          <w:tcPr>
            <w:tcW w:w="1837" w:type="dxa"/>
            <w:shd w:val="clear" w:color="auto" w:fill="FBE4D5"/>
            <w:vAlign w:val="center"/>
          </w:tcPr>
          <w:p w14:paraId="3D722558"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Brazos de</w:t>
            </w:r>
          </w:p>
          <w:p w14:paraId="5F0F6A8C"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comparación</w:t>
            </w:r>
          </w:p>
        </w:tc>
        <w:tc>
          <w:tcPr>
            <w:tcW w:w="567" w:type="dxa"/>
            <w:shd w:val="clear" w:color="auto" w:fill="FBE4D5"/>
            <w:vAlign w:val="center"/>
          </w:tcPr>
          <w:p w14:paraId="6D7764EF"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N</w:t>
            </w:r>
          </w:p>
        </w:tc>
        <w:tc>
          <w:tcPr>
            <w:tcW w:w="2600" w:type="dxa"/>
            <w:shd w:val="clear" w:color="auto" w:fill="FBE4D5"/>
            <w:vAlign w:val="center"/>
          </w:tcPr>
          <w:p w14:paraId="18680A21"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Eficacia</w:t>
            </w:r>
          </w:p>
          <w:p w14:paraId="6A595DA4" w14:textId="77777777" w:rsidR="00C83180" w:rsidRPr="003F3B0A" w:rsidRDefault="00C83180" w:rsidP="00A53EA0">
            <w:pPr>
              <w:jc w:val="center"/>
              <w:rPr>
                <w:rFonts w:ascii="Arial" w:hAnsi="Arial" w:cs="Arial"/>
                <w:b/>
                <w:bCs/>
                <w:color w:val="AE1C1F"/>
                <w:sz w:val="18"/>
                <w:szCs w:val="20"/>
              </w:rPr>
            </w:pPr>
          </w:p>
        </w:tc>
        <w:tc>
          <w:tcPr>
            <w:tcW w:w="2502" w:type="dxa"/>
            <w:shd w:val="clear" w:color="auto" w:fill="FBE4D5"/>
            <w:vAlign w:val="center"/>
          </w:tcPr>
          <w:p w14:paraId="016A4BA0"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Principales</w:t>
            </w:r>
          </w:p>
          <w:p w14:paraId="65E3F3F1"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Conclusiones</w:t>
            </w:r>
          </w:p>
        </w:tc>
        <w:tc>
          <w:tcPr>
            <w:tcW w:w="2632" w:type="dxa"/>
            <w:shd w:val="clear" w:color="auto" w:fill="FBE4D5"/>
            <w:vAlign w:val="center"/>
          </w:tcPr>
          <w:p w14:paraId="751254F1"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Otros resultados</w:t>
            </w:r>
          </w:p>
        </w:tc>
      </w:tr>
      <w:tr w:rsidR="00C83180" w:rsidRPr="003F3B0A" w14:paraId="458229DB" w14:textId="77777777" w:rsidTr="00A53EA0">
        <w:trPr>
          <w:trHeight w:val="368"/>
          <w:tblHeader/>
        </w:trPr>
        <w:tc>
          <w:tcPr>
            <w:tcW w:w="14930" w:type="dxa"/>
            <w:gridSpan w:val="8"/>
            <w:shd w:val="clear" w:color="auto" w:fill="FBE4D5"/>
            <w:vAlign w:val="center"/>
          </w:tcPr>
          <w:p w14:paraId="6455AAB1" w14:textId="77777777" w:rsidR="00C83180" w:rsidRPr="003F3B0A" w:rsidRDefault="00C83180" w:rsidP="00A53EA0">
            <w:pPr>
              <w:jc w:val="both"/>
              <w:rPr>
                <w:rFonts w:ascii="Arial" w:hAnsi="Arial" w:cs="Arial"/>
                <w:b/>
                <w:bCs/>
                <w:color w:val="AE1C1F"/>
                <w:sz w:val="18"/>
                <w:szCs w:val="20"/>
              </w:rPr>
            </w:pPr>
            <w:r w:rsidRPr="003F3B0A">
              <w:rPr>
                <w:rFonts w:ascii="Arial" w:hAnsi="Arial" w:cs="Arial"/>
                <w:b/>
                <w:bCs/>
                <w:color w:val="AE1C1F"/>
                <w:sz w:val="18"/>
                <w:szCs w:val="20"/>
              </w:rPr>
              <w:t xml:space="preserve">Estudios de rescate </w:t>
            </w:r>
            <w:r>
              <w:rPr>
                <w:rFonts w:ascii="Arial" w:hAnsi="Arial" w:cs="Arial"/>
                <w:b/>
                <w:bCs/>
                <w:color w:val="AE1C1F"/>
                <w:sz w:val="18"/>
                <w:szCs w:val="20"/>
              </w:rPr>
              <w:t>tras primer fracaso virológoco</w:t>
            </w:r>
          </w:p>
        </w:tc>
      </w:tr>
      <w:tr w:rsidR="00C83180" w:rsidRPr="003F3B0A" w14:paraId="385C5608" w14:textId="77777777" w:rsidTr="00A53EA0">
        <w:trPr>
          <w:tblHeader/>
        </w:trPr>
        <w:tc>
          <w:tcPr>
            <w:tcW w:w="1368" w:type="dxa"/>
          </w:tcPr>
          <w:p w14:paraId="2D8CA36E" w14:textId="77777777" w:rsidR="00C83180" w:rsidRPr="003F3B0A" w:rsidRDefault="00C83180" w:rsidP="00A53EA0">
            <w:pPr>
              <w:jc w:val="both"/>
              <w:rPr>
                <w:rFonts w:ascii="Arial" w:hAnsi="Arial" w:cs="Arial"/>
                <w:b/>
                <w:bCs/>
                <w:sz w:val="18"/>
                <w:szCs w:val="20"/>
              </w:rPr>
            </w:pPr>
            <w:r w:rsidRPr="003F3B0A">
              <w:rPr>
                <w:rFonts w:ascii="Arial" w:hAnsi="Arial" w:cs="Arial"/>
                <w:b/>
                <w:bCs/>
                <w:sz w:val="18"/>
                <w:szCs w:val="20"/>
              </w:rPr>
              <w:t>DRV/r</w:t>
            </w:r>
          </w:p>
          <w:p w14:paraId="076689E2" w14:textId="77777777" w:rsidR="00C83180" w:rsidRPr="003F3B0A" w:rsidRDefault="00C83180" w:rsidP="00A53EA0">
            <w:pPr>
              <w:jc w:val="both"/>
              <w:rPr>
                <w:rFonts w:ascii="Arial" w:hAnsi="Arial" w:cs="Arial"/>
                <w:b/>
                <w:bCs/>
                <w:sz w:val="18"/>
                <w:szCs w:val="20"/>
              </w:rPr>
            </w:pPr>
            <w:r w:rsidRPr="003F3B0A">
              <w:rPr>
                <w:rFonts w:ascii="Arial" w:hAnsi="Arial" w:cs="Arial"/>
                <w:b/>
                <w:bCs/>
                <w:sz w:val="18"/>
                <w:szCs w:val="20"/>
              </w:rPr>
              <w:t>(ODIN</w:t>
            </w:r>
            <w:r>
              <w:rPr>
                <w:rFonts w:ascii="Arial" w:hAnsi="Arial" w:cs="Arial"/>
                <w:b/>
                <w:bCs/>
                <w:noProof/>
                <w:sz w:val="18"/>
                <w:szCs w:val="20"/>
                <w:vertAlign w:val="superscript"/>
              </w:rPr>
              <w:t>27</w:t>
            </w:r>
            <w:r w:rsidRPr="003F3B0A">
              <w:rPr>
                <w:rFonts w:ascii="Arial" w:hAnsi="Arial" w:cs="Arial"/>
                <w:b/>
                <w:bCs/>
                <w:sz w:val="18"/>
                <w:szCs w:val="20"/>
              </w:rPr>
              <w:t>)</w:t>
            </w:r>
          </w:p>
        </w:tc>
        <w:tc>
          <w:tcPr>
            <w:tcW w:w="1865" w:type="dxa"/>
          </w:tcPr>
          <w:p w14:paraId="03C44B31"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CV &gt;1000 cop/mL</w:t>
            </w:r>
          </w:p>
          <w:p w14:paraId="1C855119"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CD4+ &gt;50 cél/µL </w:t>
            </w:r>
          </w:p>
          <w:p w14:paraId="4184EBB2"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No MR a DRV</w:t>
            </w:r>
          </w:p>
        </w:tc>
        <w:tc>
          <w:tcPr>
            <w:tcW w:w="1559" w:type="dxa"/>
          </w:tcPr>
          <w:p w14:paraId="2352EDAC" w14:textId="77777777" w:rsidR="00C83180" w:rsidRPr="003F3B0A" w:rsidRDefault="00C83180" w:rsidP="00A53EA0">
            <w:pPr>
              <w:rPr>
                <w:rFonts w:ascii="Arial" w:hAnsi="Arial" w:cs="Arial"/>
                <w:sz w:val="18"/>
                <w:szCs w:val="20"/>
              </w:rPr>
            </w:pPr>
            <w:r w:rsidRPr="003F3B0A">
              <w:rPr>
                <w:rFonts w:ascii="Arial" w:hAnsi="Arial" w:cs="Arial"/>
                <w:sz w:val="18"/>
                <w:szCs w:val="20"/>
              </w:rPr>
              <w:t>Fase IIIb</w:t>
            </w:r>
          </w:p>
          <w:p w14:paraId="3F74A970" w14:textId="77777777" w:rsidR="00C83180" w:rsidRPr="003F3B0A" w:rsidRDefault="00C83180" w:rsidP="00A53EA0">
            <w:pPr>
              <w:rPr>
                <w:rFonts w:ascii="Arial" w:hAnsi="Arial" w:cs="Arial"/>
                <w:sz w:val="18"/>
                <w:szCs w:val="20"/>
              </w:rPr>
            </w:pPr>
            <w:r w:rsidRPr="003F3B0A">
              <w:rPr>
                <w:rFonts w:ascii="Arial" w:hAnsi="Arial" w:cs="Arial"/>
                <w:sz w:val="18"/>
                <w:szCs w:val="20"/>
              </w:rPr>
              <w:t>No inferioridad</w:t>
            </w:r>
          </w:p>
          <w:p w14:paraId="7995123D" w14:textId="77777777" w:rsidR="00C83180" w:rsidRPr="003F3B0A" w:rsidRDefault="00C83180" w:rsidP="00A53EA0">
            <w:pPr>
              <w:rPr>
                <w:rFonts w:ascii="Arial" w:hAnsi="Arial" w:cs="Arial"/>
                <w:sz w:val="18"/>
                <w:szCs w:val="20"/>
              </w:rPr>
            </w:pPr>
            <w:r w:rsidRPr="003F3B0A">
              <w:rPr>
                <w:rFonts w:ascii="Arial" w:hAnsi="Arial" w:cs="Arial"/>
                <w:sz w:val="18"/>
                <w:szCs w:val="20"/>
              </w:rPr>
              <w:t>(Δ: -12%)</w:t>
            </w:r>
          </w:p>
          <w:p w14:paraId="66E9A538" w14:textId="77777777" w:rsidR="00C83180" w:rsidRPr="003F3B0A" w:rsidRDefault="00C83180" w:rsidP="00A53EA0">
            <w:pPr>
              <w:rPr>
                <w:rFonts w:ascii="Arial" w:hAnsi="Arial" w:cs="Arial"/>
                <w:sz w:val="18"/>
                <w:szCs w:val="20"/>
              </w:rPr>
            </w:pPr>
            <w:r w:rsidRPr="003F3B0A">
              <w:rPr>
                <w:rFonts w:ascii="Arial" w:hAnsi="Arial" w:cs="Arial"/>
                <w:sz w:val="18"/>
                <w:szCs w:val="20"/>
              </w:rPr>
              <w:t>ITT-TLOVR</w:t>
            </w:r>
          </w:p>
        </w:tc>
        <w:tc>
          <w:tcPr>
            <w:tcW w:w="1837" w:type="dxa"/>
          </w:tcPr>
          <w:p w14:paraId="2C744750"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DRV/r 800/100 QD </w:t>
            </w:r>
          </w:p>
          <w:p w14:paraId="03E0861B"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DRV/r 600/100 BID</w:t>
            </w:r>
          </w:p>
          <w:p w14:paraId="57857C92"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(ambos + ITIAN) </w:t>
            </w:r>
          </w:p>
        </w:tc>
        <w:tc>
          <w:tcPr>
            <w:tcW w:w="567" w:type="dxa"/>
          </w:tcPr>
          <w:p w14:paraId="3708C0CF" w14:textId="77777777" w:rsidR="00C83180" w:rsidRPr="003F3B0A" w:rsidRDefault="00C83180" w:rsidP="00A53EA0">
            <w:pPr>
              <w:rPr>
                <w:rFonts w:ascii="Arial" w:hAnsi="Arial" w:cs="Arial"/>
                <w:sz w:val="18"/>
                <w:szCs w:val="20"/>
              </w:rPr>
            </w:pPr>
            <w:r w:rsidRPr="003F3B0A">
              <w:rPr>
                <w:rFonts w:ascii="Arial" w:hAnsi="Arial" w:cs="Arial"/>
                <w:sz w:val="18"/>
                <w:szCs w:val="20"/>
              </w:rPr>
              <w:t>294</w:t>
            </w:r>
          </w:p>
          <w:p w14:paraId="65D9A1E2" w14:textId="77777777" w:rsidR="00C83180" w:rsidRPr="003F3B0A" w:rsidRDefault="00C83180" w:rsidP="00A53EA0">
            <w:pPr>
              <w:rPr>
                <w:rFonts w:ascii="Arial" w:hAnsi="Arial" w:cs="Arial"/>
                <w:sz w:val="18"/>
                <w:szCs w:val="20"/>
              </w:rPr>
            </w:pPr>
            <w:r w:rsidRPr="003F3B0A">
              <w:rPr>
                <w:rFonts w:ascii="Arial" w:hAnsi="Arial" w:cs="Arial"/>
                <w:sz w:val="18"/>
                <w:szCs w:val="20"/>
              </w:rPr>
              <w:t>296</w:t>
            </w:r>
          </w:p>
        </w:tc>
        <w:tc>
          <w:tcPr>
            <w:tcW w:w="2600" w:type="dxa"/>
          </w:tcPr>
          <w:p w14:paraId="69244F63"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- 72,1%: &lt;50 cop/mL</w:t>
            </w:r>
          </w:p>
          <w:p w14:paraId="31068592"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- 70,9%: &lt;50 cop/mL</w:t>
            </w:r>
          </w:p>
          <w:p w14:paraId="623F0E80"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w:t>
            </w:r>
            <w:r w:rsidRPr="003F3B0A">
              <w:rPr>
                <w:rFonts w:ascii="Arial" w:hAnsi="Arial" w:cs="Arial"/>
                <w:sz w:val="18"/>
                <w:szCs w:val="20"/>
              </w:rPr>
              <w:t>Δ</w:t>
            </w:r>
            <w:r w:rsidRPr="003F3B0A">
              <w:rPr>
                <w:rFonts w:ascii="Arial" w:hAnsi="Arial" w:cs="Arial"/>
                <w:sz w:val="18"/>
                <w:szCs w:val="20"/>
                <w:lang w:val="en-US"/>
              </w:rPr>
              <w:t xml:space="preserve"> 1,2% (IC95%: -6,1 a 8,5%)</w:t>
            </w:r>
          </w:p>
        </w:tc>
        <w:tc>
          <w:tcPr>
            <w:tcW w:w="2502" w:type="dxa"/>
          </w:tcPr>
          <w:p w14:paraId="281C23E3" w14:textId="77777777" w:rsidR="00C83180" w:rsidRPr="003F3B0A" w:rsidRDefault="00C83180" w:rsidP="00A53EA0">
            <w:pPr>
              <w:rPr>
                <w:rFonts w:ascii="Arial" w:hAnsi="Arial" w:cs="Arial"/>
                <w:sz w:val="18"/>
                <w:szCs w:val="20"/>
              </w:rPr>
            </w:pPr>
            <w:r w:rsidRPr="003F3B0A">
              <w:rPr>
                <w:rFonts w:ascii="Arial" w:hAnsi="Arial" w:cs="Arial"/>
                <w:sz w:val="18"/>
                <w:szCs w:val="20"/>
              </w:rPr>
              <w:t>DRV/r QD es no inferior a DRV/r BID en pacientes con FV sin MR a DRV</w:t>
            </w:r>
          </w:p>
        </w:tc>
        <w:tc>
          <w:tcPr>
            <w:tcW w:w="2632" w:type="dxa"/>
          </w:tcPr>
          <w:p w14:paraId="5A9977B5" w14:textId="77777777" w:rsidR="00C83180" w:rsidRPr="003F3B0A" w:rsidRDefault="00C83180" w:rsidP="00A53EA0">
            <w:pPr>
              <w:rPr>
                <w:rFonts w:ascii="Arial" w:hAnsi="Arial" w:cs="Arial"/>
                <w:sz w:val="18"/>
                <w:szCs w:val="20"/>
              </w:rPr>
            </w:pPr>
            <w:r w:rsidRPr="003F3B0A">
              <w:rPr>
                <w:rFonts w:ascii="Arial" w:hAnsi="Arial" w:cs="Arial"/>
                <w:sz w:val="18"/>
                <w:szCs w:val="20"/>
              </w:rPr>
              <w:t>- Los EA son inferiores en pauta QD (7,8%) frente a BID (15,2%) y mejor perfil lipídico</w:t>
            </w:r>
          </w:p>
          <w:p w14:paraId="4C923617" w14:textId="77777777" w:rsidR="00C83180" w:rsidRPr="003F3B0A" w:rsidRDefault="00C83180" w:rsidP="00A53EA0">
            <w:pPr>
              <w:rPr>
                <w:rFonts w:ascii="Arial" w:hAnsi="Arial" w:cs="Arial"/>
                <w:sz w:val="18"/>
                <w:szCs w:val="20"/>
              </w:rPr>
            </w:pPr>
          </w:p>
          <w:p w14:paraId="2031FA4E" w14:textId="77777777" w:rsidR="00C83180" w:rsidRPr="003F3B0A" w:rsidRDefault="00C83180" w:rsidP="00A53EA0">
            <w:pPr>
              <w:rPr>
                <w:rFonts w:ascii="Arial" w:hAnsi="Arial" w:cs="Arial"/>
                <w:sz w:val="18"/>
                <w:szCs w:val="20"/>
              </w:rPr>
            </w:pPr>
          </w:p>
        </w:tc>
      </w:tr>
      <w:tr w:rsidR="00C83180" w:rsidRPr="003F3B0A" w14:paraId="17883226" w14:textId="77777777" w:rsidTr="00A53EA0">
        <w:trPr>
          <w:tblHeader/>
        </w:trPr>
        <w:tc>
          <w:tcPr>
            <w:tcW w:w="1368" w:type="dxa"/>
          </w:tcPr>
          <w:p w14:paraId="495D46A0" w14:textId="77777777" w:rsidR="00C83180" w:rsidRPr="003F3B0A" w:rsidRDefault="00C83180" w:rsidP="00A53EA0">
            <w:pPr>
              <w:jc w:val="both"/>
              <w:rPr>
                <w:rFonts w:cs="Calibri"/>
                <w:lang w:val="en-US"/>
              </w:rPr>
            </w:pPr>
            <w:r w:rsidRPr="003F3B0A">
              <w:rPr>
                <w:rFonts w:ascii="Arial" w:hAnsi="Arial" w:cs="Arial"/>
                <w:b/>
                <w:bCs/>
                <w:sz w:val="18"/>
                <w:szCs w:val="20"/>
              </w:rPr>
              <w:t>DTG (DAWNING</w:t>
            </w:r>
            <w:r>
              <w:rPr>
                <w:rFonts w:ascii="Arial" w:hAnsi="Arial" w:cs="Arial"/>
                <w:b/>
                <w:bCs/>
                <w:noProof/>
                <w:sz w:val="18"/>
                <w:szCs w:val="20"/>
                <w:vertAlign w:val="superscript"/>
              </w:rPr>
              <w:t>16</w:t>
            </w:r>
            <w:r w:rsidRPr="003F3B0A">
              <w:rPr>
                <w:rFonts w:ascii="Arial" w:hAnsi="Arial" w:cs="Arial"/>
                <w:b/>
                <w:bCs/>
                <w:sz w:val="18"/>
                <w:szCs w:val="20"/>
              </w:rPr>
              <w:t>)</w:t>
            </w:r>
          </w:p>
        </w:tc>
        <w:tc>
          <w:tcPr>
            <w:tcW w:w="1865" w:type="dxa"/>
          </w:tcPr>
          <w:p w14:paraId="1A6B3A2D" w14:textId="77777777" w:rsidR="00C83180" w:rsidRPr="003F3B0A" w:rsidRDefault="00C83180" w:rsidP="00A53EA0">
            <w:pPr>
              <w:rPr>
                <w:rFonts w:ascii="Arial" w:hAnsi="Arial" w:cs="Arial"/>
                <w:sz w:val="18"/>
                <w:szCs w:val="20"/>
              </w:rPr>
            </w:pPr>
            <w:r w:rsidRPr="003F3B0A">
              <w:rPr>
                <w:rFonts w:ascii="Arial" w:hAnsi="Arial" w:cs="Arial"/>
                <w:sz w:val="18"/>
                <w:szCs w:val="20"/>
              </w:rPr>
              <w:t>En trat. de primera línea con 2 ITIAN + ITINN  FV HIV-1 RNA ≥400 c/mL  No MR a IP o INI</w:t>
            </w:r>
          </w:p>
        </w:tc>
        <w:tc>
          <w:tcPr>
            <w:tcW w:w="1559" w:type="dxa"/>
          </w:tcPr>
          <w:p w14:paraId="1EA37FDB" w14:textId="77777777" w:rsidR="00C83180" w:rsidRPr="003F3B0A" w:rsidRDefault="00C83180" w:rsidP="00A53EA0">
            <w:pPr>
              <w:rPr>
                <w:rFonts w:ascii="Arial" w:hAnsi="Arial" w:cs="Arial"/>
                <w:sz w:val="18"/>
                <w:szCs w:val="20"/>
              </w:rPr>
            </w:pPr>
            <w:r w:rsidRPr="003F3B0A">
              <w:rPr>
                <w:rFonts w:ascii="Arial" w:hAnsi="Arial" w:cs="Arial"/>
                <w:sz w:val="18"/>
                <w:szCs w:val="20"/>
              </w:rPr>
              <w:t>Estudio de fase IIIb abierto, aleatorizado de no inferioridad</w:t>
            </w:r>
          </w:p>
        </w:tc>
        <w:tc>
          <w:tcPr>
            <w:tcW w:w="1837" w:type="dxa"/>
          </w:tcPr>
          <w:p w14:paraId="016CAE2F"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DTG+ 2 ITIAN  </w:t>
            </w:r>
          </w:p>
          <w:p w14:paraId="4162E856" w14:textId="77777777" w:rsidR="00C83180" w:rsidRPr="003F3B0A" w:rsidRDefault="00C83180" w:rsidP="00A53EA0">
            <w:pPr>
              <w:rPr>
                <w:rFonts w:ascii="Arial" w:hAnsi="Arial" w:cs="Arial"/>
                <w:sz w:val="18"/>
                <w:szCs w:val="20"/>
                <w:lang w:val="en-US"/>
              </w:rPr>
            </w:pPr>
          </w:p>
          <w:p w14:paraId="0A780BFB"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LPV/r + 2 ITIAN</w:t>
            </w:r>
          </w:p>
        </w:tc>
        <w:tc>
          <w:tcPr>
            <w:tcW w:w="567" w:type="dxa"/>
          </w:tcPr>
          <w:p w14:paraId="3A7047DE"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312</w:t>
            </w:r>
          </w:p>
          <w:p w14:paraId="0081E585" w14:textId="77777777" w:rsidR="00C83180" w:rsidRPr="003F3B0A" w:rsidRDefault="00C83180" w:rsidP="00A53EA0">
            <w:pPr>
              <w:rPr>
                <w:rFonts w:ascii="Arial" w:hAnsi="Arial" w:cs="Arial"/>
                <w:sz w:val="18"/>
                <w:szCs w:val="20"/>
                <w:lang w:val="en-US"/>
              </w:rPr>
            </w:pPr>
          </w:p>
          <w:p w14:paraId="124ED8F0"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312</w:t>
            </w:r>
          </w:p>
        </w:tc>
        <w:tc>
          <w:tcPr>
            <w:tcW w:w="2600" w:type="dxa"/>
          </w:tcPr>
          <w:p w14:paraId="75E53CD0"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82% </w:t>
            </w:r>
          </w:p>
          <w:p w14:paraId="765AE3CB" w14:textId="77777777" w:rsidR="00C83180" w:rsidRPr="003F3B0A" w:rsidRDefault="00C83180" w:rsidP="00A53EA0">
            <w:pPr>
              <w:rPr>
                <w:rFonts w:ascii="Arial" w:hAnsi="Arial" w:cs="Arial"/>
                <w:sz w:val="18"/>
                <w:szCs w:val="20"/>
                <w:lang w:val="en-US"/>
              </w:rPr>
            </w:pPr>
          </w:p>
          <w:p w14:paraId="17E1DE75"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69%</w:t>
            </w:r>
          </w:p>
          <w:p w14:paraId="4F1FDDC8"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13,8%, IC 95%: 7,3% a 20,3%, P &lt;0,001.</w:t>
            </w:r>
          </w:p>
        </w:tc>
        <w:tc>
          <w:tcPr>
            <w:tcW w:w="2502" w:type="dxa"/>
          </w:tcPr>
          <w:p w14:paraId="148C331A"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DTG + 2 ITIAN, superior a LPV/r + 2 ITIAN por </w:t>
            </w:r>
            <w:r w:rsidRPr="003F3B0A">
              <w:rPr>
                <w:rFonts w:ascii="Arial" w:hAnsi="Arial" w:cs="Arial"/>
                <w:i/>
                <w:sz w:val="18"/>
                <w:szCs w:val="20"/>
              </w:rPr>
              <w:t>snapshot</w:t>
            </w:r>
            <w:r w:rsidRPr="003F3B0A">
              <w:rPr>
                <w:rFonts w:ascii="Arial" w:hAnsi="Arial" w:cs="Arial"/>
                <w:sz w:val="18"/>
                <w:szCs w:val="20"/>
              </w:rPr>
              <w:t xml:space="preserve"> en la población por  ITT-E (&lt;50 c / mL) en la semana 24, P &lt;0.001</w:t>
            </w:r>
          </w:p>
        </w:tc>
        <w:tc>
          <w:tcPr>
            <w:tcW w:w="2632" w:type="dxa"/>
          </w:tcPr>
          <w:p w14:paraId="61912012" w14:textId="77777777" w:rsidR="00C83180" w:rsidRPr="003F3B0A" w:rsidRDefault="00C83180" w:rsidP="00A53EA0">
            <w:pPr>
              <w:rPr>
                <w:rFonts w:ascii="Arial" w:hAnsi="Arial" w:cs="Arial"/>
                <w:sz w:val="18"/>
                <w:szCs w:val="20"/>
              </w:rPr>
            </w:pPr>
            <w:r w:rsidRPr="003F3B0A">
              <w:rPr>
                <w:rFonts w:ascii="Arial" w:hAnsi="Arial" w:cs="Arial"/>
                <w:sz w:val="18"/>
                <w:szCs w:val="20"/>
              </w:rPr>
              <w:t>En pacientes con menos de dos FAR completamente activos DTG fue superior a LPV/r (84% vs 73%)</w:t>
            </w:r>
          </w:p>
        </w:tc>
      </w:tr>
      <w:tr w:rsidR="00C83180" w:rsidRPr="003F3B0A" w14:paraId="7C3684C2" w14:textId="77777777" w:rsidTr="00A53EA0">
        <w:trPr>
          <w:tblHeader/>
        </w:trPr>
        <w:tc>
          <w:tcPr>
            <w:tcW w:w="1368" w:type="dxa"/>
          </w:tcPr>
          <w:p w14:paraId="5EF8ACF3" w14:textId="77777777" w:rsidR="00C83180" w:rsidRPr="003F3B0A" w:rsidRDefault="00C83180" w:rsidP="00A53EA0">
            <w:pPr>
              <w:jc w:val="both"/>
              <w:rPr>
                <w:rFonts w:ascii="Arial" w:hAnsi="Arial" w:cs="Arial"/>
                <w:b/>
                <w:bCs/>
                <w:sz w:val="18"/>
                <w:szCs w:val="20"/>
                <w:lang w:val="en-US"/>
              </w:rPr>
            </w:pPr>
            <w:r w:rsidRPr="003F3B0A">
              <w:rPr>
                <w:rFonts w:ascii="Arial" w:hAnsi="Arial" w:cs="Arial"/>
                <w:b/>
                <w:bCs/>
                <w:sz w:val="18"/>
                <w:szCs w:val="20"/>
                <w:lang w:val="en-US"/>
              </w:rPr>
              <w:t>LPV/r+RAL</w:t>
            </w:r>
          </w:p>
          <w:p w14:paraId="050FDB9E" w14:textId="77777777" w:rsidR="00C83180" w:rsidRPr="003F3B0A" w:rsidRDefault="00C83180" w:rsidP="00A53EA0">
            <w:pPr>
              <w:jc w:val="both"/>
              <w:rPr>
                <w:rFonts w:ascii="Arial" w:hAnsi="Arial" w:cs="Arial"/>
                <w:b/>
                <w:bCs/>
                <w:sz w:val="18"/>
                <w:szCs w:val="20"/>
                <w:lang w:val="en-US"/>
              </w:rPr>
            </w:pPr>
            <w:r w:rsidRPr="003F3B0A">
              <w:rPr>
                <w:rFonts w:ascii="Arial" w:hAnsi="Arial" w:cs="Arial"/>
                <w:b/>
                <w:bCs/>
                <w:sz w:val="18"/>
                <w:szCs w:val="20"/>
                <w:lang w:val="en-US"/>
              </w:rPr>
              <w:t>(SECOND-LINE</w:t>
            </w:r>
            <w:r>
              <w:rPr>
                <w:rFonts w:ascii="Arial" w:hAnsi="Arial" w:cs="Arial"/>
                <w:b/>
                <w:bCs/>
                <w:noProof/>
                <w:sz w:val="18"/>
                <w:szCs w:val="20"/>
                <w:vertAlign w:val="superscript"/>
                <w:lang w:val="en-US"/>
              </w:rPr>
              <w:t>17</w:t>
            </w:r>
            <w:r w:rsidRPr="003F3B0A">
              <w:rPr>
                <w:rFonts w:ascii="Arial" w:hAnsi="Arial" w:cs="Arial"/>
                <w:b/>
                <w:bCs/>
                <w:sz w:val="18"/>
                <w:szCs w:val="20"/>
                <w:lang w:val="en-US"/>
              </w:rPr>
              <w:t>)</w:t>
            </w:r>
          </w:p>
        </w:tc>
        <w:tc>
          <w:tcPr>
            <w:tcW w:w="1865" w:type="dxa"/>
          </w:tcPr>
          <w:p w14:paraId="4C69011B"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-CV &gt;500 cop/mL</w:t>
            </w:r>
          </w:p>
          <w:p w14:paraId="735C584D"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-1</w:t>
            </w:r>
            <w:r w:rsidRPr="003F3B0A">
              <w:rPr>
                <w:rFonts w:ascii="Arial" w:hAnsi="Arial" w:cs="Arial"/>
                <w:sz w:val="18"/>
                <w:szCs w:val="20"/>
                <w:vertAlign w:val="superscript"/>
                <w:lang w:val="en-US"/>
              </w:rPr>
              <w:t>er</w:t>
            </w:r>
            <w:r w:rsidRPr="003F3B0A">
              <w:rPr>
                <w:rFonts w:ascii="Arial" w:hAnsi="Arial" w:cs="Arial"/>
                <w:sz w:val="18"/>
                <w:szCs w:val="20"/>
                <w:lang w:val="en-US"/>
              </w:rPr>
              <w:t xml:space="preserve"> TAR≥ 24 sem.</w:t>
            </w:r>
          </w:p>
          <w:p w14:paraId="38B4669A"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w:t>
            </w:r>
            <w:r w:rsidRPr="003F3B0A">
              <w:rPr>
                <w:rFonts w:ascii="Arial" w:hAnsi="Arial" w:cs="Arial"/>
                <w:i/>
                <w:sz w:val="18"/>
                <w:szCs w:val="20"/>
                <w:lang w:val="en-US"/>
              </w:rPr>
              <w:t>Naive</w:t>
            </w:r>
            <w:r w:rsidRPr="003F3B0A">
              <w:rPr>
                <w:rFonts w:ascii="Arial" w:hAnsi="Arial" w:cs="Arial"/>
                <w:sz w:val="18"/>
                <w:szCs w:val="20"/>
                <w:lang w:val="en-US"/>
              </w:rPr>
              <w:t xml:space="preserve"> a LPV/r</w:t>
            </w:r>
          </w:p>
          <w:p w14:paraId="7BD0F9AF"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w:t>
            </w:r>
            <w:r w:rsidRPr="003F3B0A">
              <w:rPr>
                <w:rFonts w:ascii="Arial" w:hAnsi="Arial" w:cs="Arial"/>
                <w:i/>
                <w:sz w:val="18"/>
                <w:szCs w:val="20"/>
                <w:lang w:val="en-US"/>
              </w:rPr>
              <w:t>Naive a RAL</w:t>
            </w:r>
          </w:p>
        </w:tc>
        <w:tc>
          <w:tcPr>
            <w:tcW w:w="1559" w:type="dxa"/>
          </w:tcPr>
          <w:p w14:paraId="1B07A351" w14:textId="77777777" w:rsidR="00C83180" w:rsidRPr="003F3B0A" w:rsidRDefault="00C83180" w:rsidP="00A53EA0">
            <w:pPr>
              <w:rPr>
                <w:rFonts w:ascii="Arial" w:hAnsi="Arial" w:cs="Arial"/>
                <w:sz w:val="18"/>
                <w:szCs w:val="20"/>
              </w:rPr>
            </w:pPr>
            <w:r w:rsidRPr="003F3B0A">
              <w:rPr>
                <w:rFonts w:ascii="Arial" w:hAnsi="Arial" w:cs="Arial"/>
                <w:sz w:val="18"/>
                <w:szCs w:val="20"/>
              </w:rPr>
              <w:t>Fase IIIb/4</w:t>
            </w:r>
          </w:p>
          <w:p w14:paraId="0F110DE8" w14:textId="77777777" w:rsidR="00C83180" w:rsidRPr="003F3B0A" w:rsidRDefault="00C83180" w:rsidP="00A53EA0">
            <w:pPr>
              <w:rPr>
                <w:rFonts w:ascii="Arial" w:hAnsi="Arial" w:cs="Arial"/>
                <w:sz w:val="18"/>
                <w:szCs w:val="20"/>
              </w:rPr>
            </w:pPr>
            <w:r w:rsidRPr="003F3B0A">
              <w:rPr>
                <w:rFonts w:ascii="Arial" w:hAnsi="Arial" w:cs="Arial"/>
                <w:sz w:val="18"/>
                <w:szCs w:val="20"/>
              </w:rPr>
              <w:t>Aleatorizado</w:t>
            </w:r>
          </w:p>
          <w:p w14:paraId="1C4F2898" w14:textId="77777777" w:rsidR="00C83180" w:rsidRPr="003F3B0A" w:rsidRDefault="00C83180" w:rsidP="00A53EA0">
            <w:pPr>
              <w:rPr>
                <w:rFonts w:ascii="Arial" w:hAnsi="Arial" w:cs="Arial"/>
                <w:sz w:val="18"/>
                <w:szCs w:val="20"/>
              </w:rPr>
            </w:pPr>
            <w:r w:rsidRPr="003F3B0A">
              <w:rPr>
                <w:rFonts w:ascii="Arial" w:hAnsi="Arial" w:cs="Arial"/>
                <w:sz w:val="18"/>
                <w:szCs w:val="20"/>
              </w:rPr>
              <w:t>Abierto</w:t>
            </w:r>
          </w:p>
          <w:p w14:paraId="23D5023F"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No inferioridad </w:t>
            </w:r>
          </w:p>
          <w:p w14:paraId="3DC3F91D" w14:textId="77777777" w:rsidR="00C83180" w:rsidRPr="003F3B0A" w:rsidRDefault="00C83180" w:rsidP="00A53EA0">
            <w:pPr>
              <w:rPr>
                <w:rFonts w:ascii="Arial" w:hAnsi="Arial" w:cs="Arial"/>
                <w:sz w:val="18"/>
                <w:szCs w:val="20"/>
              </w:rPr>
            </w:pPr>
            <w:r w:rsidRPr="003F3B0A">
              <w:rPr>
                <w:rFonts w:ascii="Arial" w:hAnsi="Arial" w:cs="Arial"/>
                <w:sz w:val="18"/>
                <w:szCs w:val="20"/>
              </w:rPr>
              <w:t>(Δ: -12%) en ITT</w:t>
            </w:r>
          </w:p>
        </w:tc>
        <w:tc>
          <w:tcPr>
            <w:tcW w:w="1837" w:type="dxa"/>
          </w:tcPr>
          <w:p w14:paraId="2238994A"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LPV/r + RAL </w:t>
            </w:r>
          </w:p>
          <w:p w14:paraId="705D77DC"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LPV/r + 2/ITIAN</w:t>
            </w:r>
          </w:p>
          <w:p w14:paraId="4CCC13CE" w14:textId="77777777" w:rsidR="00C83180" w:rsidRPr="003F3B0A" w:rsidRDefault="00C83180" w:rsidP="00A53EA0">
            <w:pPr>
              <w:rPr>
                <w:rFonts w:ascii="Arial" w:hAnsi="Arial" w:cs="Arial"/>
                <w:sz w:val="18"/>
                <w:szCs w:val="20"/>
                <w:lang w:val="en-US"/>
              </w:rPr>
            </w:pPr>
          </w:p>
        </w:tc>
        <w:tc>
          <w:tcPr>
            <w:tcW w:w="567" w:type="dxa"/>
          </w:tcPr>
          <w:p w14:paraId="4C209A6E" w14:textId="77777777" w:rsidR="00C83180" w:rsidRPr="003F3B0A" w:rsidRDefault="00C83180" w:rsidP="00A53EA0">
            <w:pPr>
              <w:rPr>
                <w:rFonts w:ascii="Arial" w:hAnsi="Arial" w:cs="Arial"/>
                <w:sz w:val="18"/>
                <w:szCs w:val="20"/>
              </w:rPr>
            </w:pPr>
            <w:r w:rsidRPr="003F3B0A">
              <w:rPr>
                <w:rFonts w:ascii="Arial" w:hAnsi="Arial" w:cs="Arial"/>
                <w:sz w:val="18"/>
                <w:szCs w:val="20"/>
              </w:rPr>
              <w:t>271</w:t>
            </w:r>
          </w:p>
          <w:p w14:paraId="19D14A93" w14:textId="77777777" w:rsidR="00C83180" w:rsidRPr="003F3B0A" w:rsidRDefault="00C83180" w:rsidP="00A53EA0">
            <w:pPr>
              <w:rPr>
                <w:rFonts w:ascii="Arial" w:hAnsi="Arial" w:cs="Arial"/>
                <w:sz w:val="18"/>
                <w:szCs w:val="20"/>
              </w:rPr>
            </w:pPr>
            <w:r w:rsidRPr="003F3B0A">
              <w:rPr>
                <w:rFonts w:ascii="Arial" w:hAnsi="Arial" w:cs="Arial"/>
                <w:sz w:val="18"/>
                <w:szCs w:val="20"/>
              </w:rPr>
              <w:t>270</w:t>
            </w:r>
          </w:p>
        </w:tc>
        <w:tc>
          <w:tcPr>
            <w:tcW w:w="2600" w:type="dxa"/>
          </w:tcPr>
          <w:p w14:paraId="0D26B05D"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- 83%: &lt;200 cop/mL 48 sem</w:t>
            </w:r>
          </w:p>
          <w:p w14:paraId="204893CA"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- 81%: &lt;200 cop 48/mL sem</w:t>
            </w:r>
          </w:p>
          <w:p w14:paraId="1B5A621C" w14:textId="77777777" w:rsidR="00C83180" w:rsidRPr="003F3B0A" w:rsidRDefault="00C83180" w:rsidP="00A53EA0">
            <w:pPr>
              <w:rPr>
                <w:rFonts w:ascii="Arial" w:hAnsi="Arial" w:cs="Arial"/>
                <w:sz w:val="18"/>
                <w:szCs w:val="20"/>
              </w:rPr>
            </w:pPr>
            <w:r w:rsidRPr="003F3B0A">
              <w:rPr>
                <w:rFonts w:ascii="Arial" w:hAnsi="Arial" w:cs="Arial"/>
                <w:sz w:val="18"/>
                <w:szCs w:val="20"/>
              </w:rPr>
              <w:t>Δ: 1,8% (IC95%: -4,7 a 8,3)</w:t>
            </w:r>
          </w:p>
        </w:tc>
        <w:tc>
          <w:tcPr>
            <w:tcW w:w="2502" w:type="dxa"/>
          </w:tcPr>
          <w:p w14:paraId="757288B6" w14:textId="77777777" w:rsidR="00C83180" w:rsidRPr="003F3B0A" w:rsidRDefault="00C83180" w:rsidP="00A53EA0">
            <w:pPr>
              <w:rPr>
                <w:rFonts w:ascii="Arial" w:hAnsi="Arial" w:cs="Arial"/>
                <w:sz w:val="18"/>
                <w:szCs w:val="20"/>
              </w:rPr>
            </w:pPr>
            <w:r w:rsidRPr="003F3B0A">
              <w:rPr>
                <w:rFonts w:ascii="Arial" w:hAnsi="Arial" w:cs="Arial"/>
                <w:sz w:val="18"/>
                <w:szCs w:val="20"/>
              </w:rPr>
              <w:t>- LPV/r + RAL es no inferior al estándar de TAR (LPV/r + 2 ITIAN)</w:t>
            </w:r>
          </w:p>
        </w:tc>
        <w:tc>
          <w:tcPr>
            <w:tcW w:w="2632" w:type="dxa"/>
          </w:tcPr>
          <w:p w14:paraId="45F3A554" w14:textId="77777777" w:rsidR="00C83180" w:rsidRPr="003F3B0A" w:rsidRDefault="00C83180" w:rsidP="00A53EA0">
            <w:pPr>
              <w:rPr>
                <w:rFonts w:ascii="Arial" w:hAnsi="Arial" w:cs="Arial"/>
                <w:sz w:val="18"/>
                <w:szCs w:val="20"/>
              </w:rPr>
            </w:pPr>
            <w:r w:rsidRPr="003F3B0A">
              <w:rPr>
                <w:rFonts w:ascii="Arial" w:hAnsi="Arial" w:cs="Arial"/>
                <w:sz w:val="18"/>
                <w:szCs w:val="20"/>
              </w:rPr>
              <w:t>- LPV/r + RAL es una terapia bien tolerada y segura</w:t>
            </w:r>
          </w:p>
          <w:p w14:paraId="2F1A610E" w14:textId="77777777" w:rsidR="00C83180" w:rsidRPr="003F3B0A" w:rsidRDefault="00C83180" w:rsidP="00A53EA0">
            <w:pPr>
              <w:rPr>
                <w:rFonts w:ascii="Arial" w:hAnsi="Arial" w:cs="Arial"/>
                <w:sz w:val="18"/>
                <w:szCs w:val="20"/>
              </w:rPr>
            </w:pPr>
            <w:r w:rsidRPr="003F3B0A">
              <w:rPr>
                <w:rFonts w:ascii="Arial" w:hAnsi="Arial" w:cs="Arial"/>
                <w:sz w:val="18"/>
                <w:szCs w:val="20"/>
              </w:rPr>
              <w:t>- Permite ahorrar ITIAN</w:t>
            </w:r>
          </w:p>
          <w:p w14:paraId="220A3240" w14:textId="77777777" w:rsidR="00C83180" w:rsidRPr="003F3B0A" w:rsidRDefault="00C83180" w:rsidP="00A53EA0">
            <w:pPr>
              <w:rPr>
                <w:rFonts w:ascii="Arial" w:hAnsi="Arial" w:cs="Arial"/>
                <w:sz w:val="18"/>
                <w:szCs w:val="20"/>
              </w:rPr>
            </w:pPr>
            <w:r w:rsidRPr="003F3B0A">
              <w:rPr>
                <w:rFonts w:ascii="Arial" w:hAnsi="Arial" w:cs="Arial"/>
                <w:sz w:val="18"/>
                <w:szCs w:val="20"/>
              </w:rPr>
              <w:t>- No precisa realizar genotipado</w:t>
            </w:r>
          </w:p>
        </w:tc>
      </w:tr>
      <w:tr w:rsidR="00C83180" w:rsidRPr="003F3B0A" w14:paraId="769D6D96" w14:textId="77777777" w:rsidTr="00A53EA0">
        <w:trPr>
          <w:tblHeader/>
        </w:trPr>
        <w:tc>
          <w:tcPr>
            <w:tcW w:w="1368" w:type="dxa"/>
          </w:tcPr>
          <w:p w14:paraId="528FF991" w14:textId="77777777" w:rsidR="00C83180" w:rsidRPr="003F3B0A" w:rsidRDefault="00C83180" w:rsidP="00A53EA0">
            <w:pPr>
              <w:jc w:val="both"/>
              <w:rPr>
                <w:rFonts w:ascii="Arial" w:hAnsi="Arial" w:cs="Arial"/>
                <w:b/>
                <w:bCs/>
                <w:sz w:val="18"/>
                <w:szCs w:val="20"/>
                <w:lang w:val="en-US"/>
              </w:rPr>
            </w:pPr>
            <w:r w:rsidRPr="003F3B0A">
              <w:rPr>
                <w:rFonts w:ascii="Arial" w:hAnsi="Arial" w:cs="Arial"/>
                <w:b/>
                <w:bCs/>
                <w:sz w:val="18"/>
                <w:szCs w:val="20"/>
                <w:lang w:val="en-US"/>
              </w:rPr>
              <w:t>LPV/r+RAL</w:t>
            </w:r>
          </w:p>
          <w:p w14:paraId="78660983" w14:textId="77777777" w:rsidR="00C83180" w:rsidRPr="003F3B0A" w:rsidRDefault="00C83180" w:rsidP="00A53EA0">
            <w:pPr>
              <w:jc w:val="both"/>
              <w:rPr>
                <w:rFonts w:ascii="Arial" w:hAnsi="Arial" w:cs="Arial"/>
                <w:b/>
                <w:bCs/>
                <w:sz w:val="18"/>
                <w:szCs w:val="18"/>
                <w:lang w:val="en-US"/>
              </w:rPr>
            </w:pPr>
            <w:r w:rsidRPr="003F3B0A">
              <w:rPr>
                <w:rFonts w:ascii="Arial" w:hAnsi="Arial" w:cs="Arial"/>
                <w:b/>
                <w:bCs/>
                <w:sz w:val="18"/>
                <w:szCs w:val="20"/>
                <w:lang w:val="en-US"/>
              </w:rPr>
              <w:t>(EARNEST</w:t>
            </w:r>
            <w:r>
              <w:rPr>
                <w:rFonts w:ascii="Arial" w:hAnsi="Arial" w:cs="Arial"/>
                <w:b/>
                <w:bCs/>
                <w:noProof/>
                <w:sz w:val="18"/>
                <w:szCs w:val="20"/>
                <w:vertAlign w:val="superscript"/>
                <w:lang w:val="en-US"/>
              </w:rPr>
              <w:t>18</w:t>
            </w:r>
            <w:r w:rsidRPr="003F3B0A">
              <w:rPr>
                <w:rFonts w:ascii="Arial" w:hAnsi="Arial" w:cs="Arial"/>
                <w:b/>
                <w:bCs/>
                <w:sz w:val="18"/>
                <w:szCs w:val="20"/>
                <w:lang w:val="en-US"/>
              </w:rPr>
              <w:t>)</w:t>
            </w:r>
          </w:p>
        </w:tc>
        <w:tc>
          <w:tcPr>
            <w:tcW w:w="1865" w:type="dxa"/>
          </w:tcPr>
          <w:p w14:paraId="7D87DE9F" w14:textId="77777777" w:rsidR="00C83180" w:rsidRPr="003F3B0A" w:rsidRDefault="00C83180" w:rsidP="00A53EA0">
            <w:pPr>
              <w:rPr>
                <w:rFonts w:ascii="Arial" w:hAnsi="Arial" w:cs="Arial"/>
                <w:sz w:val="18"/>
                <w:szCs w:val="20"/>
                <w:lang w:val="en-US"/>
              </w:rPr>
            </w:pPr>
            <w:r w:rsidRPr="003F3B0A">
              <w:rPr>
                <w:rFonts w:ascii="Arial" w:hAnsi="Arial" w:cs="Arial"/>
                <w:sz w:val="18"/>
                <w:szCs w:val="18"/>
                <w:lang w:val="en-US"/>
              </w:rPr>
              <w:t xml:space="preserve">- </w:t>
            </w:r>
            <w:r w:rsidRPr="003F3B0A">
              <w:rPr>
                <w:rFonts w:ascii="Arial" w:hAnsi="Arial" w:cs="Arial"/>
                <w:sz w:val="18"/>
                <w:szCs w:val="20"/>
                <w:lang w:val="en-US"/>
              </w:rPr>
              <w:t>CV &gt;400 cop/mL</w:t>
            </w:r>
          </w:p>
          <w:p w14:paraId="607479AA"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-1</w:t>
            </w:r>
            <w:r w:rsidRPr="003F3B0A">
              <w:rPr>
                <w:rFonts w:ascii="Arial" w:hAnsi="Arial" w:cs="Arial"/>
                <w:sz w:val="18"/>
                <w:szCs w:val="20"/>
                <w:vertAlign w:val="superscript"/>
                <w:lang w:val="en-US"/>
              </w:rPr>
              <w:t>er</w:t>
            </w:r>
            <w:r w:rsidRPr="003F3B0A">
              <w:rPr>
                <w:rFonts w:ascii="Arial" w:hAnsi="Arial" w:cs="Arial"/>
                <w:sz w:val="18"/>
                <w:szCs w:val="20"/>
                <w:lang w:val="en-US"/>
              </w:rPr>
              <w:t xml:space="preserve"> TAR 2 ITIAN+1 ITINN≥ 48 sem.</w:t>
            </w:r>
          </w:p>
          <w:p w14:paraId="6F6C4AFE" w14:textId="77777777" w:rsidR="00C83180" w:rsidRPr="003F3B0A" w:rsidRDefault="00C83180" w:rsidP="00A53EA0">
            <w:pPr>
              <w:rPr>
                <w:rFonts w:ascii="Arial" w:hAnsi="Arial" w:cs="Arial"/>
                <w:sz w:val="18"/>
                <w:szCs w:val="18"/>
                <w:lang w:val="en-US"/>
              </w:rPr>
            </w:pPr>
            <w:r w:rsidRPr="003F3B0A">
              <w:rPr>
                <w:rFonts w:ascii="Arial" w:hAnsi="Arial" w:cs="Arial"/>
                <w:sz w:val="18"/>
                <w:szCs w:val="20"/>
              </w:rPr>
              <w:t>-</w:t>
            </w:r>
            <w:r w:rsidRPr="003F3B0A">
              <w:rPr>
                <w:rFonts w:ascii="Arial" w:hAnsi="Arial" w:cs="Arial"/>
                <w:i/>
                <w:sz w:val="18"/>
                <w:szCs w:val="20"/>
              </w:rPr>
              <w:t>Naive</w:t>
            </w:r>
            <w:r w:rsidRPr="003F3B0A">
              <w:rPr>
                <w:rFonts w:ascii="Arial" w:hAnsi="Arial" w:cs="Arial"/>
                <w:sz w:val="18"/>
                <w:szCs w:val="20"/>
              </w:rPr>
              <w:t xml:space="preserve"> a IP</w:t>
            </w:r>
          </w:p>
        </w:tc>
        <w:tc>
          <w:tcPr>
            <w:tcW w:w="1559" w:type="dxa"/>
          </w:tcPr>
          <w:p w14:paraId="2885E31E" w14:textId="77777777" w:rsidR="00C83180" w:rsidRPr="003F3B0A" w:rsidRDefault="00C83180" w:rsidP="00A53EA0">
            <w:pPr>
              <w:rPr>
                <w:rFonts w:ascii="Arial" w:hAnsi="Arial" w:cs="Arial"/>
                <w:sz w:val="18"/>
                <w:szCs w:val="20"/>
              </w:rPr>
            </w:pPr>
            <w:r w:rsidRPr="003F3B0A">
              <w:rPr>
                <w:rFonts w:ascii="Arial" w:hAnsi="Arial" w:cs="Arial"/>
                <w:sz w:val="18"/>
                <w:szCs w:val="20"/>
              </w:rPr>
              <w:t>Fase IIIb/4</w:t>
            </w:r>
          </w:p>
          <w:p w14:paraId="3366BEA8" w14:textId="77777777" w:rsidR="00C83180" w:rsidRPr="003F3B0A" w:rsidRDefault="00C83180" w:rsidP="00A53EA0">
            <w:pPr>
              <w:rPr>
                <w:rFonts w:ascii="Arial" w:hAnsi="Arial" w:cs="Arial"/>
                <w:sz w:val="18"/>
                <w:szCs w:val="20"/>
              </w:rPr>
            </w:pPr>
            <w:r w:rsidRPr="003F3B0A">
              <w:rPr>
                <w:rFonts w:ascii="Arial" w:hAnsi="Arial" w:cs="Arial"/>
                <w:sz w:val="18"/>
                <w:szCs w:val="20"/>
              </w:rPr>
              <w:t>Aleatorizado</w:t>
            </w:r>
          </w:p>
          <w:p w14:paraId="07ACF4D2" w14:textId="77777777" w:rsidR="00C83180" w:rsidRPr="003F3B0A" w:rsidRDefault="00C83180" w:rsidP="00A53EA0">
            <w:pPr>
              <w:rPr>
                <w:rFonts w:ascii="Arial" w:hAnsi="Arial" w:cs="Arial"/>
                <w:sz w:val="18"/>
                <w:szCs w:val="20"/>
              </w:rPr>
            </w:pPr>
            <w:r w:rsidRPr="003F3B0A">
              <w:rPr>
                <w:rFonts w:ascii="Arial" w:hAnsi="Arial" w:cs="Arial"/>
                <w:sz w:val="18"/>
                <w:szCs w:val="20"/>
              </w:rPr>
              <w:t>Abierto</w:t>
            </w:r>
          </w:p>
          <w:p w14:paraId="1138E233" w14:textId="77777777" w:rsidR="00C83180" w:rsidRPr="003F3B0A" w:rsidRDefault="00C83180" w:rsidP="00A53EA0">
            <w:pPr>
              <w:rPr>
                <w:rFonts w:ascii="Arial" w:hAnsi="Arial" w:cs="Arial"/>
                <w:sz w:val="18"/>
                <w:szCs w:val="18"/>
              </w:rPr>
            </w:pPr>
            <w:r w:rsidRPr="003F3B0A">
              <w:rPr>
                <w:rFonts w:ascii="Arial" w:hAnsi="Arial" w:cs="Arial"/>
                <w:sz w:val="18"/>
                <w:szCs w:val="20"/>
              </w:rPr>
              <w:t>No inferioridad</w:t>
            </w:r>
          </w:p>
        </w:tc>
        <w:tc>
          <w:tcPr>
            <w:tcW w:w="1837" w:type="dxa"/>
          </w:tcPr>
          <w:p w14:paraId="4E4A840F" w14:textId="77777777" w:rsidR="00C83180" w:rsidRPr="003F3B0A" w:rsidRDefault="00C83180" w:rsidP="00A53EA0">
            <w:pPr>
              <w:rPr>
                <w:rFonts w:ascii="Arial" w:hAnsi="Arial" w:cs="Arial"/>
                <w:sz w:val="18"/>
                <w:szCs w:val="20"/>
              </w:rPr>
            </w:pPr>
          </w:p>
          <w:p w14:paraId="1BB922DF" w14:textId="77777777" w:rsidR="00C83180" w:rsidRPr="003F3B0A" w:rsidRDefault="00C83180" w:rsidP="00A53EA0">
            <w:pPr>
              <w:rPr>
                <w:rFonts w:ascii="Arial" w:hAnsi="Arial" w:cs="Arial"/>
                <w:sz w:val="18"/>
                <w:szCs w:val="20"/>
              </w:rPr>
            </w:pPr>
          </w:p>
          <w:p w14:paraId="287B7C50" w14:textId="77777777" w:rsidR="00C83180" w:rsidRPr="003F3B0A" w:rsidRDefault="00C83180" w:rsidP="00A53EA0">
            <w:pPr>
              <w:rPr>
                <w:rFonts w:ascii="Arial" w:hAnsi="Arial" w:cs="Arial"/>
                <w:sz w:val="18"/>
                <w:szCs w:val="20"/>
              </w:rPr>
            </w:pPr>
          </w:p>
          <w:p w14:paraId="245CBE7D"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LPV/r + RAL </w:t>
            </w:r>
          </w:p>
          <w:p w14:paraId="15048872"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LPV/r + 2/ITIAN</w:t>
            </w:r>
          </w:p>
          <w:p w14:paraId="69F33861" w14:textId="77777777" w:rsidR="00C83180" w:rsidRPr="003F3B0A" w:rsidRDefault="00C83180" w:rsidP="00A53EA0">
            <w:pPr>
              <w:rPr>
                <w:rFonts w:ascii="Arial" w:hAnsi="Arial" w:cs="Arial"/>
                <w:sz w:val="18"/>
                <w:szCs w:val="20"/>
              </w:rPr>
            </w:pPr>
            <w:r w:rsidRPr="003F3B0A">
              <w:rPr>
                <w:rFonts w:ascii="Arial" w:hAnsi="Arial" w:cs="Arial"/>
                <w:sz w:val="18"/>
                <w:szCs w:val="20"/>
              </w:rPr>
              <w:t>- LPV/r monoterapia  después de 12 semanas de inducción con RAL</w:t>
            </w:r>
          </w:p>
          <w:p w14:paraId="32C6DF92" w14:textId="77777777" w:rsidR="00C83180" w:rsidRPr="003F3B0A" w:rsidRDefault="00C83180" w:rsidP="00A53EA0">
            <w:pPr>
              <w:rPr>
                <w:rFonts w:ascii="Arial" w:hAnsi="Arial" w:cs="Arial"/>
                <w:sz w:val="18"/>
                <w:szCs w:val="18"/>
              </w:rPr>
            </w:pPr>
          </w:p>
        </w:tc>
        <w:tc>
          <w:tcPr>
            <w:tcW w:w="567" w:type="dxa"/>
          </w:tcPr>
          <w:p w14:paraId="127BA0F5" w14:textId="77777777" w:rsidR="00C83180" w:rsidRPr="003F3B0A" w:rsidRDefault="00C83180" w:rsidP="00A53EA0">
            <w:pPr>
              <w:rPr>
                <w:rFonts w:ascii="Arial" w:hAnsi="Arial" w:cs="Arial"/>
                <w:sz w:val="18"/>
                <w:szCs w:val="18"/>
              </w:rPr>
            </w:pPr>
          </w:p>
          <w:p w14:paraId="2BDAA455" w14:textId="77777777" w:rsidR="00C83180" w:rsidRPr="003F3B0A" w:rsidRDefault="00C83180" w:rsidP="00A53EA0">
            <w:pPr>
              <w:rPr>
                <w:rFonts w:ascii="Arial" w:hAnsi="Arial" w:cs="Arial"/>
                <w:sz w:val="18"/>
                <w:szCs w:val="18"/>
              </w:rPr>
            </w:pPr>
          </w:p>
          <w:p w14:paraId="7DDF15BC" w14:textId="77777777" w:rsidR="00C83180" w:rsidRPr="003F3B0A" w:rsidRDefault="00C83180" w:rsidP="00A53EA0">
            <w:pPr>
              <w:rPr>
                <w:rFonts w:ascii="Arial" w:hAnsi="Arial" w:cs="Arial"/>
                <w:sz w:val="18"/>
                <w:szCs w:val="18"/>
              </w:rPr>
            </w:pPr>
          </w:p>
          <w:p w14:paraId="7251CAB9"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433</w:t>
            </w:r>
          </w:p>
          <w:p w14:paraId="46DB1E1B"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426</w:t>
            </w:r>
          </w:p>
          <w:p w14:paraId="5F1ED83C"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418</w:t>
            </w:r>
          </w:p>
        </w:tc>
        <w:tc>
          <w:tcPr>
            <w:tcW w:w="2600" w:type="dxa"/>
          </w:tcPr>
          <w:p w14:paraId="3D5A5B40" w14:textId="77777777" w:rsidR="00C83180" w:rsidRPr="003F3B0A" w:rsidRDefault="00C83180" w:rsidP="00A53EA0">
            <w:pPr>
              <w:rPr>
                <w:rFonts w:ascii="Arial" w:hAnsi="Arial" w:cs="Arial"/>
                <w:sz w:val="18"/>
                <w:szCs w:val="18"/>
              </w:rPr>
            </w:pPr>
            <w:r w:rsidRPr="003F3B0A">
              <w:rPr>
                <w:rFonts w:ascii="Arial" w:hAnsi="Arial" w:cs="Arial"/>
                <w:i/>
                <w:sz w:val="18"/>
                <w:szCs w:val="18"/>
              </w:rPr>
              <w:t>Endpoint</w:t>
            </w:r>
            <w:r w:rsidRPr="003F3B0A">
              <w:rPr>
                <w:rFonts w:ascii="Arial" w:hAnsi="Arial" w:cs="Arial"/>
                <w:sz w:val="18"/>
                <w:szCs w:val="18"/>
              </w:rPr>
              <w:t xml:space="preserve"> principal: “Buen control de la enfermedad VIH” a las 96 semanas:</w:t>
            </w:r>
          </w:p>
          <w:p w14:paraId="4E6B7DD7" w14:textId="77777777" w:rsidR="00C83180" w:rsidRPr="003F3B0A" w:rsidRDefault="00C83180" w:rsidP="00A53EA0">
            <w:pPr>
              <w:rPr>
                <w:rFonts w:ascii="Arial" w:hAnsi="Arial" w:cs="Arial"/>
                <w:sz w:val="18"/>
                <w:szCs w:val="18"/>
              </w:rPr>
            </w:pPr>
            <w:r w:rsidRPr="003F3B0A">
              <w:rPr>
                <w:rFonts w:ascii="Arial" w:hAnsi="Arial" w:cs="Arial"/>
                <w:sz w:val="18"/>
                <w:szCs w:val="18"/>
              </w:rPr>
              <w:t>64%</w:t>
            </w:r>
          </w:p>
          <w:p w14:paraId="0CC787E9" w14:textId="77777777" w:rsidR="00C83180" w:rsidRPr="003F3B0A" w:rsidRDefault="00C83180" w:rsidP="00A53EA0">
            <w:pPr>
              <w:rPr>
                <w:rFonts w:ascii="Arial" w:hAnsi="Arial" w:cs="Arial"/>
                <w:sz w:val="18"/>
                <w:szCs w:val="18"/>
              </w:rPr>
            </w:pPr>
            <w:r w:rsidRPr="003F3B0A">
              <w:rPr>
                <w:rFonts w:ascii="Arial" w:hAnsi="Arial" w:cs="Arial"/>
                <w:sz w:val="18"/>
                <w:szCs w:val="18"/>
              </w:rPr>
              <w:t>60%</w:t>
            </w:r>
          </w:p>
          <w:p w14:paraId="5DB5B136" w14:textId="77777777" w:rsidR="00C83180" w:rsidRPr="003F3B0A" w:rsidRDefault="00C83180" w:rsidP="00A53EA0">
            <w:pPr>
              <w:rPr>
                <w:rFonts w:ascii="Arial" w:hAnsi="Arial" w:cs="Arial"/>
                <w:sz w:val="18"/>
                <w:szCs w:val="18"/>
              </w:rPr>
            </w:pPr>
            <w:r w:rsidRPr="003F3B0A">
              <w:rPr>
                <w:rFonts w:ascii="Arial" w:hAnsi="Arial" w:cs="Arial"/>
                <w:sz w:val="18"/>
                <w:szCs w:val="18"/>
              </w:rPr>
              <w:t>55%</w:t>
            </w:r>
          </w:p>
          <w:p w14:paraId="1E5C4DF8" w14:textId="77777777" w:rsidR="00C83180" w:rsidRPr="003F3B0A" w:rsidRDefault="00C83180" w:rsidP="00A53EA0">
            <w:pPr>
              <w:rPr>
                <w:rFonts w:ascii="Arial" w:hAnsi="Arial" w:cs="Arial"/>
                <w:sz w:val="18"/>
                <w:szCs w:val="18"/>
              </w:rPr>
            </w:pPr>
          </w:p>
          <w:p w14:paraId="5627E567" w14:textId="77777777" w:rsidR="00C83180" w:rsidRPr="003F3B0A" w:rsidRDefault="00C83180" w:rsidP="00A53EA0">
            <w:pPr>
              <w:rPr>
                <w:rFonts w:ascii="Arial" w:hAnsi="Arial" w:cs="Arial"/>
                <w:sz w:val="18"/>
                <w:szCs w:val="18"/>
              </w:rPr>
            </w:pPr>
            <w:r w:rsidRPr="003F3B0A">
              <w:rPr>
                <w:rFonts w:ascii="Arial" w:hAnsi="Arial" w:cs="Arial"/>
                <w:sz w:val="18"/>
                <w:szCs w:val="18"/>
              </w:rPr>
              <w:t>CV &lt; 50 copias/ml:</w:t>
            </w:r>
          </w:p>
          <w:p w14:paraId="5398971A" w14:textId="77777777" w:rsidR="00C83180" w:rsidRPr="003F3B0A" w:rsidRDefault="00C83180" w:rsidP="00A53EA0">
            <w:pPr>
              <w:rPr>
                <w:rFonts w:ascii="Arial" w:hAnsi="Arial" w:cs="Arial"/>
                <w:sz w:val="18"/>
                <w:szCs w:val="18"/>
              </w:rPr>
            </w:pPr>
            <w:r w:rsidRPr="003F3B0A">
              <w:rPr>
                <w:rFonts w:ascii="Arial" w:hAnsi="Arial" w:cs="Arial"/>
                <w:sz w:val="18"/>
                <w:szCs w:val="18"/>
              </w:rPr>
              <w:t>73%</w:t>
            </w:r>
          </w:p>
          <w:p w14:paraId="1FE9B5DC" w14:textId="77777777" w:rsidR="00C83180" w:rsidRPr="003F3B0A" w:rsidRDefault="00C83180" w:rsidP="00A53EA0">
            <w:pPr>
              <w:rPr>
                <w:rFonts w:ascii="Arial" w:hAnsi="Arial" w:cs="Arial"/>
                <w:sz w:val="18"/>
                <w:szCs w:val="18"/>
              </w:rPr>
            </w:pPr>
            <w:r w:rsidRPr="003F3B0A">
              <w:rPr>
                <w:rFonts w:ascii="Arial" w:hAnsi="Arial" w:cs="Arial"/>
                <w:sz w:val="18"/>
                <w:szCs w:val="18"/>
              </w:rPr>
              <w:t>74%</w:t>
            </w:r>
          </w:p>
          <w:p w14:paraId="63F28499" w14:textId="77777777" w:rsidR="00C83180" w:rsidRPr="003F3B0A" w:rsidRDefault="00C83180" w:rsidP="00A53EA0">
            <w:pPr>
              <w:rPr>
                <w:rFonts w:ascii="Arial" w:hAnsi="Arial" w:cs="Arial"/>
                <w:sz w:val="18"/>
                <w:szCs w:val="18"/>
              </w:rPr>
            </w:pPr>
            <w:r w:rsidRPr="003F3B0A">
              <w:rPr>
                <w:rFonts w:ascii="Arial" w:hAnsi="Arial" w:cs="Arial"/>
                <w:sz w:val="18"/>
                <w:szCs w:val="18"/>
              </w:rPr>
              <w:t>44%</w:t>
            </w:r>
          </w:p>
        </w:tc>
        <w:tc>
          <w:tcPr>
            <w:tcW w:w="2502" w:type="dxa"/>
          </w:tcPr>
          <w:p w14:paraId="69D5CCF4"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Raltegravir + LPV/r </w:t>
            </w:r>
          </w:p>
          <w:p w14:paraId="4A2491A5" w14:textId="77777777" w:rsidR="00C83180" w:rsidRPr="003F3B0A" w:rsidRDefault="00C83180" w:rsidP="00A53EA0">
            <w:pPr>
              <w:rPr>
                <w:rFonts w:ascii="Arial" w:hAnsi="Arial" w:cs="Arial"/>
                <w:sz w:val="18"/>
                <w:szCs w:val="18"/>
              </w:rPr>
            </w:pPr>
            <w:r w:rsidRPr="003F3B0A">
              <w:rPr>
                <w:rFonts w:ascii="Arial" w:hAnsi="Arial" w:cs="Arial"/>
                <w:sz w:val="18"/>
                <w:szCs w:val="18"/>
              </w:rPr>
              <w:t>fue no- inferior a LPV/r + ITIAN para todos los</w:t>
            </w:r>
            <w:r w:rsidRPr="003F3B0A">
              <w:rPr>
                <w:rFonts w:ascii="Arial" w:hAnsi="Arial" w:cs="Arial"/>
                <w:i/>
                <w:sz w:val="18"/>
                <w:szCs w:val="18"/>
              </w:rPr>
              <w:t>endpoints</w:t>
            </w:r>
            <w:r w:rsidRPr="003F3B0A">
              <w:rPr>
                <w:rFonts w:ascii="Arial" w:hAnsi="Arial" w:cs="Arial"/>
                <w:sz w:val="18"/>
                <w:szCs w:val="18"/>
              </w:rPr>
              <w:t>primarios y secundarios</w:t>
            </w:r>
          </w:p>
        </w:tc>
        <w:tc>
          <w:tcPr>
            <w:tcW w:w="2632" w:type="dxa"/>
          </w:tcPr>
          <w:p w14:paraId="77F43B15" w14:textId="77777777" w:rsidR="00C83180" w:rsidRPr="003F3B0A" w:rsidRDefault="00C83180" w:rsidP="00A53EA0">
            <w:pPr>
              <w:rPr>
                <w:rFonts w:ascii="Arial" w:hAnsi="Arial" w:cs="Arial"/>
                <w:color w:val="000000"/>
                <w:sz w:val="18"/>
                <w:szCs w:val="18"/>
              </w:rPr>
            </w:pPr>
            <w:r w:rsidRPr="003F3B0A">
              <w:rPr>
                <w:rFonts w:ascii="Arial" w:hAnsi="Arial" w:cs="Arial"/>
                <w:color w:val="000000"/>
                <w:sz w:val="18"/>
                <w:szCs w:val="18"/>
              </w:rPr>
              <w:t xml:space="preserve">-Cuando se administraron con LPV/r en el tratamiento de segunda línea, los ITIAN mantuvieron una actividad virológica sustancial sin evidencia de un aumento de la toxicidad, y no hubo ninguna ventaja al reemplazarlos conraltegravir. </w:t>
            </w:r>
          </w:p>
          <w:p w14:paraId="6F8B9427" w14:textId="77777777" w:rsidR="00C83180" w:rsidRPr="003F3B0A" w:rsidRDefault="00C83180" w:rsidP="00A53EA0">
            <w:pPr>
              <w:rPr>
                <w:rFonts w:ascii="Arial" w:hAnsi="Arial" w:cs="Arial"/>
                <w:color w:val="000000"/>
                <w:sz w:val="18"/>
                <w:szCs w:val="18"/>
              </w:rPr>
            </w:pPr>
          </w:p>
          <w:p w14:paraId="58BFA25D" w14:textId="77777777" w:rsidR="00C83180" w:rsidRPr="003F3B0A" w:rsidRDefault="00C83180" w:rsidP="00A53EA0">
            <w:pPr>
              <w:rPr>
                <w:rFonts w:ascii="Arial" w:hAnsi="Arial" w:cs="Arial"/>
                <w:color w:val="000000"/>
                <w:sz w:val="18"/>
                <w:szCs w:val="18"/>
              </w:rPr>
            </w:pPr>
            <w:r w:rsidRPr="003F3B0A">
              <w:rPr>
                <w:rFonts w:ascii="Arial" w:hAnsi="Arial" w:cs="Arial"/>
                <w:color w:val="000000"/>
                <w:sz w:val="18"/>
                <w:szCs w:val="18"/>
              </w:rPr>
              <w:t>-El control virológico fue inferior con la monoterapia con LPV/r.</w:t>
            </w:r>
          </w:p>
          <w:p w14:paraId="4AC4AFE9" w14:textId="77777777" w:rsidR="00C83180" w:rsidRPr="003F3B0A" w:rsidRDefault="00C83180" w:rsidP="00A53EA0">
            <w:pPr>
              <w:rPr>
                <w:rFonts w:ascii="Arial" w:hAnsi="Arial" w:cs="Arial"/>
                <w:sz w:val="18"/>
                <w:szCs w:val="18"/>
              </w:rPr>
            </w:pPr>
          </w:p>
        </w:tc>
      </w:tr>
      <w:tr w:rsidR="00C83180" w:rsidRPr="003F3B0A" w14:paraId="5F5196CF" w14:textId="77777777" w:rsidTr="00A53EA0">
        <w:trPr>
          <w:tblHeader/>
        </w:trPr>
        <w:tc>
          <w:tcPr>
            <w:tcW w:w="1368" w:type="dxa"/>
          </w:tcPr>
          <w:p w14:paraId="1081FB92" w14:textId="77777777" w:rsidR="00C83180" w:rsidRPr="003F3B0A" w:rsidRDefault="00C83180" w:rsidP="00A53EA0">
            <w:pPr>
              <w:jc w:val="both"/>
              <w:rPr>
                <w:rFonts w:ascii="Arial" w:hAnsi="Arial" w:cs="Arial"/>
                <w:b/>
                <w:bCs/>
                <w:sz w:val="18"/>
                <w:szCs w:val="18"/>
                <w:lang w:val="en-US"/>
              </w:rPr>
            </w:pPr>
            <w:r w:rsidRPr="003F3B0A">
              <w:rPr>
                <w:rFonts w:ascii="Arial" w:hAnsi="Arial" w:cs="Arial"/>
                <w:b/>
                <w:bCs/>
                <w:sz w:val="18"/>
                <w:szCs w:val="18"/>
                <w:lang w:val="en-US"/>
              </w:rPr>
              <w:lastRenderedPageBreak/>
              <w:t>LPV/r+RAL</w:t>
            </w:r>
          </w:p>
          <w:p w14:paraId="659CCF0D" w14:textId="77777777" w:rsidR="00C83180" w:rsidRPr="003F3B0A" w:rsidRDefault="00C83180" w:rsidP="00A53EA0">
            <w:pPr>
              <w:jc w:val="both"/>
              <w:rPr>
                <w:rFonts w:ascii="Arial" w:hAnsi="Arial" w:cs="Arial"/>
                <w:b/>
                <w:sz w:val="18"/>
                <w:szCs w:val="18"/>
                <w:lang w:val="en-US"/>
              </w:rPr>
            </w:pPr>
            <w:r w:rsidRPr="003F3B0A">
              <w:rPr>
                <w:rFonts w:ascii="Arial" w:hAnsi="Arial" w:cs="Arial"/>
                <w:b/>
                <w:bCs/>
                <w:sz w:val="18"/>
                <w:szCs w:val="18"/>
                <w:lang w:val="en-US"/>
              </w:rPr>
              <w:t>(</w:t>
            </w:r>
            <w:r w:rsidRPr="003F3B0A">
              <w:rPr>
                <w:rFonts w:ascii="Arial" w:hAnsi="Arial" w:cs="Arial"/>
                <w:b/>
                <w:sz w:val="18"/>
                <w:szCs w:val="18"/>
                <w:lang w:val="en-US"/>
              </w:rPr>
              <w:t>A5273</w:t>
            </w:r>
          </w:p>
          <w:p w14:paraId="4BC01CB5" w14:textId="77777777" w:rsidR="00C83180" w:rsidRPr="003F3B0A" w:rsidRDefault="00C83180" w:rsidP="00A53EA0">
            <w:pPr>
              <w:jc w:val="both"/>
              <w:rPr>
                <w:rFonts w:ascii="Arial" w:hAnsi="Arial" w:cs="Arial"/>
                <w:b/>
                <w:bCs/>
                <w:sz w:val="18"/>
                <w:szCs w:val="18"/>
                <w:lang w:val="en-US"/>
              </w:rPr>
            </w:pPr>
            <w:r w:rsidRPr="003F3B0A">
              <w:rPr>
                <w:rFonts w:ascii="Arial" w:hAnsi="Arial" w:cs="Arial"/>
                <w:b/>
                <w:sz w:val="18"/>
                <w:szCs w:val="18"/>
                <w:lang w:val="en-US"/>
              </w:rPr>
              <w:t>SELECT study</w:t>
            </w:r>
            <w:r>
              <w:rPr>
                <w:rFonts w:ascii="Arial" w:hAnsi="Arial" w:cs="Arial"/>
                <w:b/>
                <w:sz w:val="18"/>
                <w:szCs w:val="18"/>
                <w:vertAlign w:val="superscript"/>
                <w:lang w:val="en-US"/>
              </w:rPr>
              <w:t>19</w:t>
            </w:r>
            <w:r w:rsidRPr="003F3B0A">
              <w:rPr>
                <w:rFonts w:ascii="Arial" w:hAnsi="Arial" w:cs="Arial"/>
                <w:b/>
                <w:sz w:val="18"/>
                <w:szCs w:val="18"/>
                <w:lang w:val="en-US"/>
              </w:rPr>
              <w:t>)</w:t>
            </w:r>
          </w:p>
          <w:p w14:paraId="241A36AE" w14:textId="77777777" w:rsidR="00C83180" w:rsidRPr="003F3B0A" w:rsidRDefault="00C83180" w:rsidP="00A53EA0">
            <w:pPr>
              <w:jc w:val="both"/>
              <w:rPr>
                <w:rFonts w:ascii="Arial" w:hAnsi="Arial" w:cs="Arial"/>
                <w:b/>
                <w:bCs/>
                <w:sz w:val="18"/>
                <w:szCs w:val="18"/>
                <w:lang w:val="en-US"/>
              </w:rPr>
            </w:pPr>
          </w:p>
        </w:tc>
        <w:tc>
          <w:tcPr>
            <w:tcW w:w="1865" w:type="dxa"/>
          </w:tcPr>
          <w:p w14:paraId="1CB06C68" w14:textId="77777777" w:rsidR="00C83180" w:rsidRPr="003F3B0A" w:rsidRDefault="00C83180" w:rsidP="00A53EA0">
            <w:pPr>
              <w:rPr>
                <w:rFonts w:ascii="Arial" w:hAnsi="Arial" w:cs="Arial"/>
                <w:sz w:val="18"/>
                <w:szCs w:val="18"/>
              </w:rPr>
            </w:pPr>
            <w:r w:rsidRPr="003F3B0A">
              <w:rPr>
                <w:rFonts w:ascii="Arial" w:hAnsi="Arial" w:cs="Arial"/>
                <w:sz w:val="18"/>
                <w:szCs w:val="18"/>
              </w:rPr>
              <w:t>-CV &gt; 1000 cop/mL</w:t>
            </w:r>
          </w:p>
          <w:p w14:paraId="373B984A" w14:textId="77777777" w:rsidR="00C83180" w:rsidRPr="003F3B0A" w:rsidRDefault="00C83180" w:rsidP="00A53EA0">
            <w:pPr>
              <w:rPr>
                <w:rFonts w:ascii="Arial" w:hAnsi="Arial" w:cs="Arial"/>
                <w:sz w:val="18"/>
                <w:szCs w:val="18"/>
              </w:rPr>
            </w:pPr>
            <w:r w:rsidRPr="003F3B0A">
              <w:rPr>
                <w:rFonts w:ascii="Arial" w:hAnsi="Arial" w:cs="Arial"/>
                <w:sz w:val="18"/>
                <w:szCs w:val="18"/>
              </w:rPr>
              <w:t>-1</w:t>
            </w:r>
            <w:r w:rsidRPr="003F3B0A">
              <w:rPr>
                <w:rFonts w:ascii="Arial" w:hAnsi="Arial" w:cs="Arial"/>
                <w:sz w:val="18"/>
                <w:szCs w:val="18"/>
                <w:vertAlign w:val="superscript"/>
              </w:rPr>
              <w:t>er</w:t>
            </w:r>
            <w:r w:rsidRPr="003F3B0A">
              <w:rPr>
                <w:rFonts w:ascii="Arial" w:hAnsi="Arial" w:cs="Arial"/>
                <w:sz w:val="18"/>
                <w:szCs w:val="18"/>
              </w:rPr>
              <w:t xml:space="preserve"> TAR basado en ITINN ≥ 24 sem.</w:t>
            </w:r>
          </w:p>
          <w:p w14:paraId="044E25CE" w14:textId="77777777" w:rsidR="00C83180" w:rsidRPr="003F3B0A" w:rsidRDefault="00C83180" w:rsidP="00A53EA0">
            <w:pPr>
              <w:rPr>
                <w:rFonts w:ascii="Arial" w:hAnsi="Arial" w:cs="Arial"/>
                <w:sz w:val="18"/>
                <w:szCs w:val="18"/>
              </w:rPr>
            </w:pPr>
          </w:p>
        </w:tc>
        <w:tc>
          <w:tcPr>
            <w:tcW w:w="1559" w:type="dxa"/>
          </w:tcPr>
          <w:p w14:paraId="450CF7EC" w14:textId="77777777" w:rsidR="00C83180" w:rsidRPr="003F3B0A" w:rsidRDefault="00C83180" w:rsidP="00A53EA0">
            <w:pPr>
              <w:rPr>
                <w:rFonts w:ascii="Arial" w:hAnsi="Arial" w:cs="Arial"/>
                <w:sz w:val="18"/>
                <w:szCs w:val="18"/>
              </w:rPr>
            </w:pPr>
            <w:r w:rsidRPr="003F3B0A">
              <w:rPr>
                <w:rFonts w:ascii="Arial" w:hAnsi="Arial" w:cs="Arial"/>
                <w:sz w:val="18"/>
                <w:szCs w:val="18"/>
              </w:rPr>
              <w:t>Fase III</w:t>
            </w:r>
          </w:p>
          <w:p w14:paraId="1D8FF965"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375F574E" w14:textId="77777777" w:rsidR="00C83180" w:rsidRPr="003F3B0A" w:rsidRDefault="00C83180" w:rsidP="00A53EA0">
            <w:pPr>
              <w:rPr>
                <w:rFonts w:ascii="Arial" w:hAnsi="Arial" w:cs="Arial"/>
                <w:sz w:val="18"/>
                <w:szCs w:val="18"/>
              </w:rPr>
            </w:pPr>
            <w:r w:rsidRPr="003F3B0A">
              <w:rPr>
                <w:rFonts w:ascii="Arial" w:hAnsi="Arial" w:cs="Arial"/>
                <w:sz w:val="18"/>
                <w:szCs w:val="18"/>
              </w:rPr>
              <w:t>Abierto</w:t>
            </w:r>
          </w:p>
          <w:p w14:paraId="5FA52D57"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No inferioridad </w:t>
            </w:r>
          </w:p>
          <w:p w14:paraId="5EC952EC"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(Margen: 10%) </w:t>
            </w:r>
          </w:p>
        </w:tc>
        <w:tc>
          <w:tcPr>
            <w:tcW w:w="1837" w:type="dxa"/>
          </w:tcPr>
          <w:p w14:paraId="6C7F0C49"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xml:space="preserve">- LPV/r + RAL </w:t>
            </w:r>
          </w:p>
          <w:p w14:paraId="61074394"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LPV/r + 2 ó 3 /ITIAN</w:t>
            </w:r>
          </w:p>
          <w:p w14:paraId="6EB876BB" w14:textId="77777777" w:rsidR="00C83180" w:rsidRPr="003F3B0A" w:rsidRDefault="00C83180" w:rsidP="00A53EA0">
            <w:pPr>
              <w:rPr>
                <w:rFonts w:ascii="Arial" w:hAnsi="Arial" w:cs="Arial"/>
                <w:sz w:val="18"/>
                <w:szCs w:val="18"/>
                <w:lang w:val="en-US"/>
              </w:rPr>
            </w:pPr>
          </w:p>
        </w:tc>
        <w:tc>
          <w:tcPr>
            <w:tcW w:w="567" w:type="dxa"/>
          </w:tcPr>
          <w:p w14:paraId="35AFC857"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260</w:t>
            </w:r>
          </w:p>
          <w:p w14:paraId="33A5745E"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255</w:t>
            </w:r>
          </w:p>
        </w:tc>
        <w:tc>
          <w:tcPr>
            <w:tcW w:w="2600" w:type="dxa"/>
          </w:tcPr>
          <w:p w14:paraId="6D6E0DEA" w14:textId="77777777" w:rsidR="00C83180" w:rsidRPr="003F3B0A" w:rsidRDefault="00C83180" w:rsidP="00A53EA0">
            <w:pPr>
              <w:rPr>
                <w:rFonts w:ascii="Arial" w:hAnsi="Arial" w:cs="Arial"/>
                <w:sz w:val="18"/>
                <w:szCs w:val="18"/>
              </w:rPr>
            </w:pPr>
            <w:r w:rsidRPr="003F3B0A">
              <w:rPr>
                <w:rFonts w:ascii="Arial" w:hAnsi="Arial" w:cs="Arial"/>
                <w:sz w:val="18"/>
                <w:szCs w:val="18"/>
              </w:rPr>
              <w:t>Fracaso virológico  48 s.:</w:t>
            </w:r>
          </w:p>
          <w:p w14:paraId="3218CD0F" w14:textId="77777777" w:rsidR="00C83180" w:rsidRPr="003F3B0A" w:rsidRDefault="00C83180" w:rsidP="00A53EA0">
            <w:pPr>
              <w:rPr>
                <w:rFonts w:ascii="Arial" w:hAnsi="Arial" w:cs="Arial"/>
                <w:sz w:val="18"/>
                <w:szCs w:val="18"/>
              </w:rPr>
            </w:pPr>
            <w:r w:rsidRPr="003F3B0A">
              <w:rPr>
                <w:rFonts w:ascii="Arial" w:hAnsi="Arial" w:cs="Arial"/>
                <w:sz w:val="18"/>
                <w:szCs w:val="18"/>
              </w:rPr>
              <w:t>10.3% vs 12,4%</w:t>
            </w:r>
          </w:p>
        </w:tc>
        <w:tc>
          <w:tcPr>
            <w:tcW w:w="2502" w:type="dxa"/>
          </w:tcPr>
          <w:p w14:paraId="7C7F8672" w14:textId="77777777" w:rsidR="00C83180" w:rsidRPr="003F3B0A" w:rsidRDefault="00C83180" w:rsidP="00A53EA0">
            <w:pPr>
              <w:rPr>
                <w:rFonts w:ascii="Arial" w:hAnsi="Arial" w:cs="Arial"/>
                <w:sz w:val="18"/>
                <w:szCs w:val="18"/>
              </w:rPr>
            </w:pPr>
            <w:r w:rsidRPr="003F3B0A">
              <w:rPr>
                <w:rFonts w:ascii="Arial" w:hAnsi="Arial" w:cs="Arial"/>
                <w:sz w:val="18"/>
                <w:szCs w:val="18"/>
              </w:rPr>
              <w:t>- LPV/r + RAL es no inferior a LPV/r + 2 ó 3 ITIAN)</w:t>
            </w:r>
          </w:p>
        </w:tc>
        <w:tc>
          <w:tcPr>
            <w:tcW w:w="2632" w:type="dxa"/>
          </w:tcPr>
          <w:p w14:paraId="4355C6FD" w14:textId="77777777" w:rsidR="00C83180" w:rsidRPr="003F3B0A" w:rsidRDefault="00C83180" w:rsidP="00A53EA0">
            <w:pPr>
              <w:rPr>
                <w:rFonts w:ascii="Arial" w:hAnsi="Arial" w:cs="Arial"/>
                <w:sz w:val="18"/>
                <w:szCs w:val="18"/>
              </w:rPr>
            </w:pPr>
            <w:r w:rsidRPr="003F3B0A">
              <w:rPr>
                <w:rFonts w:ascii="Arial" w:hAnsi="Arial" w:cs="Arial"/>
                <w:sz w:val="18"/>
                <w:szCs w:val="18"/>
              </w:rPr>
              <w:t>Los datos del estudio avalan las recomendaciones de la OMS del uso de LPV/r+ 2 ó 3 ITIAN tras el FV a pautas de primera línea  basadas en  ITINN</w:t>
            </w:r>
          </w:p>
          <w:p w14:paraId="4CBFB040" w14:textId="77777777" w:rsidR="00C83180" w:rsidRPr="003F3B0A" w:rsidRDefault="00C83180" w:rsidP="00A53EA0">
            <w:pPr>
              <w:rPr>
                <w:rFonts w:ascii="Arial" w:hAnsi="Arial" w:cs="Arial"/>
                <w:sz w:val="18"/>
                <w:szCs w:val="18"/>
              </w:rPr>
            </w:pPr>
            <w:r w:rsidRPr="003F3B0A">
              <w:rPr>
                <w:rFonts w:ascii="Arial" w:hAnsi="Arial" w:cs="Arial"/>
                <w:sz w:val="18"/>
                <w:szCs w:val="18"/>
              </w:rPr>
              <w:t>LPV/r + RAL es una terapia alternativa bien tolerada y segura, especialmente si no se pueden utilizar ITIAN</w:t>
            </w:r>
          </w:p>
          <w:p w14:paraId="70D96701" w14:textId="77777777" w:rsidR="00C83180" w:rsidRPr="003F3B0A" w:rsidRDefault="00C83180" w:rsidP="00A53EA0">
            <w:pPr>
              <w:rPr>
                <w:rFonts w:ascii="Arial" w:hAnsi="Arial" w:cs="Arial"/>
                <w:sz w:val="18"/>
                <w:szCs w:val="18"/>
              </w:rPr>
            </w:pPr>
          </w:p>
        </w:tc>
      </w:tr>
      <w:tr w:rsidR="00C83180" w:rsidRPr="003F3B0A" w14:paraId="5B9742DA" w14:textId="77777777" w:rsidTr="00A53EA0">
        <w:trPr>
          <w:tblHeader/>
        </w:trPr>
        <w:tc>
          <w:tcPr>
            <w:tcW w:w="1368" w:type="dxa"/>
          </w:tcPr>
          <w:p w14:paraId="5813705E" w14:textId="77777777" w:rsidR="00C83180" w:rsidRPr="003F3B0A" w:rsidRDefault="00C83180" w:rsidP="00A53EA0">
            <w:pPr>
              <w:jc w:val="both"/>
              <w:rPr>
                <w:rFonts w:ascii="Arial" w:hAnsi="Arial" w:cs="Arial"/>
                <w:b/>
                <w:bCs/>
                <w:sz w:val="18"/>
                <w:szCs w:val="20"/>
              </w:rPr>
            </w:pPr>
            <w:r w:rsidRPr="003F3B0A">
              <w:rPr>
                <w:rFonts w:ascii="Arial" w:hAnsi="Arial" w:cs="Arial"/>
                <w:b/>
                <w:bCs/>
                <w:sz w:val="18"/>
                <w:szCs w:val="20"/>
              </w:rPr>
              <w:t>ETR</w:t>
            </w:r>
          </w:p>
          <w:p w14:paraId="7CCAB8EF" w14:textId="77777777" w:rsidR="00C83180" w:rsidRPr="003F3B0A" w:rsidRDefault="00C83180" w:rsidP="00A53EA0">
            <w:pPr>
              <w:jc w:val="both"/>
              <w:rPr>
                <w:rFonts w:ascii="Arial" w:hAnsi="Arial" w:cs="Arial"/>
                <w:b/>
                <w:bCs/>
                <w:sz w:val="18"/>
                <w:szCs w:val="20"/>
              </w:rPr>
            </w:pPr>
            <w:r w:rsidRPr="003F3B0A">
              <w:rPr>
                <w:rFonts w:ascii="Arial" w:hAnsi="Arial" w:cs="Arial"/>
                <w:b/>
                <w:bCs/>
                <w:sz w:val="18"/>
                <w:szCs w:val="20"/>
              </w:rPr>
              <w:t>(TMC125-C227</w:t>
            </w:r>
            <w:r>
              <w:rPr>
                <w:rFonts w:ascii="Arial" w:hAnsi="Arial" w:cs="Arial"/>
                <w:b/>
                <w:bCs/>
                <w:noProof/>
                <w:sz w:val="18"/>
                <w:szCs w:val="20"/>
                <w:vertAlign w:val="superscript"/>
              </w:rPr>
              <w:t>21</w:t>
            </w:r>
            <w:r w:rsidRPr="003F3B0A">
              <w:rPr>
                <w:rFonts w:ascii="Arial" w:hAnsi="Arial" w:cs="Arial"/>
                <w:b/>
                <w:bCs/>
                <w:sz w:val="18"/>
                <w:szCs w:val="20"/>
              </w:rPr>
              <w:t>)</w:t>
            </w:r>
          </w:p>
        </w:tc>
        <w:tc>
          <w:tcPr>
            <w:tcW w:w="1865" w:type="dxa"/>
          </w:tcPr>
          <w:p w14:paraId="0825B385" w14:textId="77777777" w:rsidR="00C83180" w:rsidRPr="003F3B0A" w:rsidRDefault="00C83180" w:rsidP="00A53EA0">
            <w:pPr>
              <w:rPr>
                <w:rFonts w:ascii="Arial" w:hAnsi="Arial" w:cs="Arial"/>
                <w:sz w:val="18"/>
                <w:szCs w:val="20"/>
              </w:rPr>
            </w:pPr>
            <w:r w:rsidRPr="003F3B0A">
              <w:rPr>
                <w:rFonts w:ascii="Arial" w:hAnsi="Arial" w:cs="Arial"/>
                <w:sz w:val="18"/>
                <w:szCs w:val="20"/>
              </w:rPr>
              <w:t>-CV&gt;1000 cop/mL</w:t>
            </w:r>
          </w:p>
          <w:p w14:paraId="2964B130" w14:textId="77777777" w:rsidR="00C83180" w:rsidRPr="003F3B0A" w:rsidRDefault="00C83180" w:rsidP="00A53EA0">
            <w:pPr>
              <w:rPr>
                <w:rFonts w:ascii="Arial" w:hAnsi="Arial" w:cs="Arial"/>
                <w:sz w:val="18"/>
                <w:szCs w:val="20"/>
              </w:rPr>
            </w:pPr>
            <w:r w:rsidRPr="003F3B0A">
              <w:rPr>
                <w:rFonts w:ascii="Arial" w:hAnsi="Arial" w:cs="Arial"/>
                <w:sz w:val="18"/>
                <w:szCs w:val="20"/>
              </w:rPr>
              <w:t>-FV a 1</w:t>
            </w:r>
            <w:r w:rsidRPr="003F3B0A">
              <w:rPr>
                <w:rFonts w:ascii="Arial" w:hAnsi="Arial" w:cs="Arial"/>
                <w:sz w:val="18"/>
                <w:szCs w:val="20"/>
                <w:vertAlign w:val="superscript"/>
              </w:rPr>
              <w:t xml:space="preserve">er </w:t>
            </w:r>
            <w:r w:rsidRPr="003F3B0A">
              <w:rPr>
                <w:rFonts w:ascii="Arial" w:hAnsi="Arial" w:cs="Arial"/>
                <w:sz w:val="18"/>
                <w:szCs w:val="20"/>
              </w:rPr>
              <w:t>TAR con EFV o NVP</w:t>
            </w:r>
          </w:p>
          <w:p w14:paraId="16EE36F0" w14:textId="77777777" w:rsidR="00C83180" w:rsidRPr="003F3B0A" w:rsidRDefault="00C83180" w:rsidP="00A53EA0">
            <w:pPr>
              <w:rPr>
                <w:rFonts w:ascii="Arial" w:hAnsi="Arial" w:cs="Arial"/>
                <w:sz w:val="18"/>
                <w:szCs w:val="20"/>
              </w:rPr>
            </w:pPr>
            <w:r w:rsidRPr="003F3B0A">
              <w:rPr>
                <w:rFonts w:ascii="Arial" w:hAnsi="Arial" w:cs="Arial"/>
                <w:sz w:val="18"/>
                <w:szCs w:val="20"/>
              </w:rPr>
              <w:t>-Resistencia a ITINN e ITIAN</w:t>
            </w:r>
          </w:p>
          <w:p w14:paraId="4BBE4704" w14:textId="77777777" w:rsidR="00C83180" w:rsidRPr="003F3B0A" w:rsidRDefault="00C83180" w:rsidP="00A53EA0">
            <w:pPr>
              <w:rPr>
                <w:rFonts w:ascii="Arial" w:hAnsi="Arial" w:cs="Arial"/>
                <w:sz w:val="18"/>
                <w:szCs w:val="20"/>
              </w:rPr>
            </w:pPr>
            <w:r w:rsidRPr="003F3B0A">
              <w:rPr>
                <w:rFonts w:ascii="Arial" w:hAnsi="Arial" w:cs="Arial"/>
                <w:sz w:val="18"/>
                <w:szCs w:val="20"/>
              </w:rPr>
              <w:t>-</w:t>
            </w:r>
            <w:r w:rsidRPr="003F3B0A">
              <w:rPr>
                <w:rFonts w:ascii="Arial" w:hAnsi="Arial" w:cs="Arial"/>
                <w:i/>
                <w:sz w:val="18"/>
                <w:szCs w:val="20"/>
              </w:rPr>
              <w:t>Naive</w:t>
            </w:r>
            <w:r w:rsidRPr="003F3B0A">
              <w:rPr>
                <w:rFonts w:ascii="Arial" w:hAnsi="Arial" w:cs="Arial"/>
                <w:sz w:val="18"/>
                <w:szCs w:val="20"/>
              </w:rPr>
              <w:t xml:space="preserve"> a IP</w:t>
            </w:r>
          </w:p>
        </w:tc>
        <w:tc>
          <w:tcPr>
            <w:tcW w:w="1559" w:type="dxa"/>
          </w:tcPr>
          <w:p w14:paraId="5DB73646" w14:textId="77777777" w:rsidR="00C83180" w:rsidRPr="003F3B0A" w:rsidRDefault="00C83180" w:rsidP="00A53EA0">
            <w:pPr>
              <w:rPr>
                <w:rFonts w:ascii="Arial" w:hAnsi="Arial" w:cs="Arial"/>
                <w:sz w:val="18"/>
                <w:szCs w:val="20"/>
              </w:rPr>
            </w:pPr>
            <w:r w:rsidRPr="003F3B0A">
              <w:rPr>
                <w:rFonts w:ascii="Arial" w:hAnsi="Arial" w:cs="Arial"/>
                <w:sz w:val="18"/>
                <w:szCs w:val="20"/>
              </w:rPr>
              <w:t>Fase II</w:t>
            </w:r>
          </w:p>
          <w:p w14:paraId="58AA02C1" w14:textId="77777777" w:rsidR="00C83180" w:rsidRPr="003F3B0A" w:rsidRDefault="00C83180" w:rsidP="00A53EA0">
            <w:pPr>
              <w:rPr>
                <w:rFonts w:ascii="Arial" w:hAnsi="Arial" w:cs="Arial"/>
                <w:sz w:val="18"/>
                <w:szCs w:val="20"/>
              </w:rPr>
            </w:pPr>
            <w:r w:rsidRPr="003F3B0A">
              <w:rPr>
                <w:rFonts w:ascii="Arial" w:hAnsi="Arial" w:cs="Arial"/>
                <w:sz w:val="18"/>
                <w:szCs w:val="20"/>
              </w:rPr>
              <w:t>Aleatorizado</w:t>
            </w:r>
          </w:p>
          <w:p w14:paraId="0D389277" w14:textId="77777777" w:rsidR="00C83180" w:rsidRPr="003F3B0A" w:rsidRDefault="00C83180" w:rsidP="00A53EA0">
            <w:pPr>
              <w:rPr>
                <w:rFonts w:ascii="Arial" w:hAnsi="Arial" w:cs="Arial"/>
                <w:sz w:val="18"/>
                <w:szCs w:val="20"/>
              </w:rPr>
            </w:pPr>
            <w:r w:rsidRPr="003F3B0A">
              <w:rPr>
                <w:rFonts w:ascii="Arial" w:hAnsi="Arial" w:cs="Arial"/>
                <w:sz w:val="18"/>
                <w:szCs w:val="20"/>
              </w:rPr>
              <w:t>Abierto</w:t>
            </w:r>
          </w:p>
        </w:tc>
        <w:tc>
          <w:tcPr>
            <w:tcW w:w="1837" w:type="dxa"/>
          </w:tcPr>
          <w:p w14:paraId="4E57855E" w14:textId="77777777" w:rsidR="00C83180" w:rsidRPr="003F3B0A" w:rsidRDefault="00C83180" w:rsidP="00A53EA0">
            <w:pPr>
              <w:rPr>
                <w:rFonts w:ascii="Arial" w:hAnsi="Arial" w:cs="Arial"/>
                <w:sz w:val="18"/>
                <w:szCs w:val="20"/>
              </w:rPr>
            </w:pPr>
            <w:r w:rsidRPr="003F3B0A">
              <w:rPr>
                <w:rFonts w:ascii="Arial" w:hAnsi="Arial" w:cs="Arial"/>
                <w:sz w:val="18"/>
                <w:szCs w:val="20"/>
              </w:rPr>
              <w:t>- ETR 800 mg BID</w:t>
            </w:r>
          </w:p>
          <w:p w14:paraId="0EA45273" w14:textId="77777777" w:rsidR="00C83180" w:rsidRPr="003F3B0A" w:rsidRDefault="00C83180" w:rsidP="00A53EA0">
            <w:pPr>
              <w:rPr>
                <w:rFonts w:ascii="Arial" w:hAnsi="Arial" w:cs="Arial"/>
                <w:sz w:val="18"/>
                <w:szCs w:val="20"/>
              </w:rPr>
            </w:pPr>
            <w:r w:rsidRPr="003F3B0A">
              <w:rPr>
                <w:rFonts w:ascii="Arial" w:hAnsi="Arial" w:cs="Arial"/>
                <w:sz w:val="18"/>
                <w:szCs w:val="20"/>
              </w:rPr>
              <w:t>- IP o IP/p Ambos con 2 ITIAN a criterio del investigador</w:t>
            </w:r>
          </w:p>
        </w:tc>
        <w:tc>
          <w:tcPr>
            <w:tcW w:w="567" w:type="dxa"/>
          </w:tcPr>
          <w:p w14:paraId="50FBBD73" w14:textId="77777777" w:rsidR="00C83180" w:rsidRPr="003F3B0A" w:rsidRDefault="00C83180" w:rsidP="00A53EA0">
            <w:pPr>
              <w:rPr>
                <w:rFonts w:ascii="Arial" w:hAnsi="Arial" w:cs="Arial"/>
                <w:sz w:val="18"/>
                <w:szCs w:val="20"/>
              </w:rPr>
            </w:pPr>
            <w:r w:rsidRPr="003F3B0A">
              <w:rPr>
                <w:rFonts w:ascii="Arial" w:hAnsi="Arial" w:cs="Arial"/>
                <w:sz w:val="18"/>
                <w:szCs w:val="20"/>
              </w:rPr>
              <w:t>59</w:t>
            </w:r>
          </w:p>
          <w:p w14:paraId="649FBD0A" w14:textId="77777777" w:rsidR="00C83180" w:rsidRPr="003F3B0A" w:rsidRDefault="00C83180" w:rsidP="00A53EA0">
            <w:pPr>
              <w:rPr>
                <w:rFonts w:ascii="Arial" w:hAnsi="Arial" w:cs="Arial"/>
                <w:sz w:val="18"/>
                <w:szCs w:val="20"/>
              </w:rPr>
            </w:pPr>
            <w:r w:rsidRPr="003F3B0A">
              <w:rPr>
                <w:rFonts w:ascii="Arial" w:hAnsi="Arial" w:cs="Arial"/>
                <w:sz w:val="18"/>
                <w:szCs w:val="20"/>
              </w:rPr>
              <w:t>57</w:t>
            </w:r>
          </w:p>
        </w:tc>
        <w:tc>
          <w:tcPr>
            <w:tcW w:w="2600" w:type="dxa"/>
          </w:tcPr>
          <w:p w14:paraId="5F2427C9" w14:textId="77777777" w:rsidR="00C83180" w:rsidRPr="003F3B0A" w:rsidRDefault="00C83180" w:rsidP="00A53EA0">
            <w:pPr>
              <w:rPr>
                <w:rFonts w:ascii="Arial" w:hAnsi="Arial" w:cs="Arial"/>
                <w:sz w:val="18"/>
                <w:szCs w:val="20"/>
              </w:rPr>
            </w:pPr>
            <w:r w:rsidRPr="003F3B0A">
              <w:rPr>
                <w:rFonts w:ascii="Arial" w:hAnsi="Arial" w:cs="Arial"/>
                <w:sz w:val="18"/>
                <w:szCs w:val="20"/>
              </w:rPr>
              <w:t>Descenso CVP (log</w:t>
            </w:r>
            <w:r w:rsidRPr="003F3B0A">
              <w:rPr>
                <w:rFonts w:ascii="Arial" w:hAnsi="Arial" w:cs="Arial"/>
                <w:sz w:val="18"/>
                <w:szCs w:val="20"/>
                <w:vertAlign w:val="subscript"/>
              </w:rPr>
              <w:t>10</w:t>
            </w:r>
            <w:r w:rsidRPr="003F3B0A">
              <w:rPr>
                <w:rFonts w:ascii="Arial" w:hAnsi="Arial" w:cs="Arial"/>
                <w:sz w:val="18"/>
                <w:szCs w:val="20"/>
              </w:rPr>
              <w:t xml:space="preserve">) desde valor basal a sem 12 y 24: </w:t>
            </w:r>
          </w:p>
          <w:p w14:paraId="09172D3A" w14:textId="77777777" w:rsidR="00C83180" w:rsidRPr="003F3B0A" w:rsidRDefault="00C83180" w:rsidP="00A53EA0">
            <w:pPr>
              <w:rPr>
                <w:rFonts w:ascii="Arial" w:hAnsi="Arial" w:cs="Arial"/>
                <w:sz w:val="18"/>
                <w:szCs w:val="20"/>
              </w:rPr>
            </w:pPr>
            <w:r w:rsidRPr="003F3B0A">
              <w:rPr>
                <w:rFonts w:ascii="Arial" w:hAnsi="Arial" w:cs="Arial"/>
                <w:sz w:val="18"/>
                <w:szCs w:val="20"/>
              </w:rPr>
              <w:t>- ETR: -1.39 y -1.51 log</w:t>
            </w:r>
            <w:r w:rsidRPr="003F3B0A">
              <w:rPr>
                <w:rFonts w:ascii="Arial" w:hAnsi="Arial" w:cs="Arial"/>
                <w:sz w:val="18"/>
                <w:szCs w:val="20"/>
                <w:vertAlign w:val="subscript"/>
              </w:rPr>
              <w:t xml:space="preserve">10 </w:t>
            </w:r>
            <w:r w:rsidRPr="003F3B0A">
              <w:rPr>
                <w:rFonts w:ascii="Arial" w:hAnsi="Arial" w:cs="Arial"/>
                <w:sz w:val="18"/>
                <w:szCs w:val="20"/>
              </w:rPr>
              <w:t>cop/mL</w:t>
            </w:r>
          </w:p>
          <w:p w14:paraId="592ED06D" w14:textId="77777777" w:rsidR="00C83180" w:rsidRPr="003F3B0A" w:rsidRDefault="00C83180" w:rsidP="00A53EA0">
            <w:pPr>
              <w:rPr>
                <w:rFonts w:ascii="Arial" w:hAnsi="Arial" w:cs="Arial"/>
                <w:sz w:val="18"/>
                <w:szCs w:val="20"/>
              </w:rPr>
            </w:pPr>
            <w:r w:rsidRPr="003F3B0A">
              <w:rPr>
                <w:rFonts w:ascii="Arial" w:hAnsi="Arial" w:cs="Arial"/>
                <w:sz w:val="18"/>
                <w:szCs w:val="20"/>
              </w:rPr>
              <w:t>- IP: -2.16 y -2.13 log</w:t>
            </w:r>
            <w:r w:rsidRPr="003F3B0A">
              <w:rPr>
                <w:rFonts w:ascii="Arial" w:hAnsi="Arial" w:cs="Arial"/>
                <w:sz w:val="18"/>
                <w:szCs w:val="20"/>
                <w:vertAlign w:val="subscript"/>
              </w:rPr>
              <w:t>10</w:t>
            </w:r>
            <w:r w:rsidRPr="003F3B0A">
              <w:rPr>
                <w:rFonts w:ascii="Arial" w:hAnsi="Arial" w:cs="Arial"/>
                <w:sz w:val="18"/>
                <w:szCs w:val="20"/>
              </w:rPr>
              <w:t>cop/mL</w:t>
            </w:r>
          </w:p>
        </w:tc>
        <w:tc>
          <w:tcPr>
            <w:tcW w:w="2502" w:type="dxa"/>
          </w:tcPr>
          <w:p w14:paraId="73FED4F0" w14:textId="77777777" w:rsidR="00C83180" w:rsidRPr="003F3B0A" w:rsidRDefault="00C83180" w:rsidP="00A53EA0">
            <w:pPr>
              <w:rPr>
                <w:rFonts w:ascii="Arial" w:hAnsi="Arial" w:cs="Arial"/>
                <w:sz w:val="18"/>
                <w:szCs w:val="20"/>
              </w:rPr>
            </w:pPr>
            <w:r w:rsidRPr="003F3B0A">
              <w:rPr>
                <w:rFonts w:ascii="Arial" w:hAnsi="Arial" w:cs="Arial"/>
                <w:sz w:val="18"/>
                <w:szCs w:val="20"/>
              </w:rPr>
              <w:t>- ETR es inferior a IP, ambos con 2 ITIAN. en pacientes con FV y MR a ITINN e ITIAN.</w:t>
            </w:r>
          </w:p>
          <w:p w14:paraId="123BF83F" w14:textId="77777777" w:rsidR="00C83180" w:rsidRPr="003F3B0A" w:rsidRDefault="00C83180" w:rsidP="00A53EA0">
            <w:pPr>
              <w:rPr>
                <w:rFonts w:ascii="Arial" w:hAnsi="Arial" w:cs="Arial"/>
                <w:sz w:val="18"/>
                <w:szCs w:val="20"/>
              </w:rPr>
            </w:pPr>
            <w:r w:rsidRPr="003F3B0A">
              <w:rPr>
                <w:rFonts w:ascii="Arial" w:hAnsi="Arial" w:cs="Arial"/>
                <w:sz w:val="18"/>
                <w:szCs w:val="20"/>
              </w:rPr>
              <w:t>- La presencia de MR basales fue la principal razón del FV</w:t>
            </w:r>
          </w:p>
        </w:tc>
        <w:tc>
          <w:tcPr>
            <w:tcW w:w="2632" w:type="dxa"/>
          </w:tcPr>
          <w:p w14:paraId="21AF4282"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Diferencia (ETR vs DRV/r) porcentaje de sujetos con CV &lt; 50 c/mL en la sem 12 fue:            -27.8% (95% CI: -46.8% a -8.8%) </w:t>
            </w:r>
          </w:p>
        </w:tc>
      </w:tr>
    </w:tbl>
    <w:p w14:paraId="54EC85ED" w14:textId="77777777" w:rsidR="00C83180" w:rsidRPr="003F3B0A" w:rsidRDefault="00C83180" w:rsidP="00C83180">
      <w:pPr>
        <w:jc w:val="both"/>
        <w:rPr>
          <w:rFonts w:ascii="Arial" w:hAnsi="Arial" w:cs="Arial"/>
          <w:b/>
          <w:color w:val="0000CC"/>
        </w:rPr>
      </w:pPr>
    </w:p>
    <w:p w14:paraId="10DAC20C" w14:textId="77777777" w:rsidR="00C83180" w:rsidRPr="003F3B0A" w:rsidRDefault="00C83180" w:rsidP="00C83180">
      <w:pPr>
        <w:jc w:val="both"/>
        <w:rPr>
          <w:rFonts w:ascii="Arial" w:hAnsi="Arial" w:cs="Arial"/>
          <w:b/>
          <w:color w:val="0000CC"/>
        </w:rPr>
      </w:pPr>
    </w:p>
    <w:p w14:paraId="3352FDE2" w14:textId="77777777" w:rsidR="00C83180" w:rsidRPr="003F3B0A" w:rsidRDefault="00C83180" w:rsidP="00C83180">
      <w:pPr>
        <w:jc w:val="both"/>
        <w:rPr>
          <w:rFonts w:ascii="Arial" w:hAnsi="Arial" w:cs="Arial"/>
          <w:b/>
          <w:color w:val="0000CC"/>
        </w:rPr>
      </w:pPr>
    </w:p>
    <w:p w14:paraId="11E2916F" w14:textId="77777777" w:rsidR="00C83180" w:rsidRPr="003F3B0A" w:rsidRDefault="00C83180" w:rsidP="00C83180">
      <w:pPr>
        <w:jc w:val="both"/>
        <w:rPr>
          <w:rFonts w:ascii="Arial" w:hAnsi="Arial" w:cs="Arial"/>
          <w:b/>
          <w:color w:val="0000CC"/>
        </w:rPr>
      </w:pPr>
    </w:p>
    <w:p w14:paraId="3BF209FE" w14:textId="77777777" w:rsidR="00C83180" w:rsidRPr="003F3B0A" w:rsidRDefault="00C83180" w:rsidP="00C83180">
      <w:pPr>
        <w:jc w:val="both"/>
        <w:rPr>
          <w:rFonts w:ascii="Arial" w:hAnsi="Arial" w:cs="Arial"/>
          <w:b/>
          <w:color w:val="0000CC"/>
        </w:rPr>
      </w:pPr>
    </w:p>
    <w:p w14:paraId="4F7637BB" w14:textId="77777777" w:rsidR="00C83180" w:rsidRPr="003F3B0A" w:rsidRDefault="00C83180" w:rsidP="00C83180">
      <w:pPr>
        <w:jc w:val="both"/>
        <w:rPr>
          <w:rFonts w:ascii="Arial" w:hAnsi="Arial" w:cs="Arial"/>
          <w:b/>
          <w:color w:val="0000CC"/>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1770"/>
        <w:gridCol w:w="6"/>
        <w:gridCol w:w="1553"/>
        <w:gridCol w:w="6"/>
        <w:gridCol w:w="1483"/>
        <w:gridCol w:w="921"/>
        <w:gridCol w:w="2600"/>
        <w:gridCol w:w="2502"/>
        <w:gridCol w:w="2632"/>
      </w:tblGrid>
      <w:tr w:rsidR="00C83180" w:rsidRPr="003F3B0A" w14:paraId="4944F331" w14:textId="77777777" w:rsidTr="00A53EA0">
        <w:trPr>
          <w:tblHeader/>
          <w:jc w:val="center"/>
        </w:trPr>
        <w:tc>
          <w:tcPr>
            <w:tcW w:w="1457" w:type="dxa"/>
            <w:shd w:val="clear" w:color="auto" w:fill="FBE4D5"/>
            <w:vAlign w:val="center"/>
          </w:tcPr>
          <w:p w14:paraId="0544CE57"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lastRenderedPageBreak/>
              <w:t>Fármaco</w:t>
            </w:r>
          </w:p>
          <w:p w14:paraId="3BAC8512"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(Ensayo)</w:t>
            </w:r>
          </w:p>
        </w:tc>
        <w:tc>
          <w:tcPr>
            <w:tcW w:w="1776" w:type="dxa"/>
            <w:gridSpan w:val="2"/>
            <w:shd w:val="clear" w:color="auto" w:fill="FBE4D5"/>
            <w:vAlign w:val="center"/>
          </w:tcPr>
          <w:p w14:paraId="6479D67C"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Criterios inclusión</w:t>
            </w:r>
          </w:p>
        </w:tc>
        <w:tc>
          <w:tcPr>
            <w:tcW w:w="1559" w:type="dxa"/>
            <w:gridSpan w:val="2"/>
            <w:shd w:val="clear" w:color="auto" w:fill="FBE4D5"/>
            <w:vAlign w:val="center"/>
          </w:tcPr>
          <w:p w14:paraId="31262FCF"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Diseño</w:t>
            </w:r>
          </w:p>
        </w:tc>
        <w:tc>
          <w:tcPr>
            <w:tcW w:w="1483" w:type="dxa"/>
            <w:shd w:val="clear" w:color="auto" w:fill="FBE4D5"/>
            <w:vAlign w:val="center"/>
          </w:tcPr>
          <w:p w14:paraId="2104ED18"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Brazos</w:t>
            </w:r>
          </w:p>
          <w:p w14:paraId="550883D7"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comparados</w:t>
            </w:r>
          </w:p>
        </w:tc>
        <w:tc>
          <w:tcPr>
            <w:tcW w:w="921" w:type="dxa"/>
            <w:shd w:val="clear" w:color="auto" w:fill="FBE4D5"/>
            <w:vAlign w:val="center"/>
          </w:tcPr>
          <w:p w14:paraId="42B6ABF1"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N</w:t>
            </w:r>
          </w:p>
        </w:tc>
        <w:tc>
          <w:tcPr>
            <w:tcW w:w="2600" w:type="dxa"/>
            <w:shd w:val="clear" w:color="auto" w:fill="FBE4D5"/>
            <w:vAlign w:val="center"/>
          </w:tcPr>
          <w:p w14:paraId="74EF1869"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i/>
                <w:color w:val="AE1C1F"/>
                <w:sz w:val="18"/>
                <w:szCs w:val="20"/>
              </w:rPr>
              <w:t>Eficacia</w:t>
            </w:r>
          </w:p>
        </w:tc>
        <w:tc>
          <w:tcPr>
            <w:tcW w:w="2502" w:type="dxa"/>
            <w:shd w:val="clear" w:color="auto" w:fill="FBE4D5"/>
            <w:vAlign w:val="center"/>
          </w:tcPr>
          <w:p w14:paraId="13886883"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Principales</w:t>
            </w:r>
          </w:p>
          <w:p w14:paraId="731E2082"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Conclusiones</w:t>
            </w:r>
          </w:p>
        </w:tc>
        <w:tc>
          <w:tcPr>
            <w:tcW w:w="2632" w:type="dxa"/>
            <w:shd w:val="clear" w:color="auto" w:fill="FBE4D5"/>
            <w:vAlign w:val="center"/>
          </w:tcPr>
          <w:p w14:paraId="65D220E6" w14:textId="77777777" w:rsidR="00C83180" w:rsidRPr="003F3B0A" w:rsidRDefault="00C83180" w:rsidP="00A53EA0">
            <w:pPr>
              <w:jc w:val="center"/>
              <w:rPr>
                <w:rFonts w:ascii="Arial" w:hAnsi="Arial" w:cs="Arial"/>
                <w:b/>
                <w:bCs/>
                <w:color w:val="AE1C1F"/>
                <w:sz w:val="18"/>
                <w:szCs w:val="20"/>
              </w:rPr>
            </w:pPr>
            <w:r w:rsidRPr="003F3B0A">
              <w:rPr>
                <w:rFonts w:ascii="Arial" w:hAnsi="Arial" w:cs="Arial"/>
                <w:b/>
                <w:bCs/>
                <w:color w:val="AE1C1F"/>
                <w:sz w:val="18"/>
                <w:szCs w:val="20"/>
              </w:rPr>
              <w:t>Otros resultados</w:t>
            </w:r>
          </w:p>
        </w:tc>
      </w:tr>
      <w:tr w:rsidR="00C83180" w:rsidRPr="003F3B0A" w14:paraId="2D22938D" w14:textId="77777777" w:rsidTr="00A53EA0">
        <w:trPr>
          <w:trHeight w:val="412"/>
          <w:tblHeader/>
          <w:jc w:val="center"/>
        </w:trPr>
        <w:tc>
          <w:tcPr>
            <w:tcW w:w="14930" w:type="dxa"/>
            <w:gridSpan w:val="10"/>
            <w:shd w:val="clear" w:color="auto" w:fill="FBE4D5"/>
            <w:vAlign w:val="center"/>
          </w:tcPr>
          <w:p w14:paraId="75327E42" w14:textId="77777777" w:rsidR="00C83180" w:rsidRPr="003F3B0A" w:rsidRDefault="00C83180" w:rsidP="00A53EA0">
            <w:pPr>
              <w:rPr>
                <w:rFonts w:ascii="Arial" w:hAnsi="Arial" w:cs="Arial"/>
                <w:b/>
                <w:bCs/>
                <w:color w:val="AE1C1F"/>
                <w:sz w:val="18"/>
                <w:szCs w:val="18"/>
              </w:rPr>
            </w:pPr>
            <w:r w:rsidRPr="003F3B0A">
              <w:rPr>
                <w:rFonts w:ascii="Arial" w:hAnsi="Arial" w:cs="Arial"/>
                <w:b/>
                <w:bCs/>
                <w:color w:val="AE1C1F"/>
                <w:sz w:val="18"/>
                <w:szCs w:val="18"/>
              </w:rPr>
              <w:t>Estudios de rescate avanzado</w:t>
            </w:r>
          </w:p>
        </w:tc>
      </w:tr>
      <w:tr w:rsidR="00C83180" w:rsidRPr="003F3B0A" w14:paraId="14D80F29" w14:textId="77777777" w:rsidTr="00A53EA0">
        <w:trPr>
          <w:tblHeader/>
          <w:jc w:val="center"/>
        </w:trPr>
        <w:tc>
          <w:tcPr>
            <w:tcW w:w="1457" w:type="dxa"/>
          </w:tcPr>
          <w:p w14:paraId="22835F84"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DRV/r</w:t>
            </w:r>
          </w:p>
          <w:p w14:paraId="24F415E2"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(TITAN</w:t>
            </w:r>
            <w:r w:rsidRPr="003F3B0A">
              <w:rPr>
                <w:rFonts w:ascii="Arial" w:hAnsi="Arial" w:cs="Arial"/>
                <w:b/>
                <w:bCs/>
                <w:noProof/>
                <w:sz w:val="18"/>
                <w:szCs w:val="18"/>
                <w:vertAlign w:val="superscript"/>
              </w:rPr>
              <w:t>24</w:t>
            </w:r>
            <w:r w:rsidRPr="003F3B0A">
              <w:rPr>
                <w:rFonts w:ascii="Arial" w:hAnsi="Arial" w:cs="Arial"/>
                <w:b/>
                <w:bCs/>
                <w:sz w:val="18"/>
                <w:szCs w:val="18"/>
              </w:rPr>
              <w:t>)</w:t>
            </w:r>
          </w:p>
        </w:tc>
        <w:tc>
          <w:tcPr>
            <w:tcW w:w="1770" w:type="dxa"/>
          </w:tcPr>
          <w:p w14:paraId="42F84B27"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 &gt;1000cop/mL</w:t>
            </w:r>
          </w:p>
          <w:p w14:paraId="4A67FF05"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-TAR≥ 12 sem</w:t>
            </w:r>
          </w:p>
          <w:p w14:paraId="12AF333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w:t>
            </w:r>
            <w:r w:rsidRPr="003F3B0A">
              <w:rPr>
                <w:rFonts w:ascii="Arial" w:hAnsi="Arial" w:cs="Arial"/>
                <w:i/>
                <w:sz w:val="18"/>
                <w:szCs w:val="18"/>
                <w:lang w:val="en-US"/>
              </w:rPr>
              <w:t>Naive</w:t>
            </w:r>
            <w:r w:rsidRPr="003F3B0A">
              <w:rPr>
                <w:rFonts w:ascii="Arial" w:hAnsi="Arial" w:cs="Arial"/>
                <w:sz w:val="18"/>
                <w:szCs w:val="18"/>
                <w:lang w:val="en-US"/>
              </w:rPr>
              <w:t xml:space="preserve"> a LPV/r ,TPV, DRV o ENF</w:t>
            </w:r>
          </w:p>
        </w:tc>
        <w:tc>
          <w:tcPr>
            <w:tcW w:w="1559" w:type="dxa"/>
            <w:gridSpan w:val="2"/>
          </w:tcPr>
          <w:p w14:paraId="664C9AFF" w14:textId="77777777" w:rsidR="00C83180" w:rsidRPr="003F3B0A" w:rsidRDefault="00C83180" w:rsidP="00A53EA0">
            <w:pPr>
              <w:rPr>
                <w:rFonts w:ascii="Arial" w:hAnsi="Arial" w:cs="Arial"/>
                <w:sz w:val="18"/>
                <w:szCs w:val="18"/>
              </w:rPr>
            </w:pPr>
            <w:r w:rsidRPr="003F3B0A">
              <w:rPr>
                <w:rFonts w:ascii="Arial" w:hAnsi="Arial" w:cs="Arial"/>
                <w:sz w:val="18"/>
                <w:szCs w:val="18"/>
              </w:rPr>
              <w:t>Fase III</w:t>
            </w:r>
          </w:p>
          <w:p w14:paraId="23E3168F"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59E53155" w14:textId="77777777" w:rsidR="00C83180" w:rsidRPr="003F3B0A" w:rsidRDefault="00C83180" w:rsidP="00A53EA0">
            <w:pPr>
              <w:rPr>
                <w:rFonts w:ascii="Arial" w:hAnsi="Arial" w:cs="Arial"/>
                <w:sz w:val="18"/>
                <w:szCs w:val="18"/>
              </w:rPr>
            </w:pPr>
            <w:r w:rsidRPr="003F3B0A">
              <w:rPr>
                <w:rFonts w:ascii="Arial" w:hAnsi="Arial" w:cs="Arial"/>
                <w:sz w:val="18"/>
                <w:szCs w:val="18"/>
              </w:rPr>
              <w:t>No ciego</w:t>
            </w:r>
          </w:p>
          <w:p w14:paraId="48A26B5C" w14:textId="77777777" w:rsidR="00C83180" w:rsidRPr="003F3B0A" w:rsidRDefault="00C83180" w:rsidP="00A53EA0">
            <w:pPr>
              <w:rPr>
                <w:rFonts w:ascii="Arial" w:hAnsi="Arial" w:cs="Arial"/>
                <w:sz w:val="18"/>
                <w:szCs w:val="18"/>
              </w:rPr>
            </w:pPr>
            <w:r w:rsidRPr="003F3B0A">
              <w:rPr>
                <w:rFonts w:ascii="Arial" w:hAnsi="Arial" w:cs="Arial"/>
                <w:sz w:val="18"/>
                <w:szCs w:val="18"/>
              </w:rPr>
              <w:t>No inferioridad</w:t>
            </w:r>
          </w:p>
          <w:p w14:paraId="19FD8E54" w14:textId="77777777" w:rsidR="00C83180" w:rsidRPr="003F3B0A" w:rsidRDefault="00C83180" w:rsidP="00A53EA0">
            <w:pPr>
              <w:rPr>
                <w:rFonts w:ascii="Arial" w:hAnsi="Arial" w:cs="Arial"/>
                <w:sz w:val="18"/>
                <w:szCs w:val="18"/>
              </w:rPr>
            </w:pPr>
            <w:r w:rsidRPr="003F3B0A">
              <w:rPr>
                <w:rFonts w:ascii="Arial" w:hAnsi="Arial" w:cs="Arial"/>
                <w:sz w:val="18"/>
                <w:szCs w:val="18"/>
              </w:rPr>
              <w:t>(Δ: -12%) ITT</w:t>
            </w:r>
          </w:p>
        </w:tc>
        <w:tc>
          <w:tcPr>
            <w:tcW w:w="1489" w:type="dxa"/>
            <w:gridSpan w:val="2"/>
          </w:tcPr>
          <w:p w14:paraId="2F49E131"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DRV/r BID +TO</w:t>
            </w:r>
          </w:p>
          <w:p w14:paraId="4050E2E0"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LPV/r BID +TO</w:t>
            </w:r>
          </w:p>
        </w:tc>
        <w:tc>
          <w:tcPr>
            <w:tcW w:w="921" w:type="dxa"/>
          </w:tcPr>
          <w:p w14:paraId="7A1C8F8D" w14:textId="77777777" w:rsidR="00C83180" w:rsidRPr="003F3B0A" w:rsidRDefault="00C83180" w:rsidP="00A53EA0">
            <w:pPr>
              <w:rPr>
                <w:rFonts w:ascii="Arial" w:hAnsi="Arial" w:cs="Arial"/>
                <w:sz w:val="18"/>
                <w:szCs w:val="18"/>
              </w:rPr>
            </w:pPr>
            <w:r w:rsidRPr="003F3B0A">
              <w:rPr>
                <w:rFonts w:ascii="Arial" w:hAnsi="Arial" w:cs="Arial"/>
                <w:sz w:val="18"/>
                <w:szCs w:val="18"/>
              </w:rPr>
              <w:t>298</w:t>
            </w:r>
          </w:p>
          <w:p w14:paraId="34BC0ECE" w14:textId="77777777" w:rsidR="00C83180" w:rsidRPr="003F3B0A" w:rsidRDefault="00C83180" w:rsidP="00A53EA0">
            <w:pPr>
              <w:rPr>
                <w:rFonts w:ascii="Arial" w:hAnsi="Arial" w:cs="Arial"/>
                <w:sz w:val="18"/>
                <w:szCs w:val="18"/>
              </w:rPr>
            </w:pPr>
            <w:r w:rsidRPr="003F3B0A">
              <w:rPr>
                <w:rFonts w:ascii="Arial" w:hAnsi="Arial" w:cs="Arial"/>
                <w:sz w:val="18"/>
                <w:szCs w:val="18"/>
              </w:rPr>
              <w:t>297</w:t>
            </w:r>
          </w:p>
        </w:tc>
        <w:tc>
          <w:tcPr>
            <w:tcW w:w="2600" w:type="dxa"/>
          </w:tcPr>
          <w:p w14:paraId="2D90D4F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-71%: &lt;50 cop/mL (77%: &lt;400 cop/mL)</w:t>
            </w:r>
          </w:p>
          <w:p w14:paraId="284709A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- 60%: &lt;50cop/mL (68%: &lt;400 cop/mL)</w:t>
            </w:r>
          </w:p>
          <w:p w14:paraId="484A4A85" w14:textId="77777777" w:rsidR="00C83180" w:rsidRPr="003F3B0A" w:rsidRDefault="00C83180" w:rsidP="00A53EA0">
            <w:pPr>
              <w:rPr>
                <w:rFonts w:ascii="Arial" w:hAnsi="Arial" w:cs="Arial"/>
                <w:sz w:val="18"/>
                <w:szCs w:val="18"/>
                <w:lang w:val="en-US"/>
              </w:rPr>
            </w:pPr>
            <w:r w:rsidRPr="003F3B0A">
              <w:rPr>
                <w:rFonts w:ascii="Arial" w:hAnsi="Arial" w:cs="Arial"/>
                <w:sz w:val="18"/>
                <w:szCs w:val="18"/>
              </w:rPr>
              <w:t>Δ</w:t>
            </w:r>
            <w:r w:rsidRPr="003F3B0A">
              <w:rPr>
                <w:rFonts w:ascii="Arial" w:hAnsi="Arial" w:cs="Arial"/>
                <w:sz w:val="18"/>
                <w:szCs w:val="18"/>
                <w:lang w:val="en-US"/>
              </w:rPr>
              <w:t xml:space="preserve"> 11% (IC95%: 3-19) &lt;50cop/mL </w:t>
            </w:r>
            <w:r w:rsidRPr="003F3B0A">
              <w:rPr>
                <w:rFonts w:ascii="Arial" w:hAnsi="Arial" w:cs="Arial"/>
                <w:sz w:val="18"/>
                <w:szCs w:val="18"/>
              </w:rPr>
              <w:t>Δ</w:t>
            </w:r>
            <w:r w:rsidRPr="003F3B0A">
              <w:rPr>
                <w:rFonts w:ascii="Arial" w:hAnsi="Arial" w:cs="Arial"/>
                <w:sz w:val="18"/>
                <w:szCs w:val="18"/>
                <w:lang w:val="en-US"/>
              </w:rPr>
              <w:t xml:space="preserve"> 9% (IC95%: 2-16) &lt;400 cop/mL</w:t>
            </w:r>
          </w:p>
        </w:tc>
        <w:tc>
          <w:tcPr>
            <w:tcW w:w="2502" w:type="dxa"/>
          </w:tcPr>
          <w:p w14:paraId="6519BE02" w14:textId="77777777" w:rsidR="00C83180" w:rsidRPr="003F3B0A" w:rsidRDefault="00C83180" w:rsidP="00A53EA0">
            <w:pPr>
              <w:rPr>
                <w:rFonts w:ascii="Arial" w:hAnsi="Arial" w:cs="Arial"/>
                <w:sz w:val="18"/>
                <w:szCs w:val="18"/>
              </w:rPr>
            </w:pPr>
            <w:r w:rsidRPr="003F3B0A">
              <w:rPr>
                <w:rFonts w:ascii="Arial" w:hAnsi="Arial" w:cs="Arial"/>
                <w:sz w:val="18"/>
                <w:szCs w:val="18"/>
              </w:rPr>
              <w:t>DRV/r es no inferior a LPV/r y cumple criterios de superioridad para CV&lt;50 cop/mL y 400 cop/mL</w:t>
            </w:r>
          </w:p>
          <w:p w14:paraId="279B4FEF" w14:textId="77777777" w:rsidR="00C83180" w:rsidRPr="003F3B0A" w:rsidRDefault="00C83180" w:rsidP="00A53EA0">
            <w:pPr>
              <w:rPr>
                <w:rFonts w:ascii="Arial" w:hAnsi="Arial" w:cs="Arial"/>
                <w:sz w:val="18"/>
                <w:szCs w:val="18"/>
              </w:rPr>
            </w:pPr>
          </w:p>
        </w:tc>
        <w:tc>
          <w:tcPr>
            <w:tcW w:w="2632" w:type="dxa"/>
          </w:tcPr>
          <w:p w14:paraId="0C564B4F" w14:textId="77777777" w:rsidR="00C83180" w:rsidRPr="003F3B0A" w:rsidRDefault="00C83180" w:rsidP="00A53EA0">
            <w:pPr>
              <w:rPr>
                <w:rFonts w:ascii="Arial" w:hAnsi="Arial" w:cs="Arial"/>
                <w:sz w:val="18"/>
                <w:szCs w:val="18"/>
              </w:rPr>
            </w:pPr>
            <w:r w:rsidRPr="003F3B0A">
              <w:rPr>
                <w:rFonts w:ascii="Arial" w:hAnsi="Arial" w:cs="Arial"/>
                <w:sz w:val="18"/>
                <w:szCs w:val="18"/>
              </w:rPr>
              <w:t>- DRV/r &gt; LPV/r si CV&gt; 5 log</w:t>
            </w:r>
            <w:r w:rsidRPr="003F3B0A">
              <w:rPr>
                <w:rFonts w:ascii="Arial" w:hAnsi="Arial" w:cs="Arial"/>
                <w:sz w:val="18"/>
                <w:szCs w:val="18"/>
                <w:vertAlign w:val="subscript"/>
              </w:rPr>
              <w:t>10</w:t>
            </w:r>
          </w:p>
          <w:p w14:paraId="6593D41D" w14:textId="77777777" w:rsidR="00C83180" w:rsidRPr="003F3B0A" w:rsidRDefault="00C83180" w:rsidP="00A53EA0">
            <w:pPr>
              <w:rPr>
                <w:rFonts w:ascii="Arial" w:hAnsi="Arial" w:cs="Arial"/>
                <w:sz w:val="18"/>
                <w:szCs w:val="18"/>
              </w:rPr>
            </w:pPr>
            <w:r w:rsidRPr="003F3B0A">
              <w:rPr>
                <w:rFonts w:ascii="Arial" w:hAnsi="Arial" w:cs="Arial"/>
                <w:sz w:val="18"/>
                <w:szCs w:val="18"/>
              </w:rPr>
              <w:t>- FV 10% (DRV), 22% (LPV)</w:t>
            </w:r>
          </w:p>
          <w:p w14:paraId="733D4223" w14:textId="77777777" w:rsidR="00C83180" w:rsidRPr="003F3B0A" w:rsidRDefault="00C83180" w:rsidP="00A53EA0">
            <w:pPr>
              <w:rPr>
                <w:rFonts w:ascii="Arial" w:hAnsi="Arial" w:cs="Arial"/>
                <w:sz w:val="18"/>
                <w:szCs w:val="18"/>
              </w:rPr>
            </w:pPr>
            <w:r w:rsidRPr="003F3B0A">
              <w:rPr>
                <w:rFonts w:ascii="Arial" w:hAnsi="Arial" w:cs="Arial"/>
                <w:sz w:val="18"/>
                <w:szCs w:val="18"/>
              </w:rPr>
              <w:t>- MR a IP e ITIAN más frecuentes con LPV</w:t>
            </w:r>
          </w:p>
          <w:p w14:paraId="101F1E3F" w14:textId="77777777" w:rsidR="00C83180" w:rsidRPr="003F3B0A" w:rsidRDefault="00C83180" w:rsidP="00A53EA0">
            <w:pPr>
              <w:rPr>
                <w:rFonts w:ascii="Arial" w:hAnsi="Arial" w:cs="Arial"/>
                <w:sz w:val="18"/>
                <w:szCs w:val="18"/>
              </w:rPr>
            </w:pPr>
          </w:p>
        </w:tc>
      </w:tr>
      <w:tr w:rsidR="00C83180" w:rsidRPr="003F3B0A" w14:paraId="33500DA3" w14:textId="77777777" w:rsidTr="00A53EA0">
        <w:trPr>
          <w:tblHeader/>
          <w:jc w:val="center"/>
        </w:trPr>
        <w:tc>
          <w:tcPr>
            <w:tcW w:w="1457" w:type="dxa"/>
          </w:tcPr>
          <w:p w14:paraId="3FCA5B2E" w14:textId="77777777" w:rsidR="00C83180" w:rsidRPr="003F3B0A" w:rsidRDefault="00C83180" w:rsidP="00A53EA0">
            <w:pPr>
              <w:rPr>
                <w:rFonts w:ascii="Arial" w:hAnsi="Arial" w:cs="Arial"/>
                <w:b/>
                <w:bCs/>
                <w:sz w:val="18"/>
                <w:szCs w:val="18"/>
                <w:lang w:val="en-US"/>
              </w:rPr>
            </w:pPr>
            <w:r w:rsidRPr="003F3B0A">
              <w:rPr>
                <w:rFonts w:ascii="Arial" w:hAnsi="Arial" w:cs="Arial"/>
                <w:b/>
                <w:bCs/>
                <w:sz w:val="18"/>
                <w:szCs w:val="18"/>
                <w:lang w:val="en-US"/>
              </w:rPr>
              <w:t>DRV/r</w:t>
            </w:r>
          </w:p>
          <w:p w14:paraId="5118D1E5" w14:textId="77777777" w:rsidR="00C83180" w:rsidRPr="003F3B0A" w:rsidRDefault="00C83180" w:rsidP="00A53EA0">
            <w:pPr>
              <w:rPr>
                <w:rFonts w:ascii="Arial" w:hAnsi="Arial" w:cs="Arial"/>
                <w:b/>
                <w:bCs/>
                <w:sz w:val="18"/>
                <w:szCs w:val="18"/>
                <w:lang w:val="en-US"/>
              </w:rPr>
            </w:pPr>
            <w:r w:rsidRPr="003F3B0A">
              <w:rPr>
                <w:rFonts w:ascii="Arial" w:hAnsi="Arial" w:cs="Arial"/>
                <w:b/>
                <w:bCs/>
                <w:sz w:val="18"/>
                <w:szCs w:val="18"/>
                <w:lang w:val="en-US"/>
              </w:rPr>
              <w:t>(POWER 1/2</w:t>
            </w:r>
            <w:r w:rsidRPr="003F3B0A">
              <w:rPr>
                <w:rFonts w:ascii="Arial" w:hAnsi="Arial" w:cs="Arial"/>
                <w:b/>
                <w:bCs/>
                <w:noProof/>
                <w:sz w:val="18"/>
                <w:szCs w:val="18"/>
                <w:vertAlign w:val="superscript"/>
                <w:lang w:val="en-US"/>
              </w:rPr>
              <w:t>23</w:t>
            </w:r>
            <w:r w:rsidRPr="003F3B0A">
              <w:rPr>
                <w:rFonts w:ascii="Arial" w:hAnsi="Arial" w:cs="Arial"/>
                <w:b/>
                <w:bCs/>
                <w:sz w:val="18"/>
                <w:szCs w:val="18"/>
                <w:lang w:val="en-US"/>
              </w:rPr>
              <w:t>)</w:t>
            </w:r>
          </w:p>
        </w:tc>
        <w:tc>
          <w:tcPr>
            <w:tcW w:w="1770" w:type="dxa"/>
          </w:tcPr>
          <w:p w14:paraId="40392465"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CV &gt;1000cop/mL</w:t>
            </w:r>
          </w:p>
          <w:p w14:paraId="6B36073D"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FV múltiples</w:t>
            </w:r>
          </w:p>
          <w:p w14:paraId="12C0931E"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MR a IP ≥ 1</w:t>
            </w:r>
          </w:p>
        </w:tc>
        <w:tc>
          <w:tcPr>
            <w:tcW w:w="1559" w:type="dxa"/>
            <w:gridSpan w:val="2"/>
          </w:tcPr>
          <w:p w14:paraId="00D8A55E"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Fase IIB </w:t>
            </w:r>
          </w:p>
          <w:p w14:paraId="124CB4DC"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23C307C2" w14:textId="77777777" w:rsidR="00C83180" w:rsidRPr="003F3B0A" w:rsidRDefault="00C83180" w:rsidP="00A53EA0">
            <w:pPr>
              <w:rPr>
                <w:rFonts w:ascii="Arial" w:hAnsi="Arial" w:cs="Arial"/>
                <w:sz w:val="18"/>
                <w:szCs w:val="18"/>
              </w:rPr>
            </w:pPr>
            <w:r w:rsidRPr="003F3B0A">
              <w:rPr>
                <w:rFonts w:ascii="Arial" w:hAnsi="Arial" w:cs="Arial"/>
                <w:sz w:val="18"/>
                <w:szCs w:val="18"/>
              </w:rPr>
              <w:t>No ciego</w:t>
            </w:r>
          </w:p>
          <w:p w14:paraId="0C0D666C" w14:textId="77777777" w:rsidR="00C83180" w:rsidRPr="003F3B0A" w:rsidRDefault="00C83180" w:rsidP="00A53EA0">
            <w:pPr>
              <w:rPr>
                <w:rFonts w:ascii="Arial" w:hAnsi="Arial" w:cs="Arial"/>
                <w:sz w:val="18"/>
                <w:szCs w:val="18"/>
              </w:rPr>
            </w:pPr>
            <w:r w:rsidRPr="003F3B0A">
              <w:rPr>
                <w:rFonts w:ascii="Arial" w:hAnsi="Arial" w:cs="Arial"/>
                <w:sz w:val="18"/>
                <w:szCs w:val="18"/>
              </w:rPr>
              <w:t>ITT-LOVR</w:t>
            </w:r>
          </w:p>
        </w:tc>
        <w:tc>
          <w:tcPr>
            <w:tcW w:w="1489" w:type="dxa"/>
            <w:gridSpan w:val="2"/>
          </w:tcPr>
          <w:p w14:paraId="791EFD42"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DRV/r BID 600/100 +TO</w:t>
            </w:r>
          </w:p>
          <w:p w14:paraId="34E6C221"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IP/p comparador +TO</w:t>
            </w:r>
          </w:p>
        </w:tc>
        <w:tc>
          <w:tcPr>
            <w:tcW w:w="921" w:type="dxa"/>
          </w:tcPr>
          <w:p w14:paraId="13B23280" w14:textId="77777777" w:rsidR="00C83180" w:rsidRPr="003F3B0A" w:rsidRDefault="00C83180" w:rsidP="00A53EA0">
            <w:pPr>
              <w:rPr>
                <w:rFonts w:ascii="Arial" w:hAnsi="Arial" w:cs="Arial"/>
                <w:sz w:val="18"/>
                <w:szCs w:val="18"/>
              </w:rPr>
            </w:pPr>
            <w:r w:rsidRPr="003F3B0A">
              <w:rPr>
                <w:rFonts w:ascii="Arial" w:hAnsi="Arial" w:cs="Arial"/>
                <w:sz w:val="18"/>
                <w:szCs w:val="18"/>
              </w:rPr>
              <w:t>131</w:t>
            </w:r>
          </w:p>
          <w:p w14:paraId="3648090E" w14:textId="77777777" w:rsidR="00C83180" w:rsidRPr="003F3B0A" w:rsidRDefault="00C83180" w:rsidP="00A53EA0">
            <w:pPr>
              <w:rPr>
                <w:rFonts w:ascii="Arial" w:hAnsi="Arial" w:cs="Arial"/>
                <w:sz w:val="18"/>
                <w:szCs w:val="18"/>
              </w:rPr>
            </w:pPr>
            <w:r w:rsidRPr="003F3B0A">
              <w:rPr>
                <w:rFonts w:ascii="Arial" w:hAnsi="Arial" w:cs="Arial"/>
                <w:sz w:val="18"/>
                <w:szCs w:val="18"/>
              </w:rPr>
              <w:t>124</w:t>
            </w:r>
          </w:p>
        </w:tc>
        <w:tc>
          <w:tcPr>
            <w:tcW w:w="2600" w:type="dxa"/>
          </w:tcPr>
          <w:p w14:paraId="04902C8A"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xml:space="preserve">- 45%: &lt;50cop/mL </w:t>
            </w:r>
          </w:p>
          <w:p w14:paraId="2A09646E"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xml:space="preserve">- 10%: &lt;50cop/mL </w:t>
            </w:r>
          </w:p>
          <w:p w14:paraId="455E8F93" w14:textId="77777777" w:rsidR="00C83180" w:rsidRPr="003F3B0A" w:rsidRDefault="00C83180" w:rsidP="00A53EA0">
            <w:pPr>
              <w:rPr>
                <w:rFonts w:ascii="Arial" w:hAnsi="Arial" w:cs="Arial"/>
                <w:sz w:val="18"/>
                <w:szCs w:val="18"/>
                <w:lang w:val="en-US"/>
              </w:rPr>
            </w:pPr>
            <w:r w:rsidRPr="003F3B0A">
              <w:rPr>
                <w:rFonts w:ascii="Arial" w:hAnsi="Arial" w:cs="Arial"/>
                <w:sz w:val="18"/>
                <w:szCs w:val="18"/>
              </w:rPr>
              <w:t>Δ</w:t>
            </w:r>
            <w:r w:rsidRPr="003F3B0A">
              <w:rPr>
                <w:rFonts w:ascii="Arial" w:hAnsi="Arial" w:cs="Arial"/>
                <w:sz w:val="18"/>
                <w:szCs w:val="18"/>
                <w:lang w:val="en-US"/>
              </w:rPr>
              <w:t xml:space="preserve"> 37% (IC95%: 25-46) &lt;50cop/mL </w:t>
            </w:r>
          </w:p>
        </w:tc>
        <w:tc>
          <w:tcPr>
            <w:tcW w:w="2502" w:type="dxa"/>
          </w:tcPr>
          <w:p w14:paraId="57B6DC68" w14:textId="77777777" w:rsidR="00C83180" w:rsidRPr="00C43C1A" w:rsidRDefault="00C83180" w:rsidP="00A53EA0">
            <w:pPr>
              <w:rPr>
                <w:rFonts w:ascii="Arial" w:hAnsi="Arial" w:cs="Arial"/>
                <w:sz w:val="18"/>
                <w:szCs w:val="18"/>
                <w:lang w:val="en-US"/>
              </w:rPr>
            </w:pPr>
            <w:r w:rsidRPr="00C43C1A">
              <w:rPr>
                <w:rFonts w:ascii="Arial" w:hAnsi="Arial" w:cs="Arial"/>
                <w:sz w:val="18"/>
                <w:szCs w:val="18"/>
                <w:lang w:val="en-US"/>
              </w:rPr>
              <w:t>DRV/r 600/100 BID &gt; IP/p comparador</w:t>
            </w:r>
          </w:p>
        </w:tc>
        <w:tc>
          <w:tcPr>
            <w:tcW w:w="2632" w:type="dxa"/>
          </w:tcPr>
          <w:p w14:paraId="1D32721A" w14:textId="77777777" w:rsidR="00C83180" w:rsidRPr="003F3B0A" w:rsidRDefault="00C83180" w:rsidP="00A53EA0">
            <w:pPr>
              <w:rPr>
                <w:rFonts w:ascii="Arial" w:hAnsi="Arial" w:cs="Arial"/>
                <w:sz w:val="18"/>
                <w:szCs w:val="18"/>
              </w:rPr>
            </w:pPr>
            <w:r w:rsidRPr="003F3B0A">
              <w:rPr>
                <w:rFonts w:ascii="Arial" w:hAnsi="Arial" w:cs="Arial"/>
                <w:sz w:val="18"/>
                <w:szCs w:val="18"/>
              </w:rPr>
              <w:t>- La superioridad de DRV/r fue independiente del uso de ENF, CV basal, nº MR a IP o fármacos activos en la TO</w:t>
            </w:r>
          </w:p>
        </w:tc>
      </w:tr>
      <w:tr w:rsidR="00C83180" w:rsidRPr="003F3B0A" w14:paraId="6F2B30CA" w14:textId="77777777" w:rsidTr="00A53EA0">
        <w:trPr>
          <w:tblHeader/>
          <w:jc w:val="center"/>
        </w:trPr>
        <w:tc>
          <w:tcPr>
            <w:tcW w:w="1457" w:type="dxa"/>
          </w:tcPr>
          <w:p w14:paraId="2127F6EA"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 xml:space="preserve">RAL </w:t>
            </w:r>
          </w:p>
          <w:p w14:paraId="15383A8A"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(BENCHMRK 1/2</w:t>
            </w:r>
            <w:r w:rsidRPr="003F3B0A">
              <w:rPr>
                <w:rFonts w:ascii="Arial" w:hAnsi="Arial" w:cs="Arial"/>
                <w:b/>
                <w:bCs/>
                <w:noProof/>
                <w:sz w:val="18"/>
                <w:szCs w:val="18"/>
                <w:vertAlign w:val="superscript"/>
              </w:rPr>
              <w:t>20</w:t>
            </w:r>
            <w:r w:rsidRPr="003F3B0A">
              <w:rPr>
                <w:rFonts w:ascii="Arial" w:hAnsi="Arial" w:cs="Arial"/>
                <w:b/>
                <w:bCs/>
                <w:sz w:val="18"/>
                <w:szCs w:val="18"/>
              </w:rPr>
              <w:t>)</w:t>
            </w:r>
          </w:p>
        </w:tc>
        <w:tc>
          <w:tcPr>
            <w:tcW w:w="1770" w:type="dxa"/>
          </w:tcPr>
          <w:p w14:paraId="292A7735" w14:textId="77777777" w:rsidR="00C83180" w:rsidRPr="003F3B0A" w:rsidRDefault="00C83180" w:rsidP="00A53EA0">
            <w:pPr>
              <w:rPr>
                <w:rFonts w:ascii="Arial" w:hAnsi="Arial" w:cs="Arial"/>
                <w:sz w:val="18"/>
                <w:szCs w:val="18"/>
              </w:rPr>
            </w:pPr>
            <w:r w:rsidRPr="003F3B0A">
              <w:rPr>
                <w:rFonts w:ascii="Arial" w:hAnsi="Arial" w:cs="Arial"/>
                <w:sz w:val="18"/>
                <w:szCs w:val="18"/>
              </w:rPr>
              <w:t>- CV &gt;1000 cop/mL, mientras reciben TAR</w:t>
            </w:r>
          </w:p>
          <w:p w14:paraId="5D2BF322" w14:textId="77777777" w:rsidR="00C83180" w:rsidRPr="003F3B0A" w:rsidRDefault="00C83180" w:rsidP="00A53EA0">
            <w:pPr>
              <w:rPr>
                <w:rFonts w:ascii="Arial" w:hAnsi="Arial" w:cs="Arial"/>
                <w:sz w:val="18"/>
                <w:szCs w:val="18"/>
              </w:rPr>
            </w:pPr>
            <w:r w:rsidRPr="003F3B0A">
              <w:rPr>
                <w:rFonts w:ascii="Arial" w:hAnsi="Arial" w:cs="Arial"/>
                <w:sz w:val="18"/>
                <w:szCs w:val="18"/>
              </w:rPr>
              <w:t>- Resistencia documentada  al menos a un fármaco de las 3 familias: ITIAN, ITINN e IP</w:t>
            </w:r>
          </w:p>
        </w:tc>
        <w:tc>
          <w:tcPr>
            <w:tcW w:w="1559" w:type="dxa"/>
            <w:gridSpan w:val="2"/>
          </w:tcPr>
          <w:p w14:paraId="7A1B591B" w14:textId="77777777" w:rsidR="00C83180" w:rsidRPr="003F3B0A" w:rsidRDefault="00C83180" w:rsidP="00A53EA0">
            <w:pPr>
              <w:rPr>
                <w:rFonts w:ascii="Arial" w:hAnsi="Arial" w:cs="Arial"/>
                <w:sz w:val="18"/>
                <w:szCs w:val="18"/>
              </w:rPr>
            </w:pPr>
            <w:r w:rsidRPr="003F3B0A">
              <w:rPr>
                <w:rFonts w:ascii="Arial" w:hAnsi="Arial" w:cs="Arial"/>
                <w:sz w:val="18"/>
                <w:szCs w:val="18"/>
              </w:rPr>
              <w:t>Fase III</w:t>
            </w:r>
          </w:p>
          <w:p w14:paraId="06366762"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7028D6C4" w14:textId="77777777" w:rsidR="00C83180" w:rsidRPr="003F3B0A" w:rsidRDefault="00C83180" w:rsidP="00A53EA0">
            <w:pPr>
              <w:rPr>
                <w:rFonts w:ascii="Arial" w:hAnsi="Arial" w:cs="Arial"/>
                <w:sz w:val="18"/>
                <w:szCs w:val="18"/>
              </w:rPr>
            </w:pPr>
            <w:r w:rsidRPr="003F3B0A">
              <w:rPr>
                <w:rFonts w:ascii="Arial" w:hAnsi="Arial" w:cs="Arial"/>
                <w:sz w:val="18"/>
                <w:szCs w:val="18"/>
              </w:rPr>
              <w:t>Doble ciego</w:t>
            </w:r>
          </w:p>
          <w:p w14:paraId="69C417EF" w14:textId="77777777" w:rsidR="00C83180" w:rsidRPr="003F3B0A" w:rsidRDefault="00C83180" w:rsidP="00A53EA0">
            <w:pPr>
              <w:rPr>
                <w:rFonts w:ascii="Arial" w:hAnsi="Arial" w:cs="Arial"/>
                <w:sz w:val="18"/>
                <w:szCs w:val="18"/>
              </w:rPr>
            </w:pPr>
          </w:p>
        </w:tc>
        <w:tc>
          <w:tcPr>
            <w:tcW w:w="1489" w:type="dxa"/>
            <w:gridSpan w:val="2"/>
          </w:tcPr>
          <w:p w14:paraId="22D71A0C" w14:textId="77777777" w:rsidR="00C83180" w:rsidRPr="003F3B0A" w:rsidRDefault="00C83180" w:rsidP="00A53EA0">
            <w:pPr>
              <w:rPr>
                <w:rFonts w:ascii="Arial" w:hAnsi="Arial" w:cs="Arial"/>
                <w:sz w:val="18"/>
                <w:szCs w:val="18"/>
              </w:rPr>
            </w:pPr>
            <w:r w:rsidRPr="003F3B0A">
              <w:rPr>
                <w:rFonts w:ascii="Arial" w:hAnsi="Arial" w:cs="Arial"/>
                <w:sz w:val="18"/>
                <w:szCs w:val="18"/>
              </w:rPr>
              <w:t>- RAL + TO</w:t>
            </w:r>
          </w:p>
          <w:p w14:paraId="310EF941" w14:textId="77777777" w:rsidR="00C83180" w:rsidRPr="003F3B0A" w:rsidRDefault="00C83180" w:rsidP="00A53EA0">
            <w:pPr>
              <w:rPr>
                <w:rFonts w:ascii="Arial" w:hAnsi="Arial" w:cs="Arial"/>
                <w:sz w:val="18"/>
                <w:szCs w:val="18"/>
              </w:rPr>
            </w:pPr>
            <w:r w:rsidRPr="003F3B0A">
              <w:rPr>
                <w:rFonts w:ascii="Arial" w:hAnsi="Arial" w:cs="Arial"/>
                <w:sz w:val="18"/>
                <w:szCs w:val="18"/>
              </w:rPr>
              <w:t>- Placebo + TO</w:t>
            </w:r>
          </w:p>
        </w:tc>
        <w:tc>
          <w:tcPr>
            <w:tcW w:w="921" w:type="dxa"/>
          </w:tcPr>
          <w:p w14:paraId="267D039D" w14:textId="77777777" w:rsidR="00C83180" w:rsidRPr="003F3B0A" w:rsidRDefault="00C83180" w:rsidP="00A53EA0">
            <w:pPr>
              <w:rPr>
                <w:rFonts w:ascii="Arial" w:hAnsi="Arial" w:cs="Arial"/>
                <w:sz w:val="18"/>
                <w:szCs w:val="18"/>
              </w:rPr>
            </w:pPr>
            <w:r w:rsidRPr="003F3B0A">
              <w:rPr>
                <w:rFonts w:ascii="Arial" w:hAnsi="Arial" w:cs="Arial"/>
                <w:sz w:val="18"/>
                <w:szCs w:val="18"/>
              </w:rPr>
              <w:t>462</w:t>
            </w:r>
          </w:p>
          <w:p w14:paraId="25005F13" w14:textId="77777777" w:rsidR="00C83180" w:rsidRPr="003F3B0A" w:rsidRDefault="00C83180" w:rsidP="00A53EA0">
            <w:pPr>
              <w:rPr>
                <w:rFonts w:ascii="Arial" w:hAnsi="Arial" w:cs="Arial"/>
                <w:sz w:val="18"/>
                <w:szCs w:val="18"/>
              </w:rPr>
            </w:pPr>
            <w:r w:rsidRPr="003F3B0A">
              <w:rPr>
                <w:rFonts w:ascii="Arial" w:hAnsi="Arial" w:cs="Arial"/>
                <w:sz w:val="18"/>
                <w:szCs w:val="18"/>
              </w:rPr>
              <w:t>237</w:t>
            </w:r>
          </w:p>
        </w:tc>
        <w:tc>
          <w:tcPr>
            <w:tcW w:w="2600" w:type="dxa"/>
          </w:tcPr>
          <w:p w14:paraId="1A4C28DB" w14:textId="77777777" w:rsidR="00C83180" w:rsidRPr="003F3B0A" w:rsidRDefault="00C83180" w:rsidP="00A53EA0">
            <w:pPr>
              <w:rPr>
                <w:rFonts w:ascii="Arial" w:hAnsi="Arial" w:cs="Arial"/>
                <w:sz w:val="18"/>
                <w:szCs w:val="18"/>
              </w:rPr>
            </w:pPr>
            <w:r w:rsidRPr="003F3B0A">
              <w:rPr>
                <w:rFonts w:ascii="Arial" w:hAnsi="Arial" w:cs="Arial"/>
                <w:sz w:val="18"/>
                <w:szCs w:val="18"/>
              </w:rPr>
              <w:t>- 62,1%: &lt; 50 cop/mL en sem 48</w:t>
            </w:r>
          </w:p>
          <w:p w14:paraId="76C821F0" w14:textId="77777777" w:rsidR="00C83180" w:rsidRPr="003F3B0A" w:rsidRDefault="00C83180" w:rsidP="00A53EA0">
            <w:pPr>
              <w:rPr>
                <w:rFonts w:ascii="Arial" w:hAnsi="Arial" w:cs="Arial"/>
                <w:sz w:val="18"/>
                <w:szCs w:val="18"/>
              </w:rPr>
            </w:pPr>
            <w:r w:rsidRPr="003F3B0A">
              <w:rPr>
                <w:rFonts w:ascii="Arial" w:hAnsi="Arial" w:cs="Arial"/>
                <w:sz w:val="18"/>
                <w:szCs w:val="18"/>
              </w:rPr>
              <w:t>- 32,9%: &lt;50 cop/mL en sem 48</w:t>
            </w:r>
          </w:p>
          <w:p w14:paraId="76CADFDB" w14:textId="77777777" w:rsidR="00C83180" w:rsidRPr="003F3B0A" w:rsidRDefault="00C83180" w:rsidP="00A53EA0">
            <w:pPr>
              <w:rPr>
                <w:rFonts w:ascii="Arial" w:hAnsi="Arial" w:cs="Arial"/>
                <w:sz w:val="18"/>
                <w:szCs w:val="18"/>
              </w:rPr>
            </w:pPr>
            <w:r w:rsidRPr="003F3B0A">
              <w:rPr>
                <w:rFonts w:ascii="Arial" w:hAnsi="Arial" w:cs="Arial"/>
                <w:sz w:val="18"/>
                <w:szCs w:val="18"/>
              </w:rPr>
              <w:t>p &lt;0,001</w:t>
            </w:r>
          </w:p>
        </w:tc>
        <w:tc>
          <w:tcPr>
            <w:tcW w:w="2502" w:type="dxa"/>
          </w:tcPr>
          <w:p w14:paraId="5FFAD582" w14:textId="77777777" w:rsidR="00C83180" w:rsidRPr="003F3B0A" w:rsidRDefault="00C83180" w:rsidP="00A53EA0">
            <w:pPr>
              <w:rPr>
                <w:rFonts w:ascii="Arial" w:hAnsi="Arial" w:cs="Arial"/>
                <w:sz w:val="18"/>
                <w:szCs w:val="18"/>
              </w:rPr>
            </w:pPr>
            <w:r w:rsidRPr="003F3B0A">
              <w:rPr>
                <w:rFonts w:ascii="Arial" w:hAnsi="Arial" w:cs="Arial"/>
                <w:sz w:val="18"/>
                <w:szCs w:val="18"/>
              </w:rPr>
              <w:t>En pacientes con opciones limitadas, RAL + TO es superior a placebo + TO</w:t>
            </w:r>
          </w:p>
        </w:tc>
        <w:tc>
          <w:tcPr>
            <w:tcW w:w="2632" w:type="dxa"/>
          </w:tcPr>
          <w:p w14:paraId="34DDCD4B" w14:textId="77777777" w:rsidR="00C83180" w:rsidRPr="003F3B0A" w:rsidRDefault="00C83180" w:rsidP="00A53EA0">
            <w:pPr>
              <w:rPr>
                <w:rFonts w:ascii="Arial" w:hAnsi="Arial" w:cs="Arial"/>
                <w:sz w:val="18"/>
                <w:szCs w:val="18"/>
              </w:rPr>
            </w:pPr>
            <w:r w:rsidRPr="003F3B0A">
              <w:rPr>
                <w:rFonts w:ascii="Arial" w:hAnsi="Arial" w:cs="Arial"/>
                <w:sz w:val="18"/>
                <w:szCs w:val="18"/>
              </w:rPr>
              <w:t>- Cuando RAL se asoció a DRV/r + ENF la eficacia fue del 98%</w:t>
            </w:r>
          </w:p>
          <w:p w14:paraId="3C1993C2" w14:textId="77777777" w:rsidR="00C83180" w:rsidRPr="003F3B0A" w:rsidRDefault="00C83180" w:rsidP="00A53EA0">
            <w:pPr>
              <w:rPr>
                <w:rFonts w:ascii="Arial" w:hAnsi="Arial" w:cs="Arial"/>
                <w:sz w:val="18"/>
                <w:szCs w:val="18"/>
              </w:rPr>
            </w:pPr>
            <w:r w:rsidRPr="003F3B0A">
              <w:rPr>
                <w:rFonts w:ascii="Arial" w:hAnsi="Arial" w:cs="Arial"/>
                <w:sz w:val="18"/>
                <w:szCs w:val="18"/>
              </w:rPr>
              <w:t>- La seguridad de RAL fue similar a placebo</w:t>
            </w:r>
          </w:p>
          <w:p w14:paraId="3C464754" w14:textId="77777777" w:rsidR="00C83180" w:rsidRPr="003F3B0A" w:rsidRDefault="00C83180" w:rsidP="00A53EA0">
            <w:pPr>
              <w:rPr>
                <w:rFonts w:ascii="Arial" w:hAnsi="Arial" w:cs="Arial"/>
                <w:sz w:val="18"/>
                <w:szCs w:val="18"/>
              </w:rPr>
            </w:pPr>
            <w:r w:rsidRPr="003F3B0A">
              <w:rPr>
                <w:rFonts w:ascii="Arial" w:hAnsi="Arial" w:cs="Arial"/>
                <w:sz w:val="18"/>
                <w:szCs w:val="18"/>
              </w:rPr>
              <w:t>- RAL presenta una barrera genética baja</w:t>
            </w:r>
          </w:p>
        </w:tc>
      </w:tr>
      <w:tr w:rsidR="00C83180" w:rsidRPr="003F3B0A" w14:paraId="717A77EF" w14:textId="77777777" w:rsidTr="00A53EA0">
        <w:trPr>
          <w:tblHeader/>
          <w:jc w:val="center"/>
        </w:trPr>
        <w:tc>
          <w:tcPr>
            <w:tcW w:w="1457" w:type="dxa"/>
          </w:tcPr>
          <w:p w14:paraId="66FB95F7"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ETV</w:t>
            </w:r>
          </w:p>
          <w:p w14:paraId="5CB503D0"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(DUET 1/2</w:t>
            </w:r>
            <w:r w:rsidRPr="003F3B0A">
              <w:rPr>
                <w:rFonts w:ascii="Arial" w:hAnsi="Arial" w:cs="Arial"/>
                <w:b/>
                <w:bCs/>
                <w:noProof/>
                <w:sz w:val="18"/>
                <w:szCs w:val="18"/>
                <w:vertAlign w:val="superscript"/>
              </w:rPr>
              <w:t>21,22</w:t>
            </w:r>
            <w:r w:rsidRPr="003F3B0A">
              <w:rPr>
                <w:rFonts w:ascii="Arial" w:hAnsi="Arial" w:cs="Arial"/>
                <w:b/>
                <w:bCs/>
                <w:sz w:val="18"/>
                <w:szCs w:val="18"/>
              </w:rPr>
              <w:t>)</w:t>
            </w:r>
          </w:p>
        </w:tc>
        <w:tc>
          <w:tcPr>
            <w:tcW w:w="1770" w:type="dxa"/>
          </w:tcPr>
          <w:p w14:paraId="27602FA9" w14:textId="77777777" w:rsidR="00C83180" w:rsidRPr="003F3B0A" w:rsidRDefault="00C83180" w:rsidP="00A53EA0">
            <w:pPr>
              <w:rPr>
                <w:rFonts w:ascii="Arial" w:hAnsi="Arial" w:cs="Arial"/>
                <w:sz w:val="18"/>
                <w:szCs w:val="18"/>
              </w:rPr>
            </w:pPr>
            <w:r w:rsidRPr="003F3B0A">
              <w:rPr>
                <w:rFonts w:ascii="Arial" w:hAnsi="Arial" w:cs="Arial"/>
                <w:sz w:val="18"/>
                <w:szCs w:val="18"/>
              </w:rPr>
              <w:t>- CV &gt; 5000 cop/mL</w:t>
            </w:r>
          </w:p>
          <w:p w14:paraId="30112BDB" w14:textId="77777777" w:rsidR="00C83180" w:rsidRPr="003F3B0A" w:rsidRDefault="00C83180" w:rsidP="00A53EA0">
            <w:pPr>
              <w:rPr>
                <w:rFonts w:ascii="Arial" w:hAnsi="Arial" w:cs="Arial"/>
                <w:sz w:val="18"/>
                <w:szCs w:val="18"/>
              </w:rPr>
            </w:pPr>
            <w:r w:rsidRPr="003F3B0A">
              <w:rPr>
                <w:rFonts w:ascii="Arial" w:hAnsi="Arial" w:cs="Arial"/>
                <w:sz w:val="18"/>
                <w:szCs w:val="18"/>
              </w:rPr>
              <w:t>- &gt; 8 sem con TAR</w:t>
            </w:r>
          </w:p>
          <w:p w14:paraId="1DCC32A6"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 1 MR ITIAN</w:t>
            </w:r>
          </w:p>
          <w:p w14:paraId="3DBFC5B9"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 3 MR IP</w:t>
            </w:r>
          </w:p>
        </w:tc>
        <w:tc>
          <w:tcPr>
            <w:tcW w:w="1559" w:type="dxa"/>
            <w:gridSpan w:val="2"/>
          </w:tcPr>
          <w:p w14:paraId="011125A0" w14:textId="77777777" w:rsidR="00C83180" w:rsidRPr="003F3B0A" w:rsidRDefault="00C83180" w:rsidP="00A53EA0">
            <w:pPr>
              <w:rPr>
                <w:rFonts w:ascii="Arial" w:hAnsi="Arial" w:cs="Arial"/>
                <w:sz w:val="18"/>
                <w:szCs w:val="18"/>
              </w:rPr>
            </w:pPr>
            <w:r w:rsidRPr="003F3B0A">
              <w:rPr>
                <w:rFonts w:ascii="Arial" w:hAnsi="Arial" w:cs="Arial"/>
                <w:sz w:val="18"/>
                <w:szCs w:val="18"/>
              </w:rPr>
              <w:t>Fase III</w:t>
            </w:r>
          </w:p>
          <w:p w14:paraId="09DD0F52"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00A16601" w14:textId="77777777" w:rsidR="00C83180" w:rsidRPr="003F3B0A" w:rsidRDefault="00C83180" w:rsidP="00A53EA0">
            <w:pPr>
              <w:rPr>
                <w:rFonts w:ascii="Arial" w:hAnsi="Arial" w:cs="Arial"/>
                <w:sz w:val="18"/>
                <w:szCs w:val="18"/>
              </w:rPr>
            </w:pPr>
            <w:r w:rsidRPr="003F3B0A">
              <w:rPr>
                <w:rFonts w:ascii="Arial" w:hAnsi="Arial" w:cs="Arial"/>
                <w:sz w:val="18"/>
                <w:szCs w:val="18"/>
              </w:rPr>
              <w:t>Doble ciego</w:t>
            </w:r>
          </w:p>
        </w:tc>
        <w:tc>
          <w:tcPr>
            <w:tcW w:w="1489" w:type="dxa"/>
            <w:gridSpan w:val="2"/>
          </w:tcPr>
          <w:p w14:paraId="4AD2EF9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DRV/r + ETV</w:t>
            </w:r>
          </w:p>
          <w:p w14:paraId="193E7765"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DRV/r + placebo</w:t>
            </w:r>
          </w:p>
          <w:p w14:paraId="0C772ADF" w14:textId="77777777" w:rsidR="00C83180" w:rsidRPr="003F3B0A" w:rsidRDefault="00C83180" w:rsidP="00A53EA0">
            <w:pPr>
              <w:rPr>
                <w:rFonts w:ascii="Arial" w:hAnsi="Arial" w:cs="Arial"/>
                <w:sz w:val="18"/>
                <w:szCs w:val="18"/>
              </w:rPr>
            </w:pPr>
            <w:r w:rsidRPr="003F3B0A">
              <w:rPr>
                <w:rFonts w:ascii="Arial" w:hAnsi="Arial" w:cs="Arial"/>
                <w:sz w:val="18"/>
                <w:szCs w:val="18"/>
              </w:rPr>
              <w:t>(ambos + ITIAN)</w:t>
            </w:r>
          </w:p>
        </w:tc>
        <w:tc>
          <w:tcPr>
            <w:tcW w:w="921" w:type="dxa"/>
          </w:tcPr>
          <w:p w14:paraId="52B463EF" w14:textId="77777777" w:rsidR="00C83180" w:rsidRPr="003F3B0A" w:rsidRDefault="00C83180" w:rsidP="00A53EA0">
            <w:pPr>
              <w:rPr>
                <w:rFonts w:ascii="Arial" w:hAnsi="Arial" w:cs="Arial"/>
                <w:sz w:val="18"/>
                <w:szCs w:val="18"/>
              </w:rPr>
            </w:pPr>
            <w:r w:rsidRPr="003F3B0A">
              <w:rPr>
                <w:rFonts w:ascii="Arial" w:hAnsi="Arial" w:cs="Arial"/>
                <w:sz w:val="18"/>
                <w:szCs w:val="18"/>
              </w:rPr>
              <w:t>599</w:t>
            </w:r>
          </w:p>
          <w:p w14:paraId="6D6AA721" w14:textId="77777777" w:rsidR="00C83180" w:rsidRPr="003F3B0A" w:rsidRDefault="00C83180" w:rsidP="00A53EA0">
            <w:pPr>
              <w:rPr>
                <w:rFonts w:ascii="Arial" w:hAnsi="Arial" w:cs="Arial"/>
                <w:sz w:val="18"/>
                <w:szCs w:val="18"/>
              </w:rPr>
            </w:pPr>
            <w:r w:rsidRPr="003F3B0A">
              <w:rPr>
                <w:rFonts w:ascii="Arial" w:hAnsi="Arial" w:cs="Arial"/>
                <w:sz w:val="18"/>
                <w:szCs w:val="18"/>
              </w:rPr>
              <w:t>604</w:t>
            </w:r>
          </w:p>
        </w:tc>
        <w:tc>
          <w:tcPr>
            <w:tcW w:w="2600" w:type="dxa"/>
          </w:tcPr>
          <w:p w14:paraId="2F9A9EFD"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- 61%: &lt;50cop/mL</w:t>
            </w:r>
          </w:p>
          <w:p w14:paraId="59D22F71"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- 40%: &lt;50 cop/mL</w:t>
            </w:r>
          </w:p>
          <w:p w14:paraId="6F72F297"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p&lt;0,0001</w:t>
            </w:r>
          </w:p>
        </w:tc>
        <w:tc>
          <w:tcPr>
            <w:tcW w:w="2502" w:type="dxa"/>
          </w:tcPr>
          <w:p w14:paraId="27D18451" w14:textId="77777777" w:rsidR="00C83180" w:rsidRPr="003F3B0A" w:rsidRDefault="00C83180" w:rsidP="00A53EA0">
            <w:pPr>
              <w:rPr>
                <w:rFonts w:ascii="Arial" w:hAnsi="Arial" w:cs="Arial"/>
                <w:sz w:val="18"/>
                <w:szCs w:val="18"/>
              </w:rPr>
            </w:pPr>
            <w:r w:rsidRPr="003F3B0A">
              <w:rPr>
                <w:rFonts w:ascii="Arial" w:hAnsi="Arial" w:cs="Arial"/>
                <w:sz w:val="18"/>
                <w:szCs w:val="18"/>
              </w:rPr>
              <w:t>-ETV es superior a placebo en pacientes con FV y experiencia a varios TAR</w:t>
            </w:r>
          </w:p>
        </w:tc>
        <w:tc>
          <w:tcPr>
            <w:tcW w:w="2632" w:type="dxa"/>
          </w:tcPr>
          <w:p w14:paraId="2BCDDBD6" w14:textId="77777777" w:rsidR="00C83180" w:rsidRPr="003F3B0A" w:rsidRDefault="00C83180" w:rsidP="00A53EA0">
            <w:pPr>
              <w:rPr>
                <w:rFonts w:ascii="Arial" w:hAnsi="Arial" w:cs="Arial"/>
                <w:sz w:val="18"/>
                <w:szCs w:val="18"/>
              </w:rPr>
            </w:pPr>
            <w:r w:rsidRPr="003F3B0A">
              <w:rPr>
                <w:rFonts w:ascii="Arial" w:hAnsi="Arial" w:cs="Arial"/>
                <w:sz w:val="18"/>
                <w:szCs w:val="18"/>
              </w:rPr>
              <w:t>- 91% de los pacientes con CV &lt;50 cop/mL en sem 48 persisten en la sem 96 con &lt;50 cop/mL</w:t>
            </w:r>
          </w:p>
          <w:p w14:paraId="1377745D"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 Los eventos de sida y muerte disminuyeron en pacientes </w:t>
            </w:r>
          </w:p>
          <w:p w14:paraId="68B7E288" w14:textId="77777777" w:rsidR="00C83180" w:rsidRPr="003F3B0A" w:rsidRDefault="00C83180" w:rsidP="00A53EA0">
            <w:pPr>
              <w:rPr>
                <w:rFonts w:ascii="Arial" w:hAnsi="Arial" w:cs="Arial"/>
                <w:sz w:val="18"/>
                <w:szCs w:val="18"/>
              </w:rPr>
            </w:pPr>
            <w:r w:rsidRPr="003F3B0A">
              <w:rPr>
                <w:rFonts w:ascii="Arial" w:hAnsi="Arial" w:cs="Arial"/>
                <w:sz w:val="18"/>
                <w:szCs w:val="18"/>
              </w:rPr>
              <w:t>con ETV + DRV/r</w:t>
            </w:r>
          </w:p>
        </w:tc>
      </w:tr>
      <w:tr w:rsidR="00C83180" w:rsidRPr="00A41C48" w14:paraId="08743270" w14:textId="77777777" w:rsidTr="00A53EA0">
        <w:trPr>
          <w:tblHeader/>
          <w:jc w:val="center"/>
        </w:trPr>
        <w:tc>
          <w:tcPr>
            <w:tcW w:w="1457" w:type="dxa"/>
          </w:tcPr>
          <w:p w14:paraId="025807AF"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MVC</w:t>
            </w:r>
          </w:p>
          <w:p w14:paraId="062B81CB" w14:textId="77777777" w:rsidR="00C83180" w:rsidRPr="003F3B0A" w:rsidRDefault="00C83180" w:rsidP="00A53EA0">
            <w:pPr>
              <w:rPr>
                <w:rFonts w:ascii="Arial" w:hAnsi="Arial" w:cs="Arial"/>
                <w:b/>
                <w:bCs/>
                <w:sz w:val="18"/>
                <w:szCs w:val="18"/>
              </w:rPr>
            </w:pPr>
            <w:r w:rsidRPr="003F3B0A">
              <w:rPr>
                <w:rFonts w:ascii="Arial" w:hAnsi="Arial" w:cs="Arial"/>
                <w:b/>
                <w:bCs/>
                <w:sz w:val="18"/>
                <w:szCs w:val="18"/>
              </w:rPr>
              <w:t>(MOTIVATE 1/2</w:t>
            </w:r>
            <w:r w:rsidRPr="003F3B0A">
              <w:rPr>
                <w:rFonts w:ascii="Arial" w:hAnsi="Arial" w:cs="Arial"/>
                <w:b/>
                <w:bCs/>
                <w:noProof/>
                <w:sz w:val="18"/>
                <w:szCs w:val="18"/>
                <w:vertAlign w:val="superscript"/>
              </w:rPr>
              <w:t>28</w:t>
            </w:r>
            <w:r w:rsidRPr="003F3B0A">
              <w:rPr>
                <w:rFonts w:ascii="Arial" w:hAnsi="Arial" w:cs="Arial"/>
                <w:b/>
                <w:bCs/>
                <w:sz w:val="18"/>
                <w:szCs w:val="18"/>
              </w:rPr>
              <w:t>)</w:t>
            </w:r>
          </w:p>
        </w:tc>
        <w:tc>
          <w:tcPr>
            <w:tcW w:w="1770" w:type="dxa"/>
          </w:tcPr>
          <w:p w14:paraId="4E1F0B95" w14:textId="77777777" w:rsidR="00C83180" w:rsidRPr="003F3B0A" w:rsidRDefault="00C83180" w:rsidP="00A53EA0">
            <w:pPr>
              <w:rPr>
                <w:rFonts w:ascii="Arial" w:hAnsi="Arial" w:cs="Arial"/>
                <w:sz w:val="18"/>
                <w:szCs w:val="18"/>
              </w:rPr>
            </w:pPr>
            <w:r w:rsidRPr="003F3B0A">
              <w:rPr>
                <w:rFonts w:ascii="Arial" w:hAnsi="Arial" w:cs="Arial"/>
                <w:sz w:val="18"/>
                <w:szCs w:val="18"/>
              </w:rPr>
              <w:t>- CV &gt; 5000 cop/mL</w:t>
            </w:r>
          </w:p>
          <w:p w14:paraId="180C44DD" w14:textId="77777777" w:rsidR="00C83180" w:rsidRPr="003F3B0A" w:rsidRDefault="00C83180" w:rsidP="00A53EA0">
            <w:pPr>
              <w:rPr>
                <w:rFonts w:ascii="Arial" w:hAnsi="Arial" w:cs="Arial"/>
                <w:sz w:val="18"/>
                <w:szCs w:val="18"/>
              </w:rPr>
            </w:pPr>
            <w:r w:rsidRPr="003F3B0A">
              <w:rPr>
                <w:rFonts w:ascii="Arial" w:hAnsi="Arial" w:cs="Arial"/>
                <w:sz w:val="18"/>
                <w:szCs w:val="18"/>
              </w:rPr>
              <w:t>- Tropismo R5</w:t>
            </w:r>
          </w:p>
          <w:p w14:paraId="29BA9280" w14:textId="77777777" w:rsidR="00C83180" w:rsidRPr="003F3B0A" w:rsidRDefault="00C83180" w:rsidP="00A53EA0">
            <w:pPr>
              <w:rPr>
                <w:rFonts w:ascii="Arial" w:hAnsi="Arial" w:cs="Arial"/>
                <w:sz w:val="18"/>
                <w:szCs w:val="18"/>
              </w:rPr>
            </w:pPr>
            <w:r w:rsidRPr="003F3B0A">
              <w:rPr>
                <w:rFonts w:ascii="Arial" w:hAnsi="Arial" w:cs="Arial"/>
                <w:sz w:val="18"/>
                <w:szCs w:val="18"/>
              </w:rPr>
              <w:t>- FV a ITIAN,NN e IP</w:t>
            </w:r>
          </w:p>
        </w:tc>
        <w:tc>
          <w:tcPr>
            <w:tcW w:w="1559" w:type="dxa"/>
            <w:gridSpan w:val="2"/>
          </w:tcPr>
          <w:p w14:paraId="75930586" w14:textId="77777777" w:rsidR="00C83180" w:rsidRPr="003F3B0A" w:rsidRDefault="00C83180" w:rsidP="00A53EA0">
            <w:pPr>
              <w:rPr>
                <w:rFonts w:ascii="Arial" w:hAnsi="Arial" w:cs="Arial"/>
                <w:sz w:val="18"/>
                <w:szCs w:val="18"/>
              </w:rPr>
            </w:pPr>
            <w:r w:rsidRPr="003F3B0A">
              <w:rPr>
                <w:rFonts w:ascii="Arial" w:hAnsi="Arial" w:cs="Arial"/>
                <w:sz w:val="18"/>
                <w:szCs w:val="18"/>
              </w:rPr>
              <w:t>Fase III</w:t>
            </w:r>
          </w:p>
          <w:p w14:paraId="2447DB65" w14:textId="77777777" w:rsidR="00C83180" w:rsidRPr="003F3B0A" w:rsidRDefault="00C83180" w:rsidP="00A53EA0">
            <w:pPr>
              <w:rPr>
                <w:rFonts w:ascii="Arial" w:hAnsi="Arial" w:cs="Arial"/>
                <w:sz w:val="18"/>
                <w:szCs w:val="18"/>
              </w:rPr>
            </w:pPr>
            <w:r w:rsidRPr="003F3B0A">
              <w:rPr>
                <w:rFonts w:ascii="Arial" w:hAnsi="Arial" w:cs="Arial"/>
                <w:sz w:val="18"/>
                <w:szCs w:val="18"/>
              </w:rPr>
              <w:t>Aleatorizado</w:t>
            </w:r>
          </w:p>
          <w:p w14:paraId="73B872F3" w14:textId="77777777" w:rsidR="00C83180" w:rsidRPr="003F3B0A" w:rsidRDefault="00C83180" w:rsidP="00A53EA0">
            <w:pPr>
              <w:rPr>
                <w:rFonts w:ascii="Arial" w:hAnsi="Arial" w:cs="Arial"/>
                <w:sz w:val="18"/>
                <w:szCs w:val="18"/>
              </w:rPr>
            </w:pPr>
            <w:r w:rsidRPr="003F3B0A">
              <w:rPr>
                <w:rFonts w:ascii="Arial" w:hAnsi="Arial" w:cs="Arial"/>
                <w:sz w:val="18"/>
                <w:szCs w:val="18"/>
              </w:rPr>
              <w:t>Doble ciego</w:t>
            </w:r>
          </w:p>
        </w:tc>
        <w:tc>
          <w:tcPr>
            <w:tcW w:w="1489" w:type="dxa"/>
            <w:gridSpan w:val="2"/>
          </w:tcPr>
          <w:p w14:paraId="061EDC80"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-MVC QD + TO</w:t>
            </w:r>
          </w:p>
          <w:p w14:paraId="68FDD6AA"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-MVC BID + TO</w:t>
            </w:r>
          </w:p>
          <w:p w14:paraId="6D21327D" w14:textId="77777777" w:rsidR="00C83180" w:rsidRPr="003F3B0A" w:rsidRDefault="00C83180" w:rsidP="00A53EA0">
            <w:pPr>
              <w:rPr>
                <w:rFonts w:ascii="Arial" w:hAnsi="Arial" w:cs="Arial"/>
                <w:sz w:val="18"/>
                <w:szCs w:val="18"/>
              </w:rPr>
            </w:pPr>
            <w:r w:rsidRPr="003F3B0A">
              <w:rPr>
                <w:rFonts w:ascii="Arial" w:hAnsi="Arial" w:cs="Arial"/>
                <w:sz w:val="18"/>
                <w:szCs w:val="18"/>
              </w:rPr>
              <w:t>-Placebo +TO</w:t>
            </w:r>
          </w:p>
        </w:tc>
        <w:tc>
          <w:tcPr>
            <w:tcW w:w="921" w:type="dxa"/>
          </w:tcPr>
          <w:p w14:paraId="2D9AD37B" w14:textId="77777777" w:rsidR="00C83180" w:rsidRPr="003F3B0A" w:rsidRDefault="00C83180" w:rsidP="00A53EA0">
            <w:pPr>
              <w:rPr>
                <w:rFonts w:ascii="Arial" w:hAnsi="Arial" w:cs="Arial"/>
                <w:sz w:val="18"/>
                <w:szCs w:val="18"/>
              </w:rPr>
            </w:pPr>
            <w:r w:rsidRPr="003F3B0A">
              <w:rPr>
                <w:rFonts w:ascii="Arial" w:hAnsi="Arial" w:cs="Arial"/>
                <w:sz w:val="18"/>
                <w:szCs w:val="18"/>
              </w:rPr>
              <w:t>414</w:t>
            </w:r>
          </w:p>
          <w:p w14:paraId="27AFE915" w14:textId="77777777" w:rsidR="00C83180" w:rsidRPr="003F3B0A" w:rsidRDefault="00C83180" w:rsidP="00A53EA0">
            <w:pPr>
              <w:rPr>
                <w:rFonts w:ascii="Arial" w:hAnsi="Arial" w:cs="Arial"/>
                <w:sz w:val="18"/>
                <w:szCs w:val="18"/>
              </w:rPr>
            </w:pPr>
            <w:r w:rsidRPr="003F3B0A">
              <w:rPr>
                <w:rFonts w:ascii="Arial" w:hAnsi="Arial" w:cs="Arial"/>
                <w:sz w:val="18"/>
                <w:szCs w:val="18"/>
              </w:rPr>
              <w:t>426</w:t>
            </w:r>
          </w:p>
          <w:p w14:paraId="228D847A" w14:textId="77777777" w:rsidR="00C83180" w:rsidRPr="003F3B0A" w:rsidRDefault="00C83180" w:rsidP="00A53EA0">
            <w:pPr>
              <w:rPr>
                <w:rFonts w:ascii="Arial" w:hAnsi="Arial" w:cs="Arial"/>
                <w:sz w:val="18"/>
                <w:szCs w:val="18"/>
              </w:rPr>
            </w:pPr>
            <w:r w:rsidRPr="003F3B0A">
              <w:rPr>
                <w:rFonts w:ascii="Arial" w:hAnsi="Arial" w:cs="Arial"/>
                <w:sz w:val="18"/>
                <w:szCs w:val="18"/>
              </w:rPr>
              <w:t>209</w:t>
            </w:r>
          </w:p>
        </w:tc>
        <w:tc>
          <w:tcPr>
            <w:tcW w:w="2600" w:type="dxa"/>
          </w:tcPr>
          <w:p w14:paraId="2A1FF87D"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CV&lt;50 cop/mL: 43,2%</w:t>
            </w:r>
          </w:p>
          <w:p w14:paraId="278CA7C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CV&lt;50 cop/mL: 45,5%</w:t>
            </w:r>
          </w:p>
          <w:p w14:paraId="5A0D6B5D" w14:textId="77777777" w:rsidR="00C83180" w:rsidRPr="003F3B0A" w:rsidRDefault="00C83180" w:rsidP="00A53EA0">
            <w:pPr>
              <w:rPr>
                <w:rFonts w:ascii="Arial" w:hAnsi="Arial" w:cs="Arial"/>
                <w:sz w:val="18"/>
                <w:szCs w:val="18"/>
              </w:rPr>
            </w:pPr>
            <w:r w:rsidRPr="003F3B0A">
              <w:rPr>
                <w:rFonts w:ascii="Arial" w:hAnsi="Arial" w:cs="Arial"/>
                <w:sz w:val="18"/>
                <w:szCs w:val="18"/>
              </w:rPr>
              <w:t>CV&lt;50 cop/mL: 16,7%</w:t>
            </w:r>
          </w:p>
          <w:p w14:paraId="4FDCA21B" w14:textId="77777777" w:rsidR="00C83180" w:rsidRPr="003F3B0A" w:rsidRDefault="00C83180" w:rsidP="00A53EA0">
            <w:pPr>
              <w:rPr>
                <w:rFonts w:ascii="Arial" w:hAnsi="Arial" w:cs="Arial"/>
                <w:sz w:val="18"/>
                <w:szCs w:val="18"/>
              </w:rPr>
            </w:pPr>
            <w:r w:rsidRPr="003F3B0A">
              <w:rPr>
                <w:rFonts w:ascii="Arial" w:hAnsi="Arial" w:cs="Arial"/>
                <w:sz w:val="18"/>
                <w:szCs w:val="18"/>
              </w:rPr>
              <w:t>p  &lt;0,001</w:t>
            </w:r>
          </w:p>
        </w:tc>
        <w:tc>
          <w:tcPr>
            <w:tcW w:w="2502" w:type="dxa"/>
          </w:tcPr>
          <w:p w14:paraId="5E43BF0C" w14:textId="77777777" w:rsidR="00C83180" w:rsidRPr="003F3B0A" w:rsidRDefault="00C83180" w:rsidP="00A53EA0">
            <w:pPr>
              <w:rPr>
                <w:rFonts w:ascii="Arial" w:hAnsi="Arial" w:cs="Arial"/>
                <w:sz w:val="18"/>
                <w:szCs w:val="18"/>
              </w:rPr>
            </w:pPr>
            <w:r w:rsidRPr="003F3B0A">
              <w:rPr>
                <w:rFonts w:ascii="Arial" w:hAnsi="Arial" w:cs="Arial"/>
                <w:sz w:val="18"/>
                <w:szCs w:val="18"/>
              </w:rPr>
              <w:t>MRV es superior a placebo en pacientes con tropismo R5</w:t>
            </w:r>
          </w:p>
        </w:tc>
        <w:tc>
          <w:tcPr>
            <w:tcW w:w="2632" w:type="dxa"/>
          </w:tcPr>
          <w:p w14:paraId="68051602"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-CV&lt;50 cop/mL: 64% (TO+ENF)</w:t>
            </w:r>
          </w:p>
          <w:p w14:paraId="262A4516"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-CV&lt;50 cop/mL: 61% (TO+ENF)</w:t>
            </w:r>
          </w:p>
          <w:p w14:paraId="3EA92838" w14:textId="77777777" w:rsidR="00C83180" w:rsidRPr="003F3B0A" w:rsidRDefault="00C83180" w:rsidP="00A53EA0">
            <w:pPr>
              <w:rPr>
                <w:rFonts w:ascii="Arial" w:hAnsi="Arial" w:cs="Arial"/>
                <w:sz w:val="18"/>
                <w:szCs w:val="18"/>
                <w:lang w:val="en-US"/>
              </w:rPr>
            </w:pPr>
            <w:r w:rsidRPr="003F3B0A">
              <w:rPr>
                <w:rFonts w:ascii="Arial" w:hAnsi="Arial" w:cs="Arial"/>
                <w:sz w:val="18"/>
                <w:szCs w:val="18"/>
                <w:lang w:val="en-US"/>
              </w:rPr>
              <w:t>-CV&lt;50 cop/mL: 27% (TO+ENF)</w:t>
            </w:r>
          </w:p>
          <w:p w14:paraId="7A78D444" w14:textId="77777777" w:rsidR="00C83180" w:rsidRPr="003F3B0A" w:rsidRDefault="00C83180" w:rsidP="00A53EA0">
            <w:pPr>
              <w:rPr>
                <w:rFonts w:ascii="Arial" w:hAnsi="Arial" w:cs="Arial"/>
                <w:sz w:val="18"/>
                <w:szCs w:val="18"/>
                <w:lang w:val="en-US"/>
              </w:rPr>
            </w:pPr>
          </w:p>
        </w:tc>
      </w:tr>
      <w:tr w:rsidR="00C83180" w:rsidRPr="003F3B0A" w14:paraId="56B30C19" w14:textId="77777777" w:rsidTr="00A53EA0">
        <w:trPr>
          <w:tblHeader/>
          <w:jc w:val="center"/>
        </w:trPr>
        <w:tc>
          <w:tcPr>
            <w:tcW w:w="1457" w:type="dxa"/>
          </w:tcPr>
          <w:p w14:paraId="6CBF9E5E"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lastRenderedPageBreak/>
              <w:t>DRV/RAL/ETR</w:t>
            </w:r>
          </w:p>
          <w:p w14:paraId="0E2B7862"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(TRIO</w:t>
            </w:r>
            <w:r w:rsidRPr="003F3B0A">
              <w:rPr>
                <w:rFonts w:ascii="Arial" w:hAnsi="Arial" w:cs="Arial"/>
                <w:b/>
                <w:bCs/>
                <w:noProof/>
                <w:sz w:val="18"/>
                <w:szCs w:val="20"/>
                <w:vertAlign w:val="superscript"/>
              </w:rPr>
              <w:t>30</w:t>
            </w:r>
            <w:r w:rsidRPr="003F3B0A">
              <w:rPr>
                <w:rFonts w:ascii="Arial" w:hAnsi="Arial" w:cs="Arial"/>
                <w:b/>
                <w:bCs/>
                <w:sz w:val="18"/>
                <w:szCs w:val="20"/>
              </w:rPr>
              <w:t>)</w:t>
            </w:r>
          </w:p>
        </w:tc>
        <w:tc>
          <w:tcPr>
            <w:tcW w:w="1770" w:type="dxa"/>
          </w:tcPr>
          <w:p w14:paraId="34B6015F"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-CV &gt;1000 cop/mL</w:t>
            </w:r>
          </w:p>
          <w:p w14:paraId="455F7513"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w:t>
            </w:r>
            <w:r w:rsidRPr="003F3B0A">
              <w:rPr>
                <w:rFonts w:ascii="Arial" w:hAnsi="Arial" w:cs="Arial"/>
                <w:i/>
                <w:sz w:val="18"/>
                <w:szCs w:val="20"/>
                <w:lang w:val="en-US"/>
              </w:rPr>
              <w:t>Naive</w:t>
            </w:r>
            <w:r w:rsidRPr="003F3B0A">
              <w:rPr>
                <w:rFonts w:ascii="Arial" w:hAnsi="Arial" w:cs="Arial"/>
                <w:sz w:val="18"/>
                <w:szCs w:val="20"/>
                <w:lang w:val="en-US"/>
              </w:rPr>
              <w:t xml:space="preserve"> a DRV/ETV/RAL</w:t>
            </w:r>
          </w:p>
          <w:p w14:paraId="7A1B3264" w14:textId="77777777" w:rsidR="00C83180" w:rsidRPr="003F3B0A" w:rsidRDefault="00C83180" w:rsidP="00A53EA0">
            <w:pPr>
              <w:rPr>
                <w:rFonts w:ascii="Arial" w:hAnsi="Arial" w:cs="Arial"/>
                <w:sz w:val="18"/>
                <w:szCs w:val="20"/>
              </w:rPr>
            </w:pPr>
            <w:r w:rsidRPr="003F3B0A">
              <w:rPr>
                <w:rFonts w:ascii="Arial" w:hAnsi="Arial" w:cs="Arial"/>
                <w:sz w:val="18"/>
                <w:szCs w:val="20"/>
              </w:rPr>
              <w:t>- FV durante TAR</w:t>
            </w:r>
          </w:p>
          <w:p w14:paraId="00691407" w14:textId="77777777" w:rsidR="00C83180" w:rsidRPr="003F3B0A" w:rsidRDefault="00C83180" w:rsidP="00A53EA0">
            <w:pPr>
              <w:rPr>
                <w:rFonts w:ascii="Arial" w:hAnsi="Arial" w:cs="Arial"/>
                <w:sz w:val="18"/>
                <w:szCs w:val="20"/>
              </w:rPr>
            </w:pPr>
            <w:r w:rsidRPr="003F3B0A">
              <w:rPr>
                <w:rFonts w:ascii="Arial" w:hAnsi="Arial" w:cs="Arial"/>
                <w:sz w:val="18"/>
                <w:szCs w:val="20"/>
              </w:rPr>
              <w:t>- ≥ 3 MR a proteasa</w:t>
            </w:r>
          </w:p>
          <w:p w14:paraId="5A320105" w14:textId="77777777" w:rsidR="00C83180" w:rsidRPr="003F3B0A" w:rsidRDefault="00C83180" w:rsidP="00A53EA0">
            <w:pPr>
              <w:rPr>
                <w:rFonts w:ascii="Arial" w:hAnsi="Arial" w:cs="Arial"/>
                <w:sz w:val="18"/>
                <w:szCs w:val="20"/>
              </w:rPr>
            </w:pPr>
            <w:r w:rsidRPr="003F3B0A">
              <w:rPr>
                <w:rFonts w:ascii="Arial" w:hAnsi="Arial" w:cs="Arial"/>
                <w:sz w:val="18"/>
                <w:szCs w:val="20"/>
              </w:rPr>
              <w:t>(sensible DRV)</w:t>
            </w:r>
          </w:p>
          <w:p w14:paraId="4B5E0AAA" w14:textId="77777777" w:rsidR="00C83180" w:rsidRPr="003F3B0A" w:rsidRDefault="00C83180" w:rsidP="00A53EA0">
            <w:pPr>
              <w:rPr>
                <w:rFonts w:ascii="Arial" w:hAnsi="Arial" w:cs="Arial"/>
                <w:sz w:val="18"/>
                <w:szCs w:val="20"/>
              </w:rPr>
            </w:pPr>
            <w:r w:rsidRPr="003F3B0A">
              <w:rPr>
                <w:rFonts w:ascii="Arial" w:hAnsi="Arial" w:cs="Arial"/>
                <w:sz w:val="18"/>
                <w:szCs w:val="20"/>
              </w:rPr>
              <w:t>- ≥ 3 MR a ITIAN</w:t>
            </w:r>
          </w:p>
          <w:p w14:paraId="71CBE88E" w14:textId="77777777" w:rsidR="00C83180" w:rsidRPr="003F3B0A" w:rsidRDefault="00C83180" w:rsidP="00A53EA0">
            <w:pPr>
              <w:rPr>
                <w:rFonts w:ascii="Arial" w:hAnsi="Arial" w:cs="Arial"/>
                <w:sz w:val="18"/>
                <w:szCs w:val="20"/>
              </w:rPr>
            </w:pPr>
            <w:r w:rsidRPr="003F3B0A">
              <w:rPr>
                <w:rFonts w:ascii="Arial" w:hAnsi="Arial" w:cs="Arial"/>
                <w:sz w:val="18"/>
                <w:szCs w:val="20"/>
              </w:rPr>
              <w:t>- Susceptible a ETV</w:t>
            </w:r>
          </w:p>
        </w:tc>
        <w:tc>
          <w:tcPr>
            <w:tcW w:w="1559" w:type="dxa"/>
            <w:gridSpan w:val="2"/>
          </w:tcPr>
          <w:p w14:paraId="36A596C2" w14:textId="77777777" w:rsidR="00C83180" w:rsidRPr="003F3B0A" w:rsidRDefault="00C83180" w:rsidP="00A53EA0">
            <w:pPr>
              <w:rPr>
                <w:rFonts w:ascii="Arial" w:hAnsi="Arial" w:cs="Arial"/>
                <w:sz w:val="18"/>
                <w:szCs w:val="20"/>
              </w:rPr>
            </w:pPr>
            <w:r w:rsidRPr="003F3B0A">
              <w:rPr>
                <w:rFonts w:ascii="Arial" w:hAnsi="Arial" w:cs="Arial"/>
                <w:sz w:val="18"/>
                <w:szCs w:val="20"/>
              </w:rPr>
              <w:t>Fase II</w:t>
            </w:r>
          </w:p>
          <w:p w14:paraId="09955E08" w14:textId="77777777" w:rsidR="00C83180" w:rsidRPr="003F3B0A" w:rsidRDefault="00C83180" w:rsidP="00A53EA0">
            <w:pPr>
              <w:rPr>
                <w:rFonts w:ascii="Arial" w:hAnsi="Arial" w:cs="Arial"/>
                <w:sz w:val="18"/>
                <w:szCs w:val="20"/>
              </w:rPr>
            </w:pPr>
            <w:r w:rsidRPr="003F3B0A">
              <w:rPr>
                <w:rFonts w:ascii="Arial" w:hAnsi="Arial" w:cs="Arial"/>
                <w:sz w:val="18"/>
                <w:szCs w:val="20"/>
              </w:rPr>
              <w:t>Abierto</w:t>
            </w:r>
          </w:p>
          <w:p w14:paraId="42450C4F" w14:textId="77777777" w:rsidR="00C83180" w:rsidRPr="003F3B0A" w:rsidRDefault="00C83180" w:rsidP="00A53EA0">
            <w:pPr>
              <w:rPr>
                <w:rFonts w:ascii="Arial" w:hAnsi="Arial" w:cs="Arial"/>
                <w:sz w:val="18"/>
                <w:szCs w:val="20"/>
              </w:rPr>
            </w:pPr>
            <w:r w:rsidRPr="003F3B0A">
              <w:rPr>
                <w:rFonts w:ascii="Arial" w:hAnsi="Arial" w:cs="Arial"/>
                <w:sz w:val="18"/>
                <w:szCs w:val="20"/>
              </w:rPr>
              <w:t>No comparativo</w:t>
            </w:r>
          </w:p>
          <w:p w14:paraId="6DF5FD66" w14:textId="77777777" w:rsidR="00C83180" w:rsidRPr="003F3B0A" w:rsidRDefault="00C83180" w:rsidP="00A53EA0">
            <w:pPr>
              <w:rPr>
                <w:rFonts w:ascii="Arial" w:hAnsi="Arial" w:cs="Arial"/>
                <w:sz w:val="18"/>
                <w:szCs w:val="20"/>
              </w:rPr>
            </w:pPr>
          </w:p>
        </w:tc>
        <w:tc>
          <w:tcPr>
            <w:tcW w:w="1489" w:type="dxa"/>
            <w:gridSpan w:val="2"/>
          </w:tcPr>
          <w:p w14:paraId="110735EF"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xml:space="preserve">- DRV/r 600/100 BID + RAL 400mg BID + ETV 200mg BID </w:t>
            </w:r>
          </w:p>
        </w:tc>
        <w:tc>
          <w:tcPr>
            <w:tcW w:w="921" w:type="dxa"/>
          </w:tcPr>
          <w:p w14:paraId="5CACB94F" w14:textId="77777777" w:rsidR="00C83180" w:rsidRPr="003F3B0A" w:rsidRDefault="00C83180" w:rsidP="00A53EA0">
            <w:pPr>
              <w:rPr>
                <w:rFonts w:ascii="Arial" w:hAnsi="Arial" w:cs="Arial"/>
                <w:sz w:val="18"/>
                <w:szCs w:val="20"/>
              </w:rPr>
            </w:pPr>
            <w:r w:rsidRPr="003F3B0A">
              <w:rPr>
                <w:rFonts w:ascii="Arial" w:hAnsi="Arial" w:cs="Arial"/>
                <w:sz w:val="18"/>
                <w:szCs w:val="20"/>
              </w:rPr>
              <w:t>103</w:t>
            </w:r>
          </w:p>
        </w:tc>
        <w:tc>
          <w:tcPr>
            <w:tcW w:w="2600" w:type="dxa"/>
          </w:tcPr>
          <w:p w14:paraId="694E0156"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CV &lt; 50 cop/mL sem 24: 95% (IC95% 85-96%)</w:t>
            </w:r>
          </w:p>
          <w:p w14:paraId="709620D2"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CV &lt; 50 cop/mL sem 48: 86% (IC95%: 80-93%)</w:t>
            </w:r>
          </w:p>
        </w:tc>
        <w:tc>
          <w:tcPr>
            <w:tcW w:w="2502" w:type="dxa"/>
          </w:tcPr>
          <w:p w14:paraId="4A761DA9" w14:textId="77777777" w:rsidR="00C83180" w:rsidRPr="003F3B0A" w:rsidRDefault="00C83180" w:rsidP="00A53EA0">
            <w:pPr>
              <w:rPr>
                <w:rFonts w:ascii="Arial" w:hAnsi="Arial" w:cs="Arial"/>
                <w:sz w:val="18"/>
                <w:szCs w:val="20"/>
              </w:rPr>
            </w:pPr>
            <w:r w:rsidRPr="003F3B0A">
              <w:rPr>
                <w:rFonts w:ascii="Arial" w:hAnsi="Arial" w:cs="Arial"/>
                <w:sz w:val="18"/>
                <w:szCs w:val="20"/>
              </w:rPr>
              <w:t>La eficacia de DRV/r + ETV + RAL es muy alta en pacientes con pocas opciones</w:t>
            </w:r>
          </w:p>
        </w:tc>
        <w:tc>
          <w:tcPr>
            <w:tcW w:w="2632" w:type="dxa"/>
          </w:tcPr>
          <w:p w14:paraId="305CC286" w14:textId="77777777" w:rsidR="00C83180" w:rsidRPr="003F3B0A" w:rsidRDefault="00C83180" w:rsidP="00A53EA0">
            <w:pPr>
              <w:rPr>
                <w:rFonts w:ascii="Arial" w:hAnsi="Arial" w:cs="Arial"/>
                <w:sz w:val="18"/>
                <w:szCs w:val="20"/>
              </w:rPr>
            </w:pPr>
            <w:r w:rsidRPr="003F3B0A">
              <w:rPr>
                <w:rFonts w:ascii="Arial" w:hAnsi="Arial" w:cs="Arial"/>
                <w:sz w:val="18"/>
                <w:szCs w:val="20"/>
              </w:rPr>
              <w:t>- La mediana de CD4+ se incrementó en 108 cél/µL</w:t>
            </w:r>
          </w:p>
          <w:p w14:paraId="719F5842"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Incidencia de EA de grado 3/4:  14,6% </w:t>
            </w:r>
          </w:p>
          <w:p w14:paraId="0909C40E" w14:textId="77777777" w:rsidR="00C83180" w:rsidRPr="003F3B0A" w:rsidRDefault="00C83180" w:rsidP="00A53EA0">
            <w:pPr>
              <w:rPr>
                <w:rFonts w:ascii="Arial" w:hAnsi="Arial" w:cs="Arial"/>
                <w:sz w:val="18"/>
                <w:szCs w:val="20"/>
              </w:rPr>
            </w:pPr>
          </w:p>
        </w:tc>
      </w:tr>
      <w:tr w:rsidR="00C83180" w:rsidRPr="003F3B0A" w14:paraId="1BB6D832" w14:textId="77777777" w:rsidTr="00A53EA0">
        <w:trPr>
          <w:tblHeader/>
          <w:jc w:val="center"/>
        </w:trPr>
        <w:tc>
          <w:tcPr>
            <w:tcW w:w="1457" w:type="dxa"/>
          </w:tcPr>
          <w:p w14:paraId="2DE41212"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EVG/r (GS-US-183-0145</w:t>
            </w:r>
            <w:r w:rsidRPr="003F3B0A">
              <w:rPr>
                <w:rFonts w:ascii="Arial" w:hAnsi="Arial" w:cs="Arial"/>
                <w:b/>
                <w:bCs/>
                <w:noProof/>
                <w:sz w:val="18"/>
                <w:szCs w:val="20"/>
                <w:vertAlign w:val="superscript"/>
              </w:rPr>
              <w:t>36</w:t>
            </w:r>
            <w:r w:rsidRPr="003F3B0A">
              <w:rPr>
                <w:rFonts w:ascii="Arial" w:hAnsi="Arial" w:cs="Arial"/>
                <w:b/>
                <w:bCs/>
                <w:sz w:val="18"/>
                <w:szCs w:val="20"/>
              </w:rPr>
              <w:t>)</w:t>
            </w:r>
          </w:p>
        </w:tc>
        <w:tc>
          <w:tcPr>
            <w:tcW w:w="1770" w:type="dxa"/>
          </w:tcPr>
          <w:p w14:paraId="2196011A" w14:textId="77777777" w:rsidR="00C83180" w:rsidRPr="003F3B0A" w:rsidRDefault="00C83180" w:rsidP="00A53EA0">
            <w:pPr>
              <w:rPr>
                <w:rFonts w:ascii="Arial" w:hAnsi="Arial" w:cs="Arial"/>
                <w:sz w:val="18"/>
                <w:szCs w:val="20"/>
              </w:rPr>
            </w:pPr>
            <w:r w:rsidRPr="003F3B0A">
              <w:rPr>
                <w:rFonts w:ascii="Arial" w:hAnsi="Arial" w:cs="Arial"/>
                <w:sz w:val="18"/>
                <w:szCs w:val="20"/>
              </w:rPr>
              <w:t>-CV&gt;1000 cop/mL</w:t>
            </w:r>
          </w:p>
          <w:p w14:paraId="12B4FDA4" w14:textId="77777777" w:rsidR="00C83180" w:rsidRPr="003F3B0A" w:rsidRDefault="00C83180" w:rsidP="00A53EA0">
            <w:pPr>
              <w:rPr>
                <w:rFonts w:ascii="Arial" w:hAnsi="Arial" w:cs="Arial"/>
                <w:sz w:val="18"/>
                <w:szCs w:val="20"/>
              </w:rPr>
            </w:pPr>
            <w:r w:rsidRPr="003F3B0A">
              <w:rPr>
                <w:rFonts w:ascii="Arial" w:hAnsi="Arial" w:cs="Arial"/>
                <w:sz w:val="18"/>
                <w:szCs w:val="20"/>
              </w:rPr>
              <w:t>- MR o más de 6 meses ≥2 clases de FAR</w:t>
            </w:r>
          </w:p>
        </w:tc>
        <w:tc>
          <w:tcPr>
            <w:tcW w:w="1559" w:type="dxa"/>
            <w:gridSpan w:val="2"/>
          </w:tcPr>
          <w:p w14:paraId="44734316" w14:textId="77777777" w:rsidR="00C83180" w:rsidRPr="003F3B0A" w:rsidRDefault="00C83180" w:rsidP="00A53EA0">
            <w:pPr>
              <w:rPr>
                <w:rFonts w:ascii="Arial" w:hAnsi="Arial" w:cs="Arial"/>
                <w:sz w:val="18"/>
                <w:szCs w:val="20"/>
              </w:rPr>
            </w:pPr>
            <w:r w:rsidRPr="003F3B0A">
              <w:rPr>
                <w:rFonts w:ascii="Arial" w:hAnsi="Arial" w:cs="Arial"/>
                <w:sz w:val="18"/>
                <w:szCs w:val="20"/>
              </w:rPr>
              <w:t>Fase III</w:t>
            </w:r>
          </w:p>
          <w:p w14:paraId="14E179E9"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Doble ciego, </w:t>
            </w:r>
          </w:p>
          <w:p w14:paraId="290EAE19" w14:textId="77777777" w:rsidR="00C83180" w:rsidRPr="003F3B0A" w:rsidRDefault="00C83180" w:rsidP="00A53EA0">
            <w:pPr>
              <w:rPr>
                <w:rFonts w:ascii="Arial" w:hAnsi="Arial" w:cs="Arial"/>
                <w:sz w:val="18"/>
                <w:szCs w:val="20"/>
              </w:rPr>
            </w:pPr>
            <w:r w:rsidRPr="003F3B0A">
              <w:rPr>
                <w:rFonts w:ascii="Arial" w:hAnsi="Arial" w:cs="Arial"/>
                <w:sz w:val="18"/>
                <w:szCs w:val="20"/>
              </w:rPr>
              <w:t>Aleatorizado</w:t>
            </w:r>
          </w:p>
          <w:p w14:paraId="3339AF61" w14:textId="77777777" w:rsidR="00C83180" w:rsidRPr="003F3B0A" w:rsidRDefault="00C83180" w:rsidP="00A53EA0">
            <w:pPr>
              <w:rPr>
                <w:rFonts w:ascii="Arial" w:hAnsi="Arial" w:cs="Arial"/>
                <w:sz w:val="18"/>
                <w:szCs w:val="20"/>
              </w:rPr>
            </w:pPr>
            <w:r w:rsidRPr="003F3B0A">
              <w:rPr>
                <w:rFonts w:ascii="Arial" w:hAnsi="Arial" w:cs="Arial"/>
                <w:sz w:val="18"/>
                <w:szCs w:val="20"/>
              </w:rPr>
              <w:t>No inferioridad</w:t>
            </w:r>
          </w:p>
          <w:p w14:paraId="4709DBDA" w14:textId="77777777" w:rsidR="00C83180" w:rsidRPr="003F3B0A" w:rsidRDefault="00C83180" w:rsidP="00A53EA0">
            <w:pPr>
              <w:rPr>
                <w:rFonts w:ascii="Arial" w:hAnsi="Arial" w:cs="Arial"/>
                <w:sz w:val="18"/>
                <w:szCs w:val="20"/>
              </w:rPr>
            </w:pPr>
            <w:r w:rsidRPr="003F3B0A">
              <w:rPr>
                <w:rFonts w:ascii="Arial" w:hAnsi="Arial" w:cs="Arial"/>
                <w:sz w:val="18"/>
                <w:szCs w:val="20"/>
              </w:rPr>
              <w:t>Δ: -10% en ITT</w:t>
            </w:r>
          </w:p>
        </w:tc>
        <w:tc>
          <w:tcPr>
            <w:tcW w:w="1489" w:type="dxa"/>
            <w:gridSpan w:val="2"/>
          </w:tcPr>
          <w:p w14:paraId="60441C33" w14:textId="77777777" w:rsidR="00C83180" w:rsidRPr="003F3B0A" w:rsidRDefault="00C83180" w:rsidP="00A53EA0">
            <w:pPr>
              <w:rPr>
                <w:rFonts w:ascii="Arial" w:hAnsi="Arial" w:cs="Arial"/>
                <w:sz w:val="18"/>
                <w:szCs w:val="20"/>
              </w:rPr>
            </w:pPr>
            <w:r w:rsidRPr="003F3B0A">
              <w:rPr>
                <w:rFonts w:ascii="Arial" w:hAnsi="Arial" w:cs="Arial"/>
                <w:sz w:val="18"/>
                <w:szCs w:val="20"/>
              </w:rPr>
              <w:t>- EVG 150mg (85mg si LPV/r o ATV/r)</w:t>
            </w:r>
          </w:p>
          <w:p w14:paraId="2FFAC0D9" w14:textId="77777777" w:rsidR="00C83180" w:rsidRPr="003F3B0A" w:rsidRDefault="00C83180" w:rsidP="00A53EA0">
            <w:pPr>
              <w:rPr>
                <w:rFonts w:ascii="Arial" w:hAnsi="Arial" w:cs="Arial"/>
                <w:sz w:val="18"/>
                <w:szCs w:val="20"/>
              </w:rPr>
            </w:pPr>
            <w:r w:rsidRPr="003F3B0A">
              <w:rPr>
                <w:rFonts w:ascii="Arial" w:hAnsi="Arial" w:cs="Arial"/>
                <w:sz w:val="18"/>
                <w:szCs w:val="20"/>
              </w:rPr>
              <w:t>- RAL 400mg/BID</w:t>
            </w:r>
          </w:p>
          <w:p w14:paraId="41C50306" w14:textId="77777777" w:rsidR="00C83180" w:rsidRPr="003F3B0A" w:rsidRDefault="00C83180" w:rsidP="00A53EA0">
            <w:pPr>
              <w:rPr>
                <w:rFonts w:ascii="Arial" w:hAnsi="Arial" w:cs="Arial"/>
                <w:sz w:val="18"/>
                <w:szCs w:val="20"/>
              </w:rPr>
            </w:pPr>
            <w:r w:rsidRPr="003F3B0A">
              <w:rPr>
                <w:rFonts w:ascii="Arial" w:hAnsi="Arial" w:cs="Arial"/>
                <w:sz w:val="18"/>
                <w:szCs w:val="20"/>
              </w:rPr>
              <w:t>Ambas pautas con IP/p y otro FAR activo</w:t>
            </w:r>
          </w:p>
        </w:tc>
        <w:tc>
          <w:tcPr>
            <w:tcW w:w="921" w:type="dxa"/>
          </w:tcPr>
          <w:p w14:paraId="3E11CDE1" w14:textId="77777777" w:rsidR="00C83180" w:rsidRPr="003F3B0A" w:rsidRDefault="00C83180" w:rsidP="00A53EA0">
            <w:pPr>
              <w:rPr>
                <w:rFonts w:ascii="Arial" w:hAnsi="Arial" w:cs="Arial"/>
                <w:sz w:val="18"/>
                <w:szCs w:val="20"/>
              </w:rPr>
            </w:pPr>
            <w:r w:rsidRPr="003F3B0A">
              <w:rPr>
                <w:rFonts w:ascii="Arial" w:hAnsi="Arial" w:cs="Arial"/>
                <w:sz w:val="18"/>
                <w:szCs w:val="20"/>
              </w:rPr>
              <w:t>361</w:t>
            </w:r>
          </w:p>
          <w:p w14:paraId="4C13FC44" w14:textId="77777777" w:rsidR="00C83180" w:rsidRPr="003F3B0A" w:rsidRDefault="00C83180" w:rsidP="00A53EA0">
            <w:pPr>
              <w:rPr>
                <w:rFonts w:ascii="Arial" w:hAnsi="Arial" w:cs="Arial"/>
                <w:sz w:val="18"/>
                <w:szCs w:val="20"/>
              </w:rPr>
            </w:pPr>
          </w:p>
          <w:p w14:paraId="35C19A24" w14:textId="77777777" w:rsidR="00C83180" w:rsidRPr="003F3B0A" w:rsidRDefault="00C83180" w:rsidP="00A53EA0">
            <w:pPr>
              <w:rPr>
                <w:rFonts w:ascii="Arial" w:hAnsi="Arial" w:cs="Arial"/>
                <w:sz w:val="18"/>
                <w:szCs w:val="20"/>
              </w:rPr>
            </w:pPr>
            <w:r w:rsidRPr="003F3B0A">
              <w:rPr>
                <w:rFonts w:ascii="Arial" w:hAnsi="Arial" w:cs="Arial"/>
                <w:sz w:val="18"/>
                <w:szCs w:val="20"/>
              </w:rPr>
              <w:t>363</w:t>
            </w:r>
          </w:p>
        </w:tc>
        <w:tc>
          <w:tcPr>
            <w:tcW w:w="2600" w:type="dxa"/>
          </w:tcPr>
          <w:p w14:paraId="5F431DF5"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-CV &lt; 50 cop/mL: 59%</w:t>
            </w:r>
          </w:p>
          <w:p w14:paraId="2CE139C4"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 CV &lt;50 cop/mL: 58%</w:t>
            </w:r>
          </w:p>
          <w:p w14:paraId="5771CE0C" w14:textId="77777777" w:rsidR="00C83180" w:rsidRPr="003F3B0A" w:rsidRDefault="00C83180" w:rsidP="00A53EA0">
            <w:pPr>
              <w:rPr>
                <w:rFonts w:ascii="Arial" w:hAnsi="Arial" w:cs="Arial"/>
                <w:sz w:val="18"/>
                <w:szCs w:val="20"/>
              </w:rPr>
            </w:pPr>
            <w:r w:rsidRPr="003F3B0A">
              <w:rPr>
                <w:rFonts w:ascii="Arial" w:hAnsi="Arial" w:cs="Arial"/>
                <w:sz w:val="18"/>
                <w:szCs w:val="20"/>
              </w:rPr>
              <w:t>Δ: 1,1% (IC95%: -6,0 a 8,2)</w:t>
            </w:r>
          </w:p>
        </w:tc>
        <w:tc>
          <w:tcPr>
            <w:tcW w:w="2502" w:type="dxa"/>
          </w:tcPr>
          <w:p w14:paraId="43FA84E4" w14:textId="77777777" w:rsidR="00C83180" w:rsidRPr="003F3B0A" w:rsidRDefault="00C83180" w:rsidP="00A53EA0">
            <w:pPr>
              <w:rPr>
                <w:rFonts w:ascii="Arial" w:hAnsi="Arial" w:cs="Arial"/>
                <w:sz w:val="18"/>
                <w:szCs w:val="20"/>
              </w:rPr>
            </w:pPr>
            <w:r w:rsidRPr="003F3B0A">
              <w:rPr>
                <w:rFonts w:ascii="Arial" w:hAnsi="Arial" w:cs="Arial"/>
                <w:sz w:val="18"/>
                <w:szCs w:val="20"/>
              </w:rPr>
              <w:t>EVG en combinación es no inferior a RAL, ambos con un IP/p</w:t>
            </w:r>
          </w:p>
        </w:tc>
        <w:tc>
          <w:tcPr>
            <w:tcW w:w="2632" w:type="dxa"/>
          </w:tcPr>
          <w:p w14:paraId="7CC8F332" w14:textId="77777777" w:rsidR="00C83180" w:rsidRPr="003F3B0A" w:rsidRDefault="00C83180" w:rsidP="00A53EA0">
            <w:pPr>
              <w:rPr>
                <w:rFonts w:ascii="Arial" w:hAnsi="Arial" w:cs="Arial"/>
                <w:sz w:val="18"/>
                <w:szCs w:val="20"/>
              </w:rPr>
            </w:pPr>
            <w:r w:rsidRPr="003F3B0A">
              <w:rPr>
                <w:rFonts w:ascii="Arial" w:hAnsi="Arial" w:cs="Arial"/>
                <w:sz w:val="18"/>
                <w:szCs w:val="20"/>
              </w:rPr>
              <w:t>- La administración de EVG es QD.</w:t>
            </w:r>
          </w:p>
          <w:p w14:paraId="4426B33C"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No diferencias de efectos adversos entre ambos brazos</w:t>
            </w:r>
          </w:p>
        </w:tc>
      </w:tr>
      <w:tr w:rsidR="00C83180" w:rsidRPr="003F3B0A" w14:paraId="623E4D7E" w14:textId="77777777" w:rsidTr="00A53EA0">
        <w:trPr>
          <w:tblHeader/>
          <w:jc w:val="center"/>
        </w:trPr>
        <w:tc>
          <w:tcPr>
            <w:tcW w:w="1457" w:type="dxa"/>
          </w:tcPr>
          <w:p w14:paraId="5090B002"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DTG</w:t>
            </w:r>
          </w:p>
          <w:p w14:paraId="59BD1F42"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(SAILING</w:t>
            </w:r>
            <w:r w:rsidRPr="003F3B0A">
              <w:rPr>
                <w:rFonts w:ascii="Arial" w:hAnsi="Arial" w:cs="Arial"/>
                <w:b/>
                <w:bCs/>
                <w:noProof/>
                <w:sz w:val="18"/>
                <w:szCs w:val="20"/>
                <w:vertAlign w:val="superscript"/>
              </w:rPr>
              <w:t>37</w:t>
            </w:r>
            <w:r w:rsidRPr="003F3B0A">
              <w:rPr>
                <w:rFonts w:ascii="Arial" w:hAnsi="Arial" w:cs="Arial"/>
                <w:b/>
                <w:bCs/>
                <w:sz w:val="18"/>
                <w:szCs w:val="20"/>
              </w:rPr>
              <w:t>)</w:t>
            </w:r>
          </w:p>
        </w:tc>
        <w:tc>
          <w:tcPr>
            <w:tcW w:w="1770" w:type="dxa"/>
          </w:tcPr>
          <w:p w14:paraId="4764FB58" w14:textId="77777777" w:rsidR="00C83180" w:rsidRPr="003F3B0A" w:rsidRDefault="00C83180" w:rsidP="00A53EA0">
            <w:pPr>
              <w:rPr>
                <w:rFonts w:ascii="Arial" w:hAnsi="Arial" w:cs="Arial"/>
                <w:sz w:val="18"/>
                <w:szCs w:val="20"/>
              </w:rPr>
            </w:pPr>
            <w:r w:rsidRPr="003F3B0A">
              <w:rPr>
                <w:rFonts w:ascii="Arial" w:hAnsi="Arial" w:cs="Arial"/>
                <w:sz w:val="18"/>
                <w:szCs w:val="20"/>
              </w:rPr>
              <w:t>- CV ≥1000 copias/mL    - MR a ≥2 familias de FAR</w:t>
            </w:r>
          </w:p>
          <w:p w14:paraId="080B4D0B"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- 1 o 2 FAR activos en la TO </w:t>
            </w:r>
          </w:p>
          <w:p w14:paraId="34974BF4"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w:t>
            </w:r>
            <w:r w:rsidRPr="003F3B0A">
              <w:rPr>
                <w:rFonts w:ascii="Arial" w:hAnsi="Arial" w:cs="Arial"/>
                <w:i/>
                <w:sz w:val="18"/>
                <w:szCs w:val="20"/>
              </w:rPr>
              <w:t>Naive</w:t>
            </w:r>
            <w:r w:rsidRPr="003F3B0A">
              <w:rPr>
                <w:rFonts w:ascii="Arial" w:hAnsi="Arial" w:cs="Arial"/>
                <w:sz w:val="18"/>
                <w:szCs w:val="20"/>
              </w:rPr>
              <w:t xml:space="preserve"> a INI</w:t>
            </w:r>
          </w:p>
          <w:p w14:paraId="2B49A8E2" w14:textId="77777777" w:rsidR="00C83180" w:rsidRPr="003F3B0A" w:rsidRDefault="00C83180" w:rsidP="00A53EA0">
            <w:pPr>
              <w:rPr>
                <w:rFonts w:ascii="Arial" w:hAnsi="Arial" w:cs="Arial"/>
                <w:sz w:val="18"/>
                <w:szCs w:val="20"/>
              </w:rPr>
            </w:pPr>
          </w:p>
        </w:tc>
        <w:tc>
          <w:tcPr>
            <w:tcW w:w="1559" w:type="dxa"/>
            <w:gridSpan w:val="2"/>
          </w:tcPr>
          <w:p w14:paraId="43E0A664" w14:textId="77777777" w:rsidR="00C83180" w:rsidRPr="003F3B0A" w:rsidRDefault="00C83180" w:rsidP="00A53EA0">
            <w:pPr>
              <w:rPr>
                <w:rFonts w:ascii="Arial" w:hAnsi="Arial" w:cs="Arial"/>
                <w:sz w:val="18"/>
                <w:szCs w:val="20"/>
              </w:rPr>
            </w:pPr>
            <w:r w:rsidRPr="003F3B0A">
              <w:rPr>
                <w:rFonts w:ascii="Arial" w:hAnsi="Arial" w:cs="Arial"/>
                <w:sz w:val="18"/>
                <w:szCs w:val="20"/>
              </w:rPr>
              <w:t>- Fase III</w:t>
            </w:r>
          </w:p>
          <w:p w14:paraId="1C5C1E53" w14:textId="77777777" w:rsidR="00C83180" w:rsidRPr="003F3B0A" w:rsidRDefault="00C83180" w:rsidP="00A53EA0">
            <w:pPr>
              <w:rPr>
                <w:rFonts w:ascii="Arial" w:hAnsi="Arial" w:cs="Arial"/>
                <w:sz w:val="18"/>
                <w:szCs w:val="20"/>
              </w:rPr>
            </w:pPr>
            <w:r w:rsidRPr="003F3B0A">
              <w:rPr>
                <w:rFonts w:ascii="Arial" w:hAnsi="Arial" w:cs="Arial"/>
                <w:sz w:val="18"/>
                <w:szCs w:val="20"/>
              </w:rPr>
              <w:t>- Aleatorizado</w:t>
            </w:r>
          </w:p>
          <w:p w14:paraId="15042162" w14:textId="77777777" w:rsidR="00C83180" w:rsidRPr="003F3B0A" w:rsidRDefault="00C83180" w:rsidP="00A53EA0">
            <w:pPr>
              <w:rPr>
                <w:rFonts w:ascii="Arial" w:hAnsi="Arial" w:cs="Arial"/>
                <w:sz w:val="18"/>
                <w:szCs w:val="20"/>
              </w:rPr>
            </w:pPr>
            <w:r w:rsidRPr="003F3B0A">
              <w:rPr>
                <w:rFonts w:ascii="Arial" w:hAnsi="Arial" w:cs="Arial"/>
                <w:sz w:val="18"/>
                <w:szCs w:val="20"/>
              </w:rPr>
              <w:t>- Doble ciego</w:t>
            </w:r>
          </w:p>
          <w:p w14:paraId="5A816E2A" w14:textId="77777777" w:rsidR="00C83180" w:rsidRPr="003F3B0A" w:rsidRDefault="00C83180" w:rsidP="00A53EA0">
            <w:pPr>
              <w:rPr>
                <w:rFonts w:ascii="Arial" w:hAnsi="Arial" w:cs="Arial"/>
                <w:sz w:val="18"/>
                <w:szCs w:val="20"/>
              </w:rPr>
            </w:pPr>
            <w:r w:rsidRPr="003F3B0A">
              <w:rPr>
                <w:rFonts w:ascii="Arial" w:hAnsi="Arial" w:cs="Arial"/>
                <w:sz w:val="18"/>
                <w:szCs w:val="20"/>
              </w:rPr>
              <w:t>- No inferioridad (Δ-12%) en ITT</w:t>
            </w:r>
          </w:p>
          <w:p w14:paraId="326C18A0" w14:textId="77777777" w:rsidR="00C83180" w:rsidRPr="003F3B0A" w:rsidRDefault="00C83180" w:rsidP="00A53EA0">
            <w:pPr>
              <w:rPr>
                <w:rFonts w:ascii="Arial" w:hAnsi="Arial" w:cs="Arial"/>
                <w:sz w:val="18"/>
                <w:szCs w:val="20"/>
              </w:rPr>
            </w:pPr>
            <w:r w:rsidRPr="003F3B0A">
              <w:rPr>
                <w:rFonts w:ascii="Arial" w:hAnsi="Arial" w:cs="Arial"/>
                <w:sz w:val="18"/>
                <w:szCs w:val="20"/>
              </w:rPr>
              <w:t>- Análisis de superioridad</w:t>
            </w:r>
          </w:p>
        </w:tc>
        <w:tc>
          <w:tcPr>
            <w:tcW w:w="1489" w:type="dxa"/>
            <w:gridSpan w:val="2"/>
          </w:tcPr>
          <w:p w14:paraId="77F98405"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-DTG 50 mg. QD +TO</w:t>
            </w:r>
          </w:p>
          <w:p w14:paraId="3A4AA21D"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-RAL 400mg. BID + TO</w:t>
            </w:r>
          </w:p>
        </w:tc>
        <w:tc>
          <w:tcPr>
            <w:tcW w:w="921" w:type="dxa"/>
          </w:tcPr>
          <w:p w14:paraId="5C39F465" w14:textId="77777777" w:rsidR="00C83180" w:rsidRPr="003F3B0A" w:rsidRDefault="00C83180" w:rsidP="00A53EA0">
            <w:pPr>
              <w:rPr>
                <w:rFonts w:ascii="Arial" w:hAnsi="Arial" w:cs="Arial"/>
                <w:sz w:val="18"/>
                <w:szCs w:val="20"/>
              </w:rPr>
            </w:pPr>
            <w:r w:rsidRPr="003F3B0A">
              <w:rPr>
                <w:rFonts w:ascii="Arial" w:hAnsi="Arial" w:cs="Arial"/>
                <w:sz w:val="18"/>
                <w:szCs w:val="20"/>
              </w:rPr>
              <w:t>354</w:t>
            </w:r>
          </w:p>
          <w:p w14:paraId="3661B9EF" w14:textId="77777777" w:rsidR="00C83180" w:rsidRPr="003F3B0A" w:rsidRDefault="00C83180" w:rsidP="00A53EA0">
            <w:pPr>
              <w:rPr>
                <w:rFonts w:ascii="Arial" w:hAnsi="Arial" w:cs="Arial"/>
                <w:sz w:val="18"/>
                <w:szCs w:val="20"/>
              </w:rPr>
            </w:pPr>
            <w:r w:rsidRPr="003F3B0A">
              <w:rPr>
                <w:rFonts w:ascii="Arial" w:hAnsi="Arial" w:cs="Arial"/>
                <w:sz w:val="18"/>
                <w:szCs w:val="20"/>
              </w:rPr>
              <w:t>361</w:t>
            </w:r>
          </w:p>
        </w:tc>
        <w:tc>
          <w:tcPr>
            <w:tcW w:w="2600" w:type="dxa"/>
          </w:tcPr>
          <w:p w14:paraId="5E26C73C" w14:textId="77777777" w:rsidR="00C83180" w:rsidRPr="003F3B0A" w:rsidRDefault="00C83180" w:rsidP="00A53EA0">
            <w:pPr>
              <w:rPr>
                <w:rFonts w:ascii="Arial" w:hAnsi="Arial" w:cs="Arial"/>
                <w:sz w:val="18"/>
                <w:szCs w:val="20"/>
              </w:rPr>
            </w:pPr>
            <w:r w:rsidRPr="003F3B0A">
              <w:rPr>
                <w:rFonts w:ascii="Arial" w:hAnsi="Arial" w:cs="Arial"/>
                <w:sz w:val="18"/>
                <w:szCs w:val="20"/>
              </w:rPr>
              <w:t>- 71%: &lt; 50 cop/mL en sem 48</w:t>
            </w:r>
          </w:p>
          <w:p w14:paraId="10B63898" w14:textId="77777777" w:rsidR="00C83180" w:rsidRPr="003F3B0A" w:rsidRDefault="00C83180" w:rsidP="00A53EA0">
            <w:pPr>
              <w:rPr>
                <w:rFonts w:ascii="Arial" w:hAnsi="Arial" w:cs="Arial"/>
                <w:sz w:val="18"/>
                <w:szCs w:val="20"/>
              </w:rPr>
            </w:pPr>
            <w:r w:rsidRPr="003F3B0A">
              <w:rPr>
                <w:rFonts w:ascii="Arial" w:hAnsi="Arial" w:cs="Arial"/>
                <w:sz w:val="18"/>
                <w:szCs w:val="20"/>
              </w:rPr>
              <w:t>- 64%: &lt; 50 cop/mL en sem 48</w:t>
            </w:r>
          </w:p>
          <w:p w14:paraId="39A5D2FF" w14:textId="77777777" w:rsidR="00C83180" w:rsidRPr="003F3B0A" w:rsidRDefault="00C83180" w:rsidP="00A53EA0">
            <w:pPr>
              <w:rPr>
                <w:rFonts w:ascii="Arial" w:hAnsi="Arial" w:cs="Arial"/>
                <w:sz w:val="18"/>
                <w:szCs w:val="20"/>
              </w:rPr>
            </w:pPr>
            <w:r w:rsidRPr="003F3B0A">
              <w:rPr>
                <w:rFonts w:ascii="Arial" w:hAnsi="Arial" w:cs="Arial"/>
                <w:sz w:val="18"/>
                <w:szCs w:val="20"/>
              </w:rPr>
              <w:t>Δ: 7,4% (IC95%: 0,7 a 14,2%) en ITT</w:t>
            </w:r>
          </w:p>
        </w:tc>
        <w:tc>
          <w:tcPr>
            <w:tcW w:w="2502" w:type="dxa"/>
          </w:tcPr>
          <w:p w14:paraId="299C47D2" w14:textId="77777777" w:rsidR="00C83180" w:rsidRPr="003F3B0A" w:rsidRDefault="00C83180" w:rsidP="00A53EA0">
            <w:pPr>
              <w:rPr>
                <w:rFonts w:ascii="Arial" w:hAnsi="Arial" w:cs="Arial"/>
                <w:sz w:val="18"/>
                <w:szCs w:val="20"/>
              </w:rPr>
            </w:pPr>
            <w:r w:rsidRPr="003F3B0A">
              <w:rPr>
                <w:rFonts w:ascii="Arial" w:hAnsi="Arial" w:cs="Arial"/>
                <w:sz w:val="18"/>
                <w:szCs w:val="20"/>
              </w:rPr>
              <w:t>DTG 50 mg QD es superior a RAL BID, ambos con TO en pacientes con FV y experiencia previa a TAR</w:t>
            </w:r>
          </w:p>
        </w:tc>
        <w:tc>
          <w:tcPr>
            <w:tcW w:w="2632" w:type="dxa"/>
          </w:tcPr>
          <w:p w14:paraId="6B7C0C31" w14:textId="77777777" w:rsidR="00C83180" w:rsidRPr="003F3B0A" w:rsidRDefault="00C83180" w:rsidP="00A53EA0">
            <w:pPr>
              <w:rPr>
                <w:rFonts w:ascii="Arial" w:hAnsi="Arial" w:cs="Arial"/>
                <w:sz w:val="18"/>
                <w:szCs w:val="20"/>
              </w:rPr>
            </w:pPr>
            <w:r w:rsidRPr="003F3B0A">
              <w:rPr>
                <w:rFonts w:ascii="Arial" w:hAnsi="Arial" w:cs="Arial"/>
                <w:sz w:val="18"/>
                <w:szCs w:val="20"/>
              </w:rPr>
              <w:t>- Los pacientes con DTG presentaron menos FV y menos MR a INI</w:t>
            </w:r>
          </w:p>
          <w:p w14:paraId="10ECA9E4" w14:textId="77777777" w:rsidR="00C83180" w:rsidRPr="003F3B0A" w:rsidRDefault="00C83180" w:rsidP="00A53EA0">
            <w:pPr>
              <w:rPr>
                <w:rFonts w:ascii="Arial" w:hAnsi="Arial" w:cs="Arial"/>
                <w:sz w:val="18"/>
                <w:szCs w:val="20"/>
              </w:rPr>
            </w:pPr>
            <w:r w:rsidRPr="003F3B0A">
              <w:rPr>
                <w:rFonts w:ascii="Arial" w:hAnsi="Arial" w:cs="Arial"/>
                <w:sz w:val="18"/>
                <w:szCs w:val="20"/>
              </w:rPr>
              <w:t>- Los efectos adversos fueron similares en ambos grupos</w:t>
            </w:r>
          </w:p>
        </w:tc>
      </w:tr>
      <w:tr w:rsidR="00C83180" w:rsidRPr="003F3B0A" w14:paraId="1A7DA25B" w14:textId="77777777" w:rsidTr="00A53EA0">
        <w:trPr>
          <w:tblHeader/>
          <w:jc w:val="center"/>
        </w:trPr>
        <w:tc>
          <w:tcPr>
            <w:tcW w:w="1457" w:type="dxa"/>
          </w:tcPr>
          <w:p w14:paraId="0B2FC76C"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DTG</w:t>
            </w:r>
          </w:p>
          <w:p w14:paraId="43023C3F"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(VIKING 1-2</w:t>
            </w:r>
            <w:r w:rsidRPr="003F3B0A">
              <w:rPr>
                <w:rFonts w:ascii="Arial" w:hAnsi="Arial" w:cs="Arial"/>
                <w:b/>
                <w:bCs/>
                <w:noProof/>
                <w:sz w:val="18"/>
                <w:szCs w:val="20"/>
                <w:vertAlign w:val="superscript"/>
              </w:rPr>
              <w:t>38</w:t>
            </w:r>
            <w:r w:rsidRPr="003F3B0A">
              <w:rPr>
                <w:rFonts w:ascii="Arial" w:hAnsi="Arial" w:cs="Arial"/>
                <w:b/>
                <w:bCs/>
                <w:sz w:val="18"/>
                <w:szCs w:val="20"/>
              </w:rPr>
              <w:t>)</w:t>
            </w:r>
          </w:p>
        </w:tc>
        <w:tc>
          <w:tcPr>
            <w:tcW w:w="1770" w:type="dxa"/>
          </w:tcPr>
          <w:p w14:paraId="47CE17B3" w14:textId="77777777" w:rsidR="00C83180" w:rsidRPr="003F3B0A" w:rsidRDefault="00C83180" w:rsidP="00A53EA0">
            <w:pPr>
              <w:rPr>
                <w:rFonts w:ascii="Arial" w:hAnsi="Arial" w:cs="Arial"/>
                <w:sz w:val="18"/>
                <w:szCs w:val="20"/>
              </w:rPr>
            </w:pPr>
            <w:r w:rsidRPr="003F3B0A">
              <w:rPr>
                <w:rFonts w:ascii="Arial" w:hAnsi="Arial" w:cs="Arial"/>
                <w:sz w:val="18"/>
                <w:szCs w:val="20"/>
              </w:rPr>
              <w:t>- CV ≥1000 copias/mL</w:t>
            </w:r>
          </w:p>
          <w:p w14:paraId="48700D90" w14:textId="77777777" w:rsidR="00C83180" w:rsidRPr="003F3B0A" w:rsidRDefault="00C83180" w:rsidP="00A53EA0">
            <w:pPr>
              <w:rPr>
                <w:rFonts w:ascii="Arial" w:hAnsi="Arial" w:cs="Arial"/>
                <w:sz w:val="18"/>
                <w:szCs w:val="20"/>
              </w:rPr>
            </w:pPr>
            <w:r w:rsidRPr="003F3B0A">
              <w:rPr>
                <w:rFonts w:ascii="Arial" w:hAnsi="Arial" w:cs="Arial"/>
                <w:sz w:val="18"/>
                <w:szCs w:val="20"/>
              </w:rPr>
              <w:t>- Resistencia genotípica a RAL</w:t>
            </w:r>
          </w:p>
          <w:p w14:paraId="0DC5177F" w14:textId="77777777" w:rsidR="00C83180" w:rsidRPr="003F3B0A" w:rsidRDefault="00C83180" w:rsidP="00A53EA0">
            <w:pPr>
              <w:rPr>
                <w:rFonts w:ascii="Arial" w:hAnsi="Arial" w:cs="Arial"/>
                <w:sz w:val="18"/>
                <w:szCs w:val="20"/>
              </w:rPr>
            </w:pPr>
            <w:r w:rsidRPr="003F3B0A">
              <w:rPr>
                <w:rFonts w:ascii="Arial" w:hAnsi="Arial" w:cs="Arial"/>
                <w:sz w:val="18"/>
                <w:szCs w:val="20"/>
              </w:rPr>
              <w:t>- Resistencia a ITIAN, ITNN, IF o IP</w:t>
            </w:r>
          </w:p>
          <w:p w14:paraId="5D230FDE"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≥1 FAR activo en TO de la cohorte 1 </w:t>
            </w:r>
          </w:p>
        </w:tc>
        <w:tc>
          <w:tcPr>
            <w:tcW w:w="1559" w:type="dxa"/>
            <w:gridSpan w:val="2"/>
          </w:tcPr>
          <w:p w14:paraId="2524A259" w14:textId="77777777" w:rsidR="00C83180" w:rsidRPr="003F3B0A" w:rsidRDefault="00C83180" w:rsidP="00A53EA0">
            <w:pPr>
              <w:rPr>
                <w:rFonts w:ascii="Arial" w:hAnsi="Arial" w:cs="Arial"/>
                <w:sz w:val="18"/>
                <w:szCs w:val="20"/>
              </w:rPr>
            </w:pPr>
            <w:r w:rsidRPr="003F3B0A">
              <w:rPr>
                <w:rFonts w:ascii="Arial" w:hAnsi="Arial" w:cs="Arial"/>
                <w:sz w:val="18"/>
                <w:szCs w:val="20"/>
              </w:rPr>
              <w:t>-Fase IIb</w:t>
            </w:r>
          </w:p>
          <w:p w14:paraId="0974FCFD" w14:textId="77777777" w:rsidR="00C83180" w:rsidRPr="003F3B0A" w:rsidRDefault="00C83180" w:rsidP="00A53EA0">
            <w:pPr>
              <w:rPr>
                <w:rFonts w:ascii="Arial" w:hAnsi="Arial" w:cs="Arial"/>
                <w:sz w:val="18"/>
                <w:szCs w:val="20"/>
              </w:rPr>
            </w:pPr>
            <w:r w:rsidRPr="003F3B0A">
              <w:rPr>
                <w:rFonts w:ascii="Arial" w:hAnsi="Arial" w:cs="Arial"/>
                <w:sz w:val="18"/>
                <w:szCs w:val="20"/>
              </w:rPr>
              <w:t>-2 cohortes</w:t>
            </w:r>
          </w:p>
          <w:p w14:paraId="681A226A" w14:textId="77777777" w:rsidR="00C83180" w:rsidRPr="003F3B0A" w:rsidRDefault="00C83180" w:rsidP="00A53EA0">
            <w:pPr>
              <w:rPr>
                <w:rFonts w:ascii="Arial" w:hAnsi="Arial" w:cs="Arial"/>
                <w:sz w:val="18"/>
                <w:szCs w:val="20"/>
              </w:rPr>
            </w:pPr>
            <w:r w:rsidRPr="003F3B0A">
              <w:rPr>
                <w:rFonts w:ascii="Arial" w:hAnsi="Arial" w:cs="Arial"/>
                <w:sz w:val="18"/>
                <w:szCs w:val="20"/>
              </w:rPr>
              <w:t>-1ª fase monoterapia funcional: DTG</w:t>
            </w:r>
          </w:p>
          <w:p w14:paraId="4DA738AA" w14:textId="77777777" w:rsidR="00C83180" w:rsidRPr="003F3B0A" w:rsidRDefault="00C83180" w:rsidP="00A53EA0">
            <w:pPr>
              <w:rPr>
                <w:rFonts w:ascii="Arial" w:hAnsi="Arial" w:cs="Arial"/>
                <w:sz w:val="18"/>
                <w:szCs w:val="20"/>
              </w:rPr>
            </w:pPr>
            <w:r w:rsidRPr="003F3B0A">
              <w:rPr>
                <w:rFonts w:ascii="Arial" w:hAnsi="Arial" w:cs="Arial"/>
                <w:sz w:val="18"/>
                <w:szCs w:val="20"/>
              </w:rPr>
              <w:t>- 2ª fase DTG +TO</w:t>
            </w:r>
          </w:p>
          <w:p w14:paraId="2335AAC6" w14:textId="77777777" w:rsidR="00C83180" w:rsidRPr="003F3B0A" w:rsidRDefault="00C83180" w:rsidP="00A53EA0">
            <w:pPr>
              <w:rPr>
                <w:rFonts w:ascii="Arial" w:hAnsi="Arial" w:cs="Arial"/>
                <w:sz w:val="18"/>
                <w:szCs w:val="20"/>
              </w:rPr>
            </w:pPr>
          </w:p>
        </w:tc>
        <w:tc>
          <w:tcPr>
            <w:tcW w:w="1489" w:type="dxa"/>
            <w:gridSpan w:val="2"/>
          </w:tcPr>
          <w:p w14:paraId="5CE53FAD"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-DTG 50 mg. BID +TO</w:t>
            </w:r>
          </w:p>
          <w:p w14:paraId="61C8B034" w14:textId="77777777" w:rsidR="00C83180" w:rsidRPr="003F3B0A" w:rsidRDefault="00C83180" w:rsidP="00A53EA0">
            <w:pPr>
              <w:rPr>
                <w:rFonts w:ascii="Arial" w:hAnsi="Arial" w:cs="Arial"/>
                <w:sz w:val="18"/>
                <w:szCs w:val="20"/>
                <w:lang w:val="en-US"/>
              </w:rPr>
            </w:pPr>
            <w:r w:rsidRPr="003F3B0A">
              <w:rPr>
                <w:rFonts w:ascii="Arial" w:hAnsi="Arial" w:cs="Arial"/>
                <w:sz w:val="18"/>
                <w:szCs w:val="20"/>
                <w:lang w:val="en-US"/>
              </w:rPr>
              <w:t>-DTG 50mg. QD + TO</w:t>
            </w:r>
          </w:p>
        </w:tc>
        <w:tc>
          <w:tcPr>
            <w:tcW w:w="921" w:type="dxa"/>
          </w:tcPr>
          <w:p w14:paraId="6B1CAB5B" w14:textId="77777777" w:rsidR="00C83180" w:rsidRPr="003F3B0A" w:rsidRDefault="00C83180" w:rsidP="00A53EA0">
            <w:pPr>
              <w:rPr>
                <w:rFonts w:ascii="Arial" w:hAnsi="Arial" w:cs="Arial"/>
                <w:sz w:val="18"/>
                <w:szCs w:val="20"/>
              </w:rPr>
            </w:pPr>
            <w:r w:rsidRPr="003F3B0A">
              <w:rPr>
                <w:rFonts w:ascii="Arial" w:hAnsi="Arial" w:cs="Arial"/>
                <w:sz w:val="18"/>
                <w:szCs w:val="20"/>
              </w:rPr>
              <w:t>24</w:t>
            </w:r>
          </w:p>
          <w:p w14:paraId="45E6B48D" w14:textId="77777777" w:rsidR="00C83180" w:rsidRPr="003F3B0A" w:rsidRDefault="00C83180" w:rsidP="00A53EA0">
            <w:pPr>
              <w:rPr>
                <w:rFonts w:ascii="Arial" w:hAnsi="Arial" w:cs="Arial"/>
                <w:sz w:val="18"/>
                <w:szCs w:val="20"/>
              </w:rPr>
            </w:pPr>
            <w:r w:rsidRPr="003F3B0A">
              <w:rPr>
                <w:rFonts w:ascii="Arial" w:hAnsi="Arial" w:cs="Arial"/>
                <w:sz w:val="18"/>
                <w:szCs w:val="20"/>
              </w:rPr>
              <w:t>27</w:t>
            </w:r>
          </w:p>
        </w:tc>
        <w:tc>
          <w:tcPr>
            <w:tcW w:w="2600" w:type="dxa"/>
          </w:tcPr>
          <w:p w14:paraId="3EA94DAE" w14:textId="77777777" w:rsidR="00C83180" w:rsidRPr="003F3B0A" w:rsidRDefault="00C83180" w:rsidP="00A53EA0">
            <w:pPr>
              <w:rPr>
                <w:rFonts w:ascii="Arial" w:hAnsi="Arial" w:cs="Arial"/>
                <w:sz w:val="18"/>
                <w:szCs w:val="20"/>
              </w:rPr>
            </w:pPr>
            <w:r w:rsidRPr="003F3B0A">
              <w:rPr>
                <w:rFonts w:ascii="Arial" w:hAnsi="Arial" w:cs="Arial"/>
                <w:sz w:val="18"/>
                <w:szCs w:val="20"/>
              </w:rPr>
              <w:t>- 75%: &lt; 50 cop/mL en 24 sem</w:t>
            </w:r>
          </w:p>
          <w:p w14:paraId="0015D87E" w14:textId="77777777" w:rsidR="00C83180" w:rsidRPr="003F3B0A" w:rsidRDefault="00C83180" w:rsidP="00A53EA0">
            <w:pPr>
              <w:rPr>
                <w:rFonts w:ascii="Arial" w:hAnsi="Arial" w:cs="Arial"/>
                <w:sz w:val="18"/>
                <w:szCs w:val="20"/>
              </w:rPr>
            </w:pPr>
            <w:r w:rsidRPr="003F3B0A">
              <w:rPr>
                <w:rFonts w:ascii="Arial" w:hAnsi="Arial" w:cs="Arial"/>
                <w:sz w:val="18"/>
                <w:szCs w:val="20"/>
              </w:rPr>
              <w:t>- 41%: &lt; 50 cop/mL en 24 sem</w:t>
            </w:r>
          </w:p>
          <w:p w14:paraId="611F09CD" w14:textId="77777777" w:rsidR="00C83180" w:rsidRPr="003F3B0A" w:rsidRDefault="00C83180" w:rsidP="00A53EA0">
            <w:pPr>
              <w:rPr>
                <w:rFonts w:ascii="Arial" w:hAnsi="Arial" w:cs="Arial"/>
                <w:sz w:val="18"/>
                <w:szCs w:val="20"/>
              </w:rPr>
            </w:pPr>
          </w:p>
        </w:tc>
        <w:tc>
          <w:tcPr>
            <w:tcW w:w="2502" w:type="dxa"/>
          </w:tcPr>
          <w:p w14:paraId="7EC7E7DE" w14:textId="77777777" w:rsidR="00C83180" w:rsidRPr="003F3B0A" w:rsidRDefault="00C83180" w:rsidP="00A53EA0">
            <w:pPr>
              <w:rPr>
                <w:rFonts w:ascii="Arial" w:hAnsi="Arial" w:cs="Arial"/>
                <w:sz w:val="18"/>
                <w:szCs w:val="20"/>
              </w:rPr>
            </w:pPr>
            <w:r w:rsidRPr="003F3B0A">
              <w:rPr>
                <w:rFonts w:ascii="Arial" w:hAnsi="Arial" w:cs="Arial"/>
                <w:sz w:val="18"/>
                <w:szCs w:val="20"/>
              </w:rPr>
              <w:t>DTG 50 mg BID + TO es más eficaz que DTG QD en pacientes con resistencia a RAL</w:t>
            </w:r>
          </w:p>
        </w:tc>
        <w:tc>
          <w:tcPr>
            <w:tcW w:w="2632" w:type="dxa"/>
          </w:tcPr>
          <w:p w14:paraId="56173ACA"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La toxicidad fue similar en ambos grupos  </w:t>
            </w:r>
          </w:p>
          <w:p w14:paraId="54373D0F" w14:textId="77777777" w:rsidR="00C83180" w:rsidRPr="003F3B0A" w:rsidRDefault="00C83180" w:rsidP="00A53EA0">
            <w:pPr>
              <w:rPr>
                <w:rFonts w:ascii="Arial" w:hAnsi="Arial" w:cs="Arial"/>
                <w:sz w:val="18"/>
                <w:szCs w:val="20"/>
              </w:rPr>
            </w:pPr>
            <w:r w:rsidRPr="003F3B0A">
              <w:rPr>
                <w:rFonts w:ascii="Arial" w:hAnsi="Arial" w:cs="Arial"/>
                <w:sz w:val="18"/>
                <w:szCs w:val="20"/>
              </w:rPr>
              <w:t>- Selección de resistencias a INI:  &lt;15% de todos los pacientes</w:t>
            </w:r>
          </w:p>
          <w:p w14:paraId="662E54F2" w14:textId="77777777" w:rsidR="00C83180" w:rsidRPr="003F3B0A" w:rsidRDefault="00C83180" w:rsidP="00A53EA0">
            <w:pPr>
              <w:rPr>
                <w:rFonts w:ascii="Arial" w:hAnsi="Arial" w:cs="Arial"/>
                <w:sz w:val="18"/>
                <w:szCs w:val="20"/>
              </w:rPr>
            </w:pPr>
            <w:r w:rsidRPr="003F3B0A">
              <w:rPr>
                <w:rFonts w:ascii="Arial" w:hAnsi="Arial" w:cs="Arial"/>
                <w:sz w:val="18"/>
                <w:szCs w:val="20"/>
              </w:rPr>
              <w:t>- No se detectaron nuevas mutaciones a INI</w:t>
            </w:r>
          </w:p>
        </w:tc>
      </w:tr>
      <w:tr w:rsidR="00C83180" w:rsidRPr="003F3B0A" w14:paraId="5E9B3C09" w14:textId="77777777" w:rsidTr="00A53EA0">
        <w:trPr>
          <w:tblHeader/>
          <w:jc w:val="center"/>
        </w:trPr>
        <w:tc>
          <w:tcPr>
            <w:tcW w:w="1457" w:type="dxa"/>
          </w:tcPr>
          <w:p w14:paraId="60CA39C0"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lastRenderedPageBreak/>
              <w:t>DTG</w:t>
            </w:r>
          </w:p>
          <w:p w14:paraId="49165989" w14:textId="77777777" w:rsidR="00C83180" w:rsidRPr="003F3B0A" w:rsidRDefault="00C83180" w:rsidP="00A53EA0">
            <w:pPr>
              <w:rPr>
                <w:rFonts w:ascii="Arial" w:hAnsi="Arial" w:cs="Arial"/>
                <w:bCs/>
                <w:sz w:val="18"/>
                <w:szCs w:val="20"/>
              </w:rPr>
            </w:pPr>
            <w:r w:rsidRPr="003F3B0A">
              <w:rPr>
                <w:rFonts w:ascii="Arial" w:hAnsi="Arial" w:cs="Arial"/>
                <w:b/>
                <w:bCs/>
                <w:sz w:val="18"/>
                <w:szCs w:val="20"/>
              </w:rPr>
              <w:t>(VIKING-3</w:t>
            </w:r>
            <w:r w:rsidRPr="003F3B0A">
              <w:rPr>
                <w:rFonts w:ascii="Arial" w:hAnsi="Arial" w:cs="Arial"/>
                <w:b/>
                <w:bCs/>
                <w:noProof/>
                <w:sz w:val="18"/>
                <w:szCs w:val="20"/>
                <w:vertAlign w:val="superscript"/>
              </w:rPr>
              <w:t>39</w:t>
            </w:r>
            <w:r w:rsidRPr="003F3B0A">
              <w:rPr>
                <w:rFonts w:ascii="Arial" w:hAnsi="Arial" w:cs="Arial"/>
                <w:b/>
                <w:bCs/>
                <w:sz w:val="18"/>
                <w:szCs w:val="20"/>
              </w:rPr>
              <w:t>)</w:t>
            </w:r>
          </w:p>
        </w:tc>
        <w:tc>
          <w:tcPr>
            <w:tcW w:w="1770" w:type="dxa"/>
          </w:tcPr>
          <w:p w14:paraId="7975ADFD" w14:textId="77777777" w:rsidR="00C83180" w:rsidRPr="003F3B0A" w:rsidRDefault="00C83180" w:rsidP="00A53EA0">
            <w:pPr>
              <w:rPr>
                <w:rFonts w:ascii="Arial" w:hAnsi="Arial" w:cs="Arial"/>
                <w:sz w:val="18"/>
                <w:szCs w:val="20"/>
              </w:rPr>
            </w:pPr>
            <w:r w:rsidRPr="003F3B0A">
              <w:rPr>
                <w:rFonts w:ascii="Arial" w:hAnsi="Arial" w:cs="Arial"/>
                <w:sz w:val="18"/>
                <w:szCs w:val="20"/>
              </w:rPr>
              <w:t>- CV ≥500 copias/mL       - Resistencia genotípica a RAL/EVG</w:t>
            </w:r>
          </w:p>
          <w:p w14:paraId="32A0BF38" w14:textId="77777777" w:rsidR="00C83180" w:rsidRPr="003F3B0A" w:rsidRDefault="00C83180" w:rsidP="00A53EA0">
            <w:pPr>
              <w:rPr>
                <w:rFonts w:ascii="Arial" w:hAnsi="Arial" w:cs="Arial"/>
                <w:sz w:val="18"/>
                <w:szCs w:val="20"/>
              </w:rPr>
            </w:pPr>
            <w:r w:rsidRPr="003F3B0A">
              <w:rPr>
                <w:rFonts w:ascii="Arial" w:hAnsi="Arial" w:cs="Arial"/>
                <w:sz w:val="18"/>
                <w:szCs w:val="20"/>
              </w:rPr>
              <w:t>- Resistencia a ≥ 2 familias de FAR</w:t>
            </w:r>
          </w:p>
          <w:p w14:paraId="5BD48801"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 ≥1 FAR activo en TO </w:t>
            </w:r>
          </w:p>
        </w:tc>
        <w:tc>
          <w:tcPr>
            <w:tcW w:w="1559" w:type="dxa"/>
            <w:gridSpan w:val="2"/>
          </w:tcPr>
          <w:p w14:paraId="03728534" w14:textId="77777777" w:rsidR="00C83180" w:rsidRPr="003F3B0A" w:rsidRDefault="00C83180" w:rsidP="00A53EA0">
            <w:pPr>
              <w:rPr>
                <w:rFonts w:ascii="Arial" w:hAnsi="Arial" w:cs="Arial"/>
                <w:sz w:val="18"/>
                <w:szCs w:val="20"/>
              </w:rPr>
            </w:pPr>
            <w:r w:rsidRPr="003F3B0A">
              <w:rPr>
                <w:rFonts w:ascii="Arial" w:hAnsi="Arial" w:cs="Arial"/>
                <w:sz w:val="18"/>
                <w:szCs w:val="20"/>
              </w:rPr>
              <w:t>-Fase III</w:t>
            </w:r>
          </w:p>
          <w:p w14:paraId="5B6CD283" w14:textId="77777777" w:rsidR="00C83180" w:rsidRPr="003F3B0A" w:rsidRDefault="00C83180" w:rsidP="00A53EA0">
            <w:pPr>
              <w:rPr>
                <w:rFonts w:ascii="Arial" w:hAnsi="Arial" w:cs="Arial"/>
                <w:sz w:val="18"/>
                <w:szCs w:val="20"/>
              </w:rPr>
            </w:pPr>
            <w:r w:rsidRPr="003F3B0A">
              <w:rPr>
                <w:rFonts w:ascii="Arial" w:hAnsi="Arial" w:cs="Arial"/>
                <w:sz w:val="18"/>
                <w:szCs w:val="20"/>
              </w:rPr>
              <w:t>-Abierto, brazo único</w:t>
            </w:r>
          </w:p>
        </w:tc>
        <w:tc>
          <w:tcPr>
            <w:tcW w:w="1489" w:type="dxa"/>
            <w:gridSpan w:val="2"/>
          </w:tcPr>
          <w:p w14:paraId="78D4D563" w14:textId="77777777" w:rsidR="00C83180" w:rsidRPr="003F3B0A" w:rsidRDefault="00C83180" w:rsidP="00A53EA0">
            <w:pPr>
              <w:rPr>
                <w:rFonts w:ascii="Arial" w:hAnsi="Arial" w:cs="Arial"/>
                <w:sz w:val="18"/>
                <w:szCs w:val="20"/>
              </w:rPr>
            </w:pPr>
            <w:r w:rsidRPr="003F3B0A">
              <w:rPr>
                <w:rFonts w:ascii="Arial" w:hAnsi="Arial" w:cs="Arial"/>
                <w:sz w:val="18"/>
                <w:szCs w:val="20"/>
              </w:rPr>
              <w:t>DTG 50mg BID + TO</w:t>
            </w:r>
          </w:p>
        </w:tc>
        <w:tc>
          <w:tcPr>
            <w:tcW w:w="921" w:type="dxa"/>
          </w:tcPr>
          <w:p w14:paraId="180B2317" w14:textId="77777777" w:rsidR="00C83180" w:rsidRPr="003F3B0A" w:rsidRDefault="00C83180" w:rsidP="00A53EA0">
            <w:pPr>
              <w:rPr>
                <w:rFonts w:ascii="Arial" w:hAnsi="Arial" w:cs="Arial"/>
                <w:sz w:val="18"/>
                <w:szCs w:val="20"/>
              </w:rPr>
            </w:pPr>
            <w:r w:rsidRPr="003F3B0A">
              <w:rPr>
                <w:rFonts w:ascii="Arial" w:hAnsi="Arial" w:cs="Arial"/>
                <w:sz w:val="18"/>
                <w:szCs w:val="20"/>
              </w:rPr>
              <w:t>183</w:t>
            </w:r>
          </w:p>
        </w:tc>
        <w:tc>
          <w:tcPr>
            <w:tcW w:w="2600" w:type="dxa"/>
          </w:tcPr>
          <w:p w14:paraId="7E4DE106" w14:textId="77777777" w:rsidR="00C83180" w:rsidRPr="003F3B0A" w:rsidRDefault="00C83180" w:rsidP="00A53EA0">
            <w:pPr>
              <w:rPr>
                <w:rFonts w:ascii="Arial" w:hAnsi="Arial" w:cs="Arial"/>
                <w:sz w:val="18"/>
                <w:szCs w:val="20"/>
              </w:rPr>
            </w:pPr>
            <w:r w:rsidRPr="003F3B0A">
              <w:rPr>
                <w:rFonts w:ascii="Arial" w:hAnsi="Arial" w:cs="Arial"/>
                <w:sz w:val="18"/>
                <w:szCs w:val="20"/>
              </w:rPr>
              <w:t>- 69%: &lt; 50 cop/mL en 24 sem</w:t>
            </w:r>
          </w:p>
        </w:tc>
        <w:tc>
          <w:tcPr>
            <w:tcW w:w="2502" w:type="dxa"/>
          </w:tcPr>
          <w:p w14:paraId="0CBEA1D0" w14:textId="77777777" w:rsidR="00C83180" w:rsidRPr="003F3B0A" w:rsidRDefault="00C83180" w:rsidP="00A53EA0">
            <w:pPr>
              <w:rPr>
                <w:rFonts w:ascii="Arial" w:hAnsi="Arial" w:cs="Arial"/>
                <w:sz w:val="18"/>
                <w:szCs w:val="20"/>
              </w:rPr>
            </w:pPr>
            <w:r w:rsidRPr="003F3B0A">
              <w:rPr>
                <w:rFonts w:ascii="Arial" w:hAnsi="Arial" w:cs="Arial"/>
                <w:sz w:val="18"/>
                <w:szCs w:val="20"/>
              </w:rPr>
              <w:t>DTG 50mg BID + TO es eficaz en pacientes con fracaso previo a RAL o EVG y otros FAR</w:t>
            </w:r>
          </w:p>
        </w:tc>
        <w:tc>
          <w:tcPr>
            <w:tcW w:w="2632" w:type="dxa"/>
          </w:tcPr>
          <w:p w14:paraId="08525B25" w14:textId="77777777" w:rsidR="00C83180" w:rsidRPr="003F3B0A" w:rsidRDefault="00C83180" w:rsidP="00A53EA0">
            <w:pPr>
              <w:rPr>
                <w:rFonts w:ascii="Arial" w:hAnsi="Arial" w:cs="Arial"/>
                <w:sz w:val="18"/>
                <w:szCs w:val="20"/>
              </w:rPr>
            </w:pPr>
            <w:r w:rsidRPr="003F3B0A">
              <w:rPr>
                <w:rFonts w:ascii="Arial" w:hAnsi="Arial" w:cs="Arial"/>
                <w:sz w:val="18"/>
                <w:szCs w:val="20"/>
              </w:rPr>
              <w:t>- La presencia de MR basales: Q148+ ≥2 mutaciones a INI reducen la eficacia de DTG</w:t>
            </w:r>
          </w:p>
          <w:p w14:paraId="5A7F3EDB" w14:textId="77777777" w:rsidR="00C83180" w:rsidRPr="003F3B0A" w:rsidRDefault="00C83180" w:rsidP="00A53EA0">
            <w:pPr>
              <w:rPr>
                <w:rFonts w:ascii="Arial" w:hAnsi="Arial" w:cs="Arial"/>
                <w:sz w:val="18"/>
                <w:szCs w:val="20"/>
              </w:rPr>
            </w:pPr>
            <w:r w:rsidRPr="003F3B0A">
              <w:rPr>
                <w:rFonts w:ascii="Arial" w:hAnsi="Arial" w:cs="Arial"/>
                <w:sz w:val="18"/>
                <w:szCs w:val="20"/>
              </w:rPr>
              <w:t>- La tasa de suspensión por efectos adversos con DTG 50mg BID es baja (3%)</w:t>
            </w:r>
          </w:p>
        </w:tc>
      </w:tr>
      <w:tr w:rsidR="00C83180" w:rsidRPr="003F3B0A" w14:paraId="076582D6" w14:textId="77777777" w:rsidTr="00A53EA0">
        <w:trPr>
          <w:tblHeader/>
          <w:jc w:val="center"/>
        </w:trPr>
        <w:tc>
          <w:tcPr>
            <w:tcW w:w="1457" w:type="dxa"/>
          </w:tcPr>
          <w:p w14:paraId="045B155E"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DTG</w:t>
            </w:r>
          </w:p>
          <w:p w14:paraId="354F606F" w14:textId="77777777" w:rsidR="00C83180" w:rsidRPr="003F3B0A" w:rsidRDefault="00C83180" w:rsidP="00A53EA0">
            <w:pPr>
              <w:rPr>
                <w:rFonts w:ascii="Arial" w:hAnsi="Arial" w:cs="Arial"/>
                <w:b/>
                <w:bCs/>
                <w:sz w:val="18"/>
                <w:szCs w:val="20"/>
              </w:rPr>
            </w:pPr>
            <w:r w:rsidRPr="003F3B0A">
              <w:rPr>
                <w:rFonts w:ascii="Arial" w:hAnsi="Arial" w:cs="Arial"/>
                <w:b/>
                <w:bCs/>
                <w:sz w:val="18"/>
                <w:szCs w:val="20"/>
              </w:rPr>
              <w:t>(VIKING-4</w:t>
            </w:r>
            <w:r w:rsidRPr="003F3B0A">
              <w:rPr>
                <w:rFonts w:ascii="Arial" w:hAnsi="Arial" w:cs="Arial"/>
                <w:b/>
                <w:bCs/>
                <w:noProof/>
                <w:sz w:val="18"/>
                <w:szCs w:val="20"/>
                <w:vertAlign w:val="superscript"/>
              </w:rPr>
              <w:t>41</w:t>
            </w:r>
            <w:r w:rsidRPr="003F3B0A">
              <w:rPr>
                <w:rFonts w:ascii="Arial" w:hAnsi="Arial" w:cs="Arial"/>
                <w:b/>
                <w:bCs/>
                <w:sz w:val="18"/>
                <w:szCs w:val="20"/>
              </w:rPr>
              <w:t>)</w:t>
            </w:r>
          </w:p>
        </w:tc>
        <w:tc>
          <w:tcPr>
            <w:tcW w:w="1770" w:type="dxa"/>
          </w:tcPr>
          <w:p w14:paraId="41335F63" w14:textId="77777777" w:rsidR="00C83180" w:rsidRPr="003F3B0A" w:rsidRDefault="00C83180" w:rsidP="00A53EA0">
            <w:pPr>
              <w:rPr>
                <w:rFonts w:ascii="Arial" w:hAnsi="Arial" w:cs="Arial"/>
                <w:sz w:val="18"/>
                <w:szCs w:val="20"/>
              </w:rPr>
            </w:pPr>
            <w:r w:rsidRPr="003F3B0A">
              <w:rPr>
                <w:rFonts w:ascii="Arial" w:hAnsi="Arial" w:cs="Arial"/>
                <w:sz w:val="18"/>
                <w:szCs w:val="20"/>
              </w:rPr>
              <w:t>- Resistencia genotípica a RAL/EVG. + resistencia a ≥2 familias diferentes</w:t>
            </w:r>
          </w:p>
          <w:p w14:paraId="6ADF235E" w14:textId="77777777" w:rsidR="00C83180" w:rsidRPr="003F3B0A" w:rsidRDefault="00C83180" w:rsidP="00A53EA0">
            <w:pPr>
              <w:rPr>
                <w:rFonts w:ascii="Arial" w:hAnsi="Arial" w:cs="Arial"/>
                <w:sz w:val="18"/>
                <w:szCs w:val="20"/>
              </w:rPr>
            </w:pPr>
            <w:r w:rsidRPr="003F3B0A">
              <w:rPr>
                <w:rFonts w:ascii="Arial" w:hAnsi="Arial" w:cs="Arial"/>
                <w:sz w:val="18"/>
                <w:szCs w:val="20"/>
              </w:rPr>
              <w:t>- ≥1 FAR activo en TO</w:t>
            </w:r>
          </w:p>
        </w:tc>
        <w:tc>
          <w:tcPr>
            <w:tcW w:w="1559" w:type="dxa"/>
            <w:gridSpan w:val="2"/>
          </w:tcPr>
          <w:p w14:paraId="0D5CB527" w14:textId="77777777" w:rsidR="00C83180" w:rsidRPr="003F3B0A" w:rsidRDefault="00C83180" w:rsidP="00A53EA0">
            <w:pPr>
              <w:rPr>
                <w:rFonts w:ascii="Arial" w:hAnsi="Arial" w:cs="Arial"/>
                <w:sz w:val="18"/>
                <w:szCs w:val="20"/>
              </w:rPr>
            </w:pPr>
            <w:r w:rsidRPr="003F3B0A">
              <w:rPr>
                <w:rFonts w:ascii="Arial" w:hAnsi="Arial" w:cs="Arial"/>
                <w:sz w:val="18"/>
                <w:szCs w:val="20"/>
              </w:rPr>
              <w:t xml:space="preserve">-Fase III. </w:t>
            </w:r>
          </w:p>
          <w:p w14:paraId="389E5124" w14:textId="77777777" w:rsidR="00C83180" w:rsidRPr="003F3B0A" w:rsidRDefault="00C83180" w:rsidP="00A53EA0">
            <w:pPr>
              <w:rPr>
                <w:rFonts w:ascii="Arial" w:hAnsi="Arial" w:cs="Arial"/>
                <w:sz w:val="18"/>
                <w:szCs w:val="20"/>
              </w:rPr>
            </w:pPr>
            <w:r w:rsidRPr="003F3B0A">
              <w:rPr>
                <w:rFonts w:ascii="Arial" w:hAnsi="Arial" w:cs="Arial"/>
                <w:sz w:val="18"/>
                <w:szCs w:val="20"/>
              </w:rPr>
              <w:t>-Aleatorizado, doble ciego.          -Abierto a partir del 8º día</w:t>
            </w:r>
          </w:p>
          <w:p w14:paraId="2C9B9FDB" w14:textId="77777777" w:rsidR="00C83180" w:rsidRPr="003F3B0A" w:rsidRDefault="00C83180" w:rsidP="00A53EA0">
            <w:pPr>
              <w:rPr>
                <w:rFonts w:ascii="Arial" w:hAnsi="Arial" w:cs="Arial"/>
                <w:sz w:val="18"/>
                <w:szCs w:val="20"/>
              </w:rPr>
            </w:pPr>
          </w:p>
        </w:tc>
        <w:tc>
          <w:tcPr>
            <w:tcW w:w="1489" w:type="dxa"/>
            <w:gridSpan w:val="2"/>
          </w:tcPr>
          <w:p w14:paraId="69505CDD" w14:textId="77777777" w:rsidR="00C83180" w:rsidRPr="003F3B0A" w:rsidRDefault="00C83180" w:rsidP="00A53EA0">
            <w:pPr>
              <w:rPr>
                <w:rFonts w:ascii="Arial" w:hAnsi="Arial" w:cs="Arial"/>
                <w:sz w:val="18"/>
                <w:szCs w:val="20"/>
              </w:rPr>
            </w:pPr>
            <w:r w:rsidRPr="003F3B0A">
              <w:rPr>
                <w:rFonts w:ascii="Arial" w:hAnsi="Arial" w:cs="Arial"/>
                <w:sz w:val="18"/>
                <w:szCs w:val="20"/>
              </w:rPr>
              <w:t>Primeros 7 días:</w:t>
            </w:r>
          </w:p>
          <w:p w14:paraId="4B076EFD" w14:textId="77777777" w:rsidR="00C83180" w:rsidRPr="003F3B0A" w:rsidRDefault="00C83180" w:rsidP="00A53EA0">
            <w:pPr>
              <w:rPr>
                <w:rFonts w:ascii="Arial" w:hAnsi="Arial" w:cs="Arial"/>
                <w:sz w:val="18"/>
                <w:szCs w:val="20"/>
              </w:rPr>
            </w:pPr>
            <w:r w:rsidRPr="003F3B0A">
              <w:rPr>
                <w:rFonts w:ascii="Arial" w:hAnsi="Arial" w:cs="Arial"/>
                <w:sz w:val="18"/>
                <w:szCs w:val="20"/>
              </w:rPr>
              <w:t>-DTG 50 mg. BID vs. placebo + TAR previo (excepto EVG/RAL)</w:t>
            </w:r>
          </w:p>
          <w:p w14:paraId="7739BE8B" w14:textId="77777777" w:rsidR="00C83180" w:rsidRPr="003F3B0A" w:rsidRDefault="00C83180" w:rsidP="00A53EA0">
            <w:pPr>
              <w:rPr>
                <w:rFonts w:ascii="Arial" w:hAnsi="Arial" w:cs="Arial"/>
                <w:sz w:val="18"/>
                <w:szCs w:val="20"/>
              </w:rPr>
            </w:pPr>
            <w:r w:rsidRPr="003F3B0A">
              <w:rPr>
                <w:rFonts w:ascii="Arial" w:hAnsi="Arial" w:cs="Arial"/>
                <w:sz w:val="18"/>
                <w:szCs w:val="20"/>
              </w:rPr>
              <w:t>A partir del día 8:</w:t>
            </w:r>
          </w:p>
          <w:p w14:paraId="7D4FC424" w14:textId="77777777" w:rsidR="00C83180" w:rsidRPr="003F3B0A" w:rsidRDefault="00C83180" w:rsidP="00A53EA0">
            <w:pPr>
              <w:rPr>
                <w:rFonts w:ascii="Arial" w:hAnsi="Arial" w:cs="Arial"/>
                <w:sz w:val="18"/>
                <w:szCs w:val="20"/>
                <w:lang w:val="en-US"/>
              </w:rPr>
            </w:pPr>
            <w:r w:rsidRPr="003F3B0A">
              <w:rPr>
                <w:rFonts w:ascii="Arial" w:hAnsi="Arial" w:cs="Arial"/>
                <w:sz w:val="18"/>
                <w:szCs w:val="20"/>
              </w:rPr>
              <w:t xml:space="preserve">- DTG 50 mg. </w:t>
            </w:r>
            <w:r w:rsidRPr="003F3B0A">
              <w:rPr>
                <w:rFonts w:ascii="Arial" w:hAnsi="Arial" w:cs="Arial"/>
                <w:sz w:val="18"/>
                <w:szCs w:val="20"/>
                <w:lang w:val="en-US"/>
              </w:rPr>
              <w:t>BID +TO</w:t>
            </w:r>
          </w:p>
          <w:p w14:paraId="78249DC6" w14:textId="77777777" w:rsidR="00C83180" w:rsidRPr="003F3B0A" w:rsidRDefault="00C83180" w:rsidP="00A53EA0">
            <w:pPr>
              <w:rPr>
                <w:rFonts w:ascii="Arial" w:hAnsi="Arial" w:cs="Arial"/>
                <w:sz w:val="18"/>
                <w:szCs w:val="20"/>
              </w:rPr>
            </w:pPr>
          </w:p>
        </w:tc>
        <w:tc>
          <w:tcPr>
            <w:tcW w:w="921" w:type="dxa"/>
          </w:tcPr>
          <w:p w14:paraId="2FC5A925" w14:textId="77777777" w:rsidR="00C83180" w:rsidRPr="003F3B0A" w:rsidRDefault="00C83180" w:rsidP="00A53EA0">
            <w:pPr>
              <w:rPr>
                <w:rFonts w:ascii="Arial" w:hAnsi="Arial" w:cs="Arial"/>
                <w:sz w:val="18"/>
                <w:szCs w:val="20"/>
              </w:rPr>
            </w:pPr>
            <w:r w:rsidRPr="003F3B0A">
              <w:rPr>
                <w:rFonts w:ascii="Arial" w:hAnsi="Arial" w:cs="Arial"/>
                <w:sz w:val="18"/>
                <w:szCs w:val="20"/>
              </w:rPr>
              <w:t>30</w:t>
            </w:r>
          </w:p>
        </w:tc>
        <w:tc>
          <w:tcPr>
            <w:tcW w:w="2600" w:type="dxa"/>
          </w:tcPr>
          <w:p w14:paraId="4CF6BFCA" w14:textId="77777777" w:rsidR="00C83180" w:rsidRPr="003F3B0A" w:rsidRDefault="00C83180" w:rsidP="00A53EA0">
            <w:pPr>
              <w:rPr>
                <w:rFonts w:ascii="Arial" w:hAnsi="Arial" w:cs="Arial"/>
                <w:sz w:val="18"/>
                <w:szCs w:val="20"/>
              </w:rPr>
            </w:pPr>
            <w:r w:rsidRPr="003F3B0A">
              <w:rPr>
                <w:rFonts w:ascii="Arial" w:hAnsi="Arial" w:cs="Arial"/>
                <w:sz w:val="18"/>
                <w:szCs w:val="20"/>
              </w:rPr>
              <w:t>-Cambio CVP (log</w:t>
            </w:r>
            <w:r w:rsidRPr="003F3B0A">
              <w:rPr>
                <w:rFonts w:ascii="Arial" w:hAnsi="Arial" w:cs="Arial"/>
                <w:sz w:val="18"/>
                <w:szCs w:val="20"/>
                <w:vertAlign w:val="subscript"/>
              </w:rPr>
              <w:t>10</w:t>
            </w:r>
            <w:r w:rsidRPr="003F3B0A">
              <w:rPr>
                <w:rFonts w:ascii="Arial" w:hAnsi="Arial" w:cs="Arial"/>
                <w:sz w:val="18"/>
                <w:szCs w:val="20"/>
              </w:rPr>
              <w:t>) día 8 respecto a basal: -1.06 cop/mL (DTG) vs. -0.10 cop/mL (placebo) (diferencia -1.16; IC95%: -1,62 a -0.80)</w:t>
            </w:r>
          </w:p>
          <w:p w14:paraId="31288FEF" w14:textId="77777777" w:rsidR="00C83180" w:rsidRPr="003F3B0A" w:rsidRDefault="00C83180" w:rsidP="00A53EA0">
            <w:pPr>
              <w:rPr>
                <w:rFonts w:ascii="Arial" w:hAnsi="Arial" w:cs="Arial"/>
                <w:sz w:val="18"/>
                <w:szCs w:val="20"/>
              </w:rPr>
            </w:pPr>
            <w:r w:rsidRPr="003F3B0A">
              <w:rPr>
                <w:rFonts w:ascii="Arial" w:hAnsi="Arial" w:cs="Arial"/>
                <w:sz w:val="18"/>
                <w:szCs w:val="20"/>
              </w:rPr>
              <w:t>-  53%: &lt; 400 cop/mL y 40%: &lt; 50 cop/mL a las 48 sem.</w:t>
            </w:r>
          </w:p>
        </w:tc>
        <w:tc>
          <w:tcPr>
            <w:tcW w:w="2502" w:type="dxa"/>
          </w:tcPr>
          <w:p w14:paraId="7C269EB5" w14:textId="77777777" w:rsidR="00C83180" w:rsidRPr="003F3B0A" w:rsidRDefault="00C83180" w:rsidP="00A53EA0">
            <w:pPr>
              <w:rPr>
                <w:rFonts w:ascii="Arial" w:hAnsi="Arial" w:cs="Arial"/>
                <w:sz w:val="18"/>
                <w:szCs w:val="20"/>
              </w:rPr>
            </w:pPr>
            <w:r w:rsidRPr="003F3B0A">
              <w:rPr>
                <w:rFonts w:ascii="Arial" w:hAnsi="Arial" w:cs="Arial"/>
                <w:sz w:val="18"/>
                <w:szCs w:val="20"/>
              </w:rPr>
              <w:t>DTG 50mg BID disminuyó la CV  1 log</w:t>
            </w:r>
            <w:r w:rsidRPr="003F3B0A">
              <w:rPr>
                <w:rFonts w:ascii="Arial" w:hAnsi="Arial" w:cs="Arial"/>
                <w:sz w:val="18"/>
                <w:szCs w:val="20"/>
                <w:vertAlign w:val="subscript"/>
              </w:rPr>
              <w:t>10</w:t>
            </w:r>
            <w:r w:rsidRPr="003F3B0A">
              <w:rPr>
                <w:rFonts w:ascii="Arial" w:hAnsi="Arial" w:cs="Arial"/>
                <w:sz w:val="18"/>
                <w:szCs w:val="20"/>
              </w:rPr>
              <w:t xml:space="preserve"> durante la primera semana de tratamiento. Veinte pacientes completaron 48 sem de tratamiento. La eficacia en la semanas 24 y 48 fue similar a la observada en el estudio VIKING-3</w:t>
            </w:r>
          </w:p>
        </w:tc>
        <w:tc>
          <w:tcPr>
            <w:tcW w:w="2632" w:type="dxa"/>
          </w:tcPr>
          <w:p w14:paraId="70A3929E" w14:textId="77777777" w:rsidR="00C83180" w:rsidRPr="003F3B0A" w:rsidRDefault="00C83180" w:rsidP="00A53EA0">
            <w:pPr>
              <w:rPr>
                <w:rFonts w:ascii="Arial" w:hAnsi="Arial" w:cs="Arial"/>
                <w:sz w:val="18"/>
                <w:szCs w:val="20"/>
              </w:rPr>
            </w:pPr>
            <w:r w:rsidRPr="003F3B0A">
              <w:rPr>
                <w:rFonts w:ascii="Arial" w:hAnsi="Arial" w:cs="Arial"/>
                <w:sz w:val="18"/>
                <w:szCs w:val="20"/>
              </w:rPr>
              <w:t>EA graves:  9 casos (2 muertes de causa cardiovascular)</w:t>
            </w:r>
          </w:p>
          <w:p w14:paraId="4E3CA3D2" w14:textId="77777777" w:rsidR="00C83180" w:rsidRPr="003F3B0A" w:rsidRDefault="00C83180" w:rsidP="00A53EA0">
            <w:pPr>
              <w:rPr>
                <w:rFonts w:ascii="Arial" w:hAnsi="Arial" w:cs="Arial"/>
                <w:sz w:val="18"/>
                <w:szCs w:val="20"/>
              </w:rPr>
            </w:pPr>
            <w:r w:rsidRPr="003F3B0A">
              <w:rPr>
                <w:rFonts w:ascii="Arial" w:hAnsi="Arial" w:cs="Arial"/>
                <w:sz w:val="18"/>
                <w:szCs w:val="20"/>
              </w:rPr>
              <w:t>Ninguno de ellos atribuido a DTG</w:t>
            </w:r>
          </w:p>
        </w:tc>
      </w:tr>
      <w:tr w:rsidR="00C83180" w:rsidRPr="003F3B0A" w14:paraId="4881918E" w14:textId="77777777" w:rsidTr="00A53EA0">
        <w:trPr>
          <w:tblHeader/>
          <w:jc w:val="center"/>
        </w:trPr>
        <w:tc>
          <w:tcPr>
            <w:tcW w:w="1457" w:type="dxa"/>
          </w:tcPr>
          <w:p w14:paraId="5C591386" w14:textId="77777777" w:rsidR="00C83180" w:rsidRPr="003F3B0A" w:rsidRDefault="00C83180" w:rsidP="00A53EA0">
            <w:pPr>
              <w:rPr>
                <w:rFonts w:ascii="Arial" w:hAnsi="Arial" w:cs="Arial"/>
                <w:b/>
                <w:bCs/>
                <w:sz w:val="18"/>
                <w:szCs w:val="18"/>
              </w:rPr>
            </w:pPr>
            <w:r w:rsidRPr="003F3B0A">
              <w:rPr>
                <w:rFonts w:ascii="Arial" w:hAnsi="Arial" w:cs="Arial"/>
                <w:b/>
                <w:sz w:val="18"/>
                <w:szCs w:val="18"/>
              </w:rPr>
              <w:t>Fostemsavir (AI438011)</w:t>
            </w:r>
            <w:r w:rsidRPr="003F3B0A">
              <w:rPr>
                <w:rFonts w:ascii="Arial" w:hAnsi="Arial" w:cs="Arial"/>
                <w:b/>
                <w:noProof/>
                <w:sz w:val="18"/>
                <w:szCs w:val="18"/>
                <w:vertAlign w:val="superscript"/>
              </w:rPr>
              <w:t>42</w:t>
            </w:r>
          </w:p>
        </w:tc>
        <w:tc>
          <w:tcPr>
            <w:tcW w:w="1770" w:type="dxa"/>
          </w:tcPr>
          <w:p w14:paraId="604ED5F7" w14:textId="77777777" w:rsidR="00C83180" w:rsidRPr="003F3B0A" w:rsidRDefault="00C83180" w:rsidP="00A53EA0">
            <w:pPr>
              <w:rPr>
                <w:rFonts w:ascii="Arial" w:hAnsi="Arial" w:cs="Arial"/>
                <w:sz w:val="18"/>
                <w:szCs w:val="18"/>
              </w:rPr>
            </w:pPr>
            <w:r w:rsidRPr="003F3B0A">
              <w:rPr>
                <w:rFonts w:ascii="Arial" w:hAnsi="Arial" w:cs="Arial"/>
                <w:sz w:val="18"/>
                <w:szCs w:val="18"/>
              </w:rPr>
              <w:t>Amplia experiencia a TAR y ≤2 FAR activos</w:t>
            </w:r>
          </w:p>
        </w:tc>
        <w:tc>
          <w:tcPr>
            <w:tcW w:w="1559" w:type="dxa"/>
            <w:gridSpan w:val="2"/>
          </w:tcPr>
          <w:p w14:paraId="4B736036" w14:textId="77777777" w:rsidR="00C83180" w:rsidRPr="003F3B0A" w:rsidRDefault="00C83180" w:rsidP="00A53EA0">
            <w:pPr>
              <w:rPr>
                <w:rFonts w:ascii="Arial" w:hAnsi="Arial" w:cs="Arial"/>
                <w:sz w:val="18"/>
                <w:szCs w:val="18"/>
              </w:rPr>
            </w:pPr>
            <w:r w:rsidRPr="003F3B0A">
              <w:rPr>
                <w:rFonts w:ascii="Arial" w:hAnsi="Arial" w:cs="Arial"/>
                <w:sz w:val="18"/>
                <w:szCs w:val="18"/>
              </w:rPr>
              <w:t>- Fase IIb</w:t>
            </w:r>
          </w:p>
          <w:p w14:paraId="243EDEA5"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 Aleatorizado (1:1:1:1:1), rama control, a 48 sem.. </w:t>
            </w:r>
          </w:p>
        </w:tc>
        <w:tc>
          <w:tcPr>
            <w:tcW w:w="1489" w:type="dxa"/>
            <w:gridSpan w:val="2"/>
          </w:tcPr>
          <w:p w14:paraId="1AF0306B" w14:textId="77777777" w:rsidR="00C83180" w:rsidRPr="003F3B0A" w:rsidRDefault="00C83180" w:rsidP="00A53EA0">
            <w:pPr>
              <w:rPr>
                <w:rFonts w:ascii="Arial" w:hAnsi="Arial" w:cs="Arial"/>
                <w:sz w:val="18"/>
                <w:szCs w:val="18"/>
              </w:rPr>
            </w:pPr>
            <w:r w:rsidRPr="003F3B0A">
              <w:rPr>
                <w:rFonts w:ascii="Arial" w:hAnsi="Arial" w:cs="Arial"/>
                <w:sz w:val="18"/>
                <w:szCs w:val="18"/>
                <w:lang w:val="en-US"/>
              </w:rPr>
              <w:t xml:space="preserve">4 dosis de </w:t>
            </w:r>
            <w:r w:rsidRPr="003F3B0A">
              <w:rPr>
                <w:rStyle w:val="highlight"/>
                <w:rFonts w:ascii="Arial" w:hAnsi="Arial" w:cs="Arial"/>
                <w:sz w:val="18"/>
                <w:szCs w:val="18"/>
                <w:lang w:val="en-US"/>
              </w:rPr>
              <w:t>fostemsavir</w:t>
            </w:r>
            <w:r w:rsidRPr="003F3B0A">
              <w:rPr>
                <w:rFonts w:ascii="Arial" w:hAnsi="Arial" w:cs="Arial"/>
                <w:sz w:val="18"/>
                <w:szCs w:val="18"/>
                <w:lang w:val="en-US"/>
              </w:rPr>
              <w:t xml:space="preserve"> (400 mg. BID, 800 mg. BID, 600 mg. </w:t>
            </w:r>
            <w:r w:rsidRPr="003F3B0A">
              <w:rPr>
                <w:rFonts w:ascii="Arial" w:hAnsi="Arial" w:cs="Arial"/>
                <w:sz w:val="18"/>
                <w:szCs w:val="18"/>
              </w:rPr>
              <w:t>QD or 1.200 mg. QD) vs ATV/r, mas raltegravir + TDF</w:t>
            </w:r>
          </w:p>
        </w:tc>
        <w:tc>
          <w:tcPr>
            <w:tcW w:w="921" w:type="dxa"/>
          </w:tcPr>
          <w:p w14:paraId="0B7E2F7F" w14:textId="77777777" w:rsidR="00C83180" w:rsidRPr="003F3B0A" w:rsidRDefault="00C83180" w:rsidP="00A53EA0">
            <w:pPr>
              <w:rPr>
                <w:rFonts w:ascii="Arial" w:hAnsi="Arial" w:cs="Arial"/>
                <w:sz w:val="18"/>
                <w:szCs w:val="18"/>
              </w:rPr>
            </w:pPr>
            <w:r w:rsidRPr="003F3B0A">
              <w:rPr>
                <w:rFonts w:ascii="Arial" w:hAnsi="Arial" w:cs="Arial"/>
                <w:sz w:val="18"/>
                <w:szCs w:val="18"/>
              </w:rPr>
              <w:t>251</w:t>
            </w:r>
          </w:p>
        </w:tc>
        <w:tc>
          <w:tcPr>
            <w:tcW w:w="2600" w:type="dxa"/>
          </w:tcPr>
          <w:p w14:paraId="02F0DE94" w14:textId="77777777" w:rsidR="00C83180" w:rsidRPr="003F3B0A" w:rsidRDefault="00C83180" w:rsidP="00A53EA0">
            <w:pPr>
              <w:rPr>
                <w:rFonts w:ascii="Arial" w:hAnsi="Arial" w:cs="Arial"/>
                <w:sz w:val="18"/>
                <w:szCs w:val="18"/>
              </w:rPr>
            </w:pPr>
            <w:r w:rsidRPr="003F3B0A">
              <w:rPr>
                <w:rFonts w:ascii="Arial" w:hAnsi="Arial" w:cs="Arial"/>
                <w:sz w:val="18"/>
                <w:szCs w:val="18"/>
              </w:rPr>
              <w:t>-61-82% y 77-95% para ramas fostemsavir: &lt;50 cop/mL (ITT modifocado y análisis observado, respectivamente)</w:t>
            </w:r>
          </w:p>
          <w:p w14:paraId="6D977328"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-71% y 88% parar ATV/r: &lt;50 cop/mL. </w:t>
            </w:r>
          </w:p>
          <w:p w14:paraId="6629C9DB" w14:textId="77777777" w:rsidR="00C83180" w:rsidRPr="003F3B0A" w:rsidRDefault="00C83180" w:rsidP="00A53EA0">
            <w:pPr>
              <w:rPr>
                <w:rFonts w:ascii="Arial" w:hAnsi="Arial" w:cs="Arial"/>
                <w:sz w:val="18"/>
                <w:szCs w:val="18"/>
              </w:rPr>
            </w:pPr>
            <w:r w:rsidRPr="003F3B0A">
              <w:rPr>
                <w:rFonts w:ascii="Arial" w:hAnsi="Arial" w:cs="Arial"/>
                <w:sz w:val="18"/>
                <w:szCs w:val="18"/>
              </w:rPr>
              <w:t>-74-100% vs 96% (</w:t>
            </w:r>
            <w:r w:rsidRPr="003F3B0A">
              <w:rPr>
                <w:rStyle w:val="highlight"/>
                <w:rFonts w:ascii="Arial" w:hAnsi="Arial" w:cs="Arial"/>
                <w:sz w:val="18"/>
                <w:szCs w:val="18"/>
              </w:rPr>
              <w:t>fostemsavir</w:t>
            </w:r>
            <w:r w:rsidRPr="003F3B0A">
              <w:rPr>
                <w:rFonts w:ascii="Arial" w:hAnsi="Arial" w:cs="Arial"/>
                <w:sz w:val="18"/>
                <w:szCs w:val="18"/>
              </w:rPr>
              <w:t xml:space="preserve"> vs ATV/r) con respuesta virológica en CVP basal &lt;100.000 cop/mL y 60-91% vs 71% si ≥100.000 cop/mL.</w:t>
            </w:r>
          </w:p>
        </w:tc>
        <w:tc>
          <w:tcPr>
            <w:tcW w:w="2502" w:type="dxa"/>
          </w:tcPr>
          <w:p w14:paraId="6C31BEEE" w14:textId="77777777" w:rsidR="00C83180" w:rsidRPr="003F3B0A" w:rsidRDefault="00C83180" w:rsidP="00A53EA0">
            <w:pPr>
              <w:rPr>
                <w:rFonts w:ascii="Arial" w:hAnsi="Arial" w:cs="Arial"/>
                <w:sz w:val="18"/>
                <w:szCs w:val="18"/>
              </w:rPr>
            </w:pPr>
            <w:r w:rsidRPr="003F3B0A">
              <w:rPr>
                <w:rFonts w:ascii="Arial" w:hAnsi="Arial" w:cs="Arial"/>
                <w:sz w:val="18"/>
                <w:szCs w:val="18"/>
              </w:rPr>
              <w:t>Fostemsavir mostró una eficacia similar a ATV/r a la semana 48.</w:t>
            </w:r>
          </w:p>
          <w:p w14:paraId="4B76B1A3" w14:textId="77777777" w:rsidR="00C83180" w:rsidRPr="003F3B0A" w:rsidRDefault="00C83180" w:rsidP="00A53EA0">
            <w:pPr>
              <w:rPr>
                <w:rFonts w:ascii="Arial" w:hAnsi="Arial" w:cs="Arial"/>
                <w:strike/>
                <w:sz w:val="18"/>
                <w:szCs w:val="18"/>
              </w:rPr>
            </w:pPr>
          </w:p>
        </w:tc>
        <w:tc>
          <w:tcPr>
            <w:tcW w:w="2632" w:type="dxa"/>
          </w:tcPr>
          <w:p w14:paraId="238999C0" w14:textId="77777777" w:rsidR="00C83180" w:rsidRPr="003F3B0A" w:rsidRDefault="00C83180" w:rsidP="00A53EA0">
            <w:pPr>
              <w:rPr>
                <w:rFonts w:ascii="Arial" w:hAnsi="Arial" w:cs="Arial"/>
                <w:sz w:val="18"/>
                <w:szCs w:val="18"/>
              </w:rPr>
            </w:pPr>
            <w:r w:rsidRPr="003F3B0A">
              <w:rPr>
                <w:rFonts w:ascii="Arial" w:hAnsi="Arial" w:cs="Arial"/>
                <w:sz w:val="18"/>
                <w:szCs w:val="18"/>
              </w:rPr>
              <w:t>Fostemsavir fue bien tolerado</w:t>
            </w:r>
          </w:p>
          <w:p w14:paraId="70DC24ED" w14:textId="77777777" w:rsidR="00C83180" w:rsidRPr="003F3B0A" w:rsidRDefault="00C83180" w:rsidP="00A53EA0">
            <w:pPr>
              <w:rPr>
                <w:rFonts w:ascii="Arial" w:hAnsi="Arial" w:cs="Arial"/>
                <w:sz w:val="18"/>
                <w:szCs w:val="18"/>
              </w:rPr>
            </w:pPr>
            <w:r w:rsidRPr="003F3B0A">
              <w:rPr>
                <w:rFonts w:ascii="Arial" w:hAnsi="Arial" w:cs="Arial"/>
                <w:sz w:val="18"/>
                <w:szCs w:val="18"/>
              </w:rPr>
              <w:t>No discontinuaciones por EA</w:t>
            </w:r>
          </w:p>
        </w:tc>
      </w:tr>
      <w:tr w:rsidR="00C83180" w:rsidRPr="003F3B0A" w14:paraId="270D29C0" w14:textId="77777777" w:rsidTr="00A53EA0">
        <w:trPr>
          <w:tblHeader/>
          <w:jc w:val="center"/>
        </w:trPr>
        <w:tc>
          <w:tcPr>
            <w:tcW w:w="1457" w:type="dxa"/>
          </w:tcPr>
          <w:p w14:paraId="2DB9DF5C" w14:textId="77777777" w:rsidR="00C83180" w:rsidRPr="003F3B0A" w:rsidRDefault="00C83180" w:rsidP="00A53EA0">
            <w:pPr>
              <w:rPr>
                <w:rFonts w:ascii="Arial" w:hAnsi="Arial" w:cs="Arial"/>
                <w:b/>
                <w:sz w:val="18"/>
                <w:szCs w:val="18"/>
                <w:vertAlign w:val="superscript"/>
              </w:rPr>
            </w:pPr>
            <w:r w:rsidRPr="003F3B0A">
              <w:rPr>
                <w:rFonts w:ascii="Arial" w:hAnsi="Arial" w:cs="Arial"/>
                <w:b/>
                <w:sz w:val="18"/>
                <w:szCs w:val="18"/>
              </w:rPr>
              <w:lastRenderedPageBreak/>
              <w:t>Fostemsavir (AI438011)</w:t>
            </w:r>
          </w:p>
          <w:p w14:paraId="4EBAA00B" w14:textId="77777777" w:rsidR="00C83180" w:rsidRPr="003F3B0A" w:rsidRDefault="00C83180" w:rsidP="00A53EA0">
            <w:pPr>
              <w:rPr>
                <w:rFonts w:ascii="Arial" w:hAnsi="Arial" w:cs="Arial"/>
                <w:b/>
                <w:sz w:val="18"/>
                <w:szCs w:val="18"/>
              </w:rPr>
            </w:pPr>
            <w:r w:rsidRPr="003F3B0A">
              <w:rPr>
                <w:rFonts w:ascii="Arial" w:hAnsi="Arial" w:cs="Arial"/>
                <w:b/>
                <w:sz w:val="18"/>
                <w:szCs w:val="18"/>
              </w:rPr>
              <w:t>BRIGHTE</w:t>
            </w:r>
            <w:r w:rsidRPr="003F3B0A">
              <w:rPr>
                <w:rFonts w:ascii="Arial" w:hAnsi="Arial" w:cs="Arial"/>
                <w:b/>
                <w:sz w:val="18"/>
                <w:szCs w:val="18"/>
                <w:vertAlign w:val="superscript"/>
              </w:rPr>
              <w:t>42a</w:t>
            </w:r>
          </w:p>
        </w:tc>
        <w:tc>
          <w:tcPr>
            <w:tcW w:w="1770" w:type="dxa"/>
          </w:tcPr>
          <w:p w14:paraId="689A94BE" w14:textId="77777777" w:rsidR="00C83180" w:rsidRPr="003F3B0A" w:rsidRDefault="00C83180" w:rsidP="00A53EA0">
            <w:pPr>
              <w:rPr>
                <w:rFonts w:ascii="Arial" w:hAnsi="Arial" w:cs="Arial"/>
                <w:sz w:val="18"/>
                <w:szCs w:val="18"/>
              </w:rPr>
            </w:pPr>
            <w:r w:rsidRPr="003F3B0A">
              <w:rPr>
                <w:rFonts w:ascii="Arial" w:hAnsi="Arial" w:cs="Arial"/>
                <w:sz w:val="18"/>
                <w:szCs w:val="18"/>
              </w:rPr>
              <w:t>Cohorte aleatorizada:  CVP&gt;400 y 1 o 2 clases ARV disponibles pero sin posibilidad de construir régimen viable</w:t>
            </w:r>
          </w:p>
          <w:p w14:paraId="0D49398F" w14:textId="77777777" w:rsidR="00C83180" w:rsidRPr="003F3B0A" w:rsidRDefault="00C83180" w:rsidP="00A53EA0">
            <w:pPr>
              <w:rPr>
                <w:rFonts w:ascii="Arial" w:hAnsi="Arial" w:cs="Arial"/>
                <w:sz w:val="18"/>
                <w:szCs w:val="18"/>
              </w:rPr>
            </w:pPr>
            <w:r w:rsidRPr="003F3B0A">
              <w:rPr>
                <w:rFonts w:ascii="Arial" w:hAnsi="Arial" w:cs="Arial"/>
                <w:sz w:val="18"/>
                <w:szCs w:val="18"/>
              </w:rPr>
              <w:t>-Cohorte no aleatorizada: CVP&gt;400 y sin ningún ARV aprobado disponible</w:t>
            </w:r>
          </w:p>
        </w:tc>
        <w:tc>
          <w:tcPr>
            <w:tcW w:w="1559" w:type="dxa"/>
            <w:gridSpan w:val="2"/>
          </w:tcPr>
          <w:p w14:paraId="4D31D214" w14:textId="77777777" w:rsidR="00C83180" w:rsidRPr="003F3B0A" w:rsidRDefault="00C83180" w:rsidP="00A53EA0">
            <w:pPr>
              <w:rPr>
                <w:rFonts w:ascii="Arial" w:hAnsi="Arial" w:cs="Arial"/>
                <w:sz w:val="18"/>
                <w:szCs w:val="18"/>
              </w:rPr>
            </w:pPr>
            <w:r w:rsidRPr="003F3B0A">
              <w:rPr>
                <w:rFonts w:ascii="Arial" w:hAnsi="Arial" w:cs="Arial"/>
                <w:sz w:val="18"/>
                <w:szCs w:val="18"/>
              </w:rPr>
              <w:t>- Fase III</w:t>
            </w:r>
          </w:p>
          <w:p w14:paraId="0B552CC6" w14:textId="77777777" w:rsidR="00C83180" w:rsidRPr="003F3B0A" w:rsidRDefault="00C83180" w:rsidP="00A53EA0">
            <w:pPr>
              <w:rPr>
                <w:rFonts w:ascii="Arial" w:hAnsi="Arial" w:cs="Arial"/>
                <w:sz w:val="18"/>
                <w:szCs w:val="18"/>
              </w:rPr>
            </w:pPr>
            <w:r w:rsidRPr="003F3B0A">
              <w:rPr>
                <w:rFonts w:ascii="Arial" w:hAnsi="Arial" w:cs="Arial"/>
                <w:sz w:val="18"/>
                <w:szCs w:val="18"/>
              </w:rPr>
              <w:t>- Cohorte aleatorizada (3:1) FTR vs placebo 8 días y posteriormente FTR+OBT, a 96 semanas</w:t>
            </w:r>
          </w:p>
          <w:p w14:paraId="5DA363CC" w14:textId="77777777" w:rsidR="00C83180" w:rsidRPr="003F3B0A" w:rsidRDefault="00C83180" w:rsidP="00A53EA0">
            <w:pPr>
              <w:rPr>
                <w:rFonts w:ascii="Arial" w:hAnsi="Arial" w:cs="Arial"/>
                <w:sz w:val="18"/>
                <w:szCs w:val="18"/>
              </w:rPr>
            </w:pPr>
            <w:r w:rsidRPr="003F3B0A">
              <w:rPr>
                <w:rFonts w:ascii="Arial" w:hAnsi="Arial" w:cs="Arial"/>
                <w:sz w:val="18"/>
                <w:szCs w:val="18"/>
              </w:rPr>
              <w:t>-Cohorte no aleatorizada: FTR +OBT a 96 semanas</w:t>
            </w:r>
          </w:p>
        </w:tc>
        <w:tc>
          <w:tcPr>
            <w:tcW w:w="1489" w:type="dxa"/>
            <w:gridSpan w:val="2"/>
          </w:tcPr>
          <w:p w14:paraId="603867F8" w14:textId="77777777" w:rsidR="00C83180" w:rsidRPr="003F3B0A" w:rsidRDefault="00C83180" w:rsidP="00A53EA0">
            <w:pPr>
              <w:rPr>
                <w:rFonts w:ascii="Arial" w:hAnsi="Arial" w:cs="Arial"/>
                <w:sz w:val="18"/>
                <w:szCs w:val="18"/>
              </w:rPr>
            </w:pPr>
            <w:r w:rsidRPr="003F3B0A">
              <w:rPr>
                <w:rFonts w:ascii="Arial" w:hAnsi="Arial" w:cs="Arial"/>
                <w:sz w:val="18"/>
                <w:szCs w:val="18"/>
              </w:rPr>
              <w:t>FTR 600 mg bid + tratamiento optimizado</w:t>
            </w:r>
          </w:p>
        </w:tc>
        <w:tc>
          <w:tcPr>
            <w:tcW w:w="921" w:type="dxa"/>
          </w:tcPr>
          <w:p w14:paraId="6EF96D48" w14:textId="77777777" w:rsidR="00C83180" w:rsidRPr="003F3B0A" w:rsidRDefault="00C83180" w:rsidP="00A53EA0">
            <w:pPr>
              <w:rPr>
                <w:rFonts w:ascii="Arial" w:hAnsi="Arial" w:cs="Arial"/>
                <w:sz w:val="18"/>
                <w:szCs w:val="18"/>
              </w:rPr>
            </w:pPr>
            <w:r w:rsidRPr="003F3B0A">
              <w:rPr>
                <w:rFonts w:ascii="Arial" w:hAnsi="Arial" w:cs="Arial"/>
                <w:sz w:val="18"/>
                <w:szCs w:val="18"/>
              </w:rPr>
              <w:t>203</w:t>
            </w:r>
          </w:p>
          <w:p w14:paraId="71E25B57" w14:textId="77777777" w:rsidR="00C83180" w:rsidRPr="003F3B0A" w:rsidRDefault="00C83180" w:rsidP="00A53EA0">
            <w:pPr>
              <w:rPr>
                <w:rFonts w:ascii="Arial" w:hAnsi="Arial" w:cs="Arial"/>
                <w:sz w:val="18"/>
                <w:szCs w:val="18"/>
              </w:rPr>
            </w:pPr>
            <w:r w:rsidRPr="003F3B0A">
              <w:rPr>
                <w:rFonts w:ascii="Arial" w:hAnsi="Arial" w:cs="Arial"/>
                <w:sz w:val="18"/>
                <w:szCs w:val="18"/>
              </w:rPr>
              <w:t>69</w:t>
            </w:r>
          </w:p>
          <w:p w14:paraId="13D6FFEF" w14:textId="77777777" w:rsidR="00C83180" w:rsidRPr="003F3B0A" w:rsidRDefault="00C83180" w:rsidP="00A53EA0">
            <w:pPr>
              <w:rPr>
                <w:rFonts w:ascii="Arial" w:hAnsi="Arial" w:cs="Arial"/>
                <w:sz w:val="18"/>
                <w:szCs w:val="18"/>
              </w:rPr>
            </w:pPr>
          </w:p>
          <w:p w14:paraId="3A2539E2" w14:textId="77777777" w:rsidR="00C83180" w:rsidRPr="003F3B0A" w:rsidRDefault="00C83180" w:rsidP="00A53EA0">
            <w:pPr>
              <w:rPr>
                <w:rFonts w:ascii="Arial" w:hAnsi="Arial" w:cs="Arial"/>
                <w:sz w:val="18"/>
                <w:szCs w:val="18"/>
              </w:rPr>
            </w:pPr>
          </w:p>
          <w:p w14:paraId="412A6692" w14:textId="77777777" w:rsidR="00C83180" w:rsidRPr="003F3B0A" w:rsidRDefault="00C83180" w:rsidP="00A53EA0">
            <w:pPr>
              <w:rPr>
                <w:rFonts w:ascii="Arial" w:hAnsi="Arial" w:cs="Arial"/>
                <w:sz w:val="18"/>
                <w:szCs w:val="18"/>
              </w:rPr>
            </w:pPr>
          </w:p>
          <w:p w14:paraId="12ADD638" w14:textId="77777777" w:rsidR="00C83180" w:rsidRPr="003F3B0A" w:rsidRDefault="00C83180" w:rsidP="00A53EA0">
            <w:pPr>
              <w:rPr>
                <w:rFonts w:ascii="Arial" w:hAnsi="Arial" w:cs="Arial"/>
                <w:sz w:val="18"/>
                <w:szCs w:val="18"/>
              </w:rPr>
            </w:pPr>
          </w:p>
          <w:p w14:paraId="31FFDA64" w14:textId="77777777" w:rsidR="00C83180" w:rsidRPr="003F3B0A" w:rsidRDefault="00C83180" w:rsidP="00A53EA0">
            <w:pPr>
              <w:rPr>
                <w:rFonts w:ascii="Arial" w:hAnsi="Arial" w:cs="Arial"/>
                <w:sz w:val="18"/>
                <w:szCs w:val="18"/>
              </w:rPr>
            </w:pPr>
          </w:p>
          <w:p w14:paraId="3F6A0313" w14:textId="77777777" w:rsidR="00C83180" w:rsidRPr="003F3B0A" w:rsidRDefault="00C83180" w:rsidP="00A53EA0">
            <w:pPr>
              <w:rPr>
                <w:rFonts w:ascii="Arial" w:hAnsi="Arial" w:cs="Arial"/>
                <w:sz w:val="18"/>
                <w:szCs w:val="18"/>
              </w:rPr>
            </w:pPr>
          </w:p>
          <w:p w14:paraId="6104B416" w14:textId="77777777" w:rsidR="00C83180" w:rsidRPr="003F3B0A" w:rsidRDefault="00C83180" w:rsidP="00A53EA0">
            <w:pPr>
              <w:rPr>
                <w:rFonts w:ascii="Arial" w:hAnsi="Arial" w:cs="Arial"/>
                <w:sz w:val="18"/>
                <w:szCs w:val="18"/>
              </w:rPr>
            </w:pPr>
          </w:p>
          <w:p w14:paraId="0C7D9513" w14:textId="77777777" w:rsidR="00C83180" w:rsidRPr="003F3B0A" w:rsidRDefault="00C83180" w:rsidP="00A53EA0">
            <w:pPr>
              <w:rPr>
                <w:rFonts w:ascii="Arial" w:hAnsi="Arial" w:cs="Arial"/>
                <w:sz w:val="18"/>
                <w:szCs w:val="18"/>
              </w:rPr>
            </w:pPr>
            <w:r w:rsidRPr="003F3B0A">
              <w:rPr>
                <w:rFonts w:ascii="Arial" w:hAnsi="Arial" w:cs="Arial"/>
                <w:sz w:val="18"/>
                <w:szCs w:val="18"/>
              </w:rPr>
              <w:t>99</w:t>
            </w:r>
          </w:p>
        </w:tc>
        <w:tc>
          <w:tcPr>
            <w:tcW w:w="2600" w:type="dxa"/>
          </w:tcPr>
          <w:p w14:paraId="48CCAEA7" w14:textId="77777777" w:rsidR="00C83180" w:rsidRPr="003F3B0A" w:rsidRDefault="00C83180" w:rsidP="00A53EA0">
            <w:pPr>
              <w:rPr>
                <w:rFonts w:ascii="Arial" w:hAnsi="Arial" w:cs="Arial"/>
                <w:sz w:val="18"/>
                <w:szCs w:val="18"/>
              </w:rPr>
            </w:pPr>
            <w:r w:rsidRPr="003F3B0A">
              <w:rPr>
                <w:rFonts w:ascii="Arial" w:hAnsi="Arial" w:cs="Arial"/>
                <w:sz w:val="18"/>
                <w:szCs w:val="18"/>
              </w:rPr>
              <w:t>Eficacia semana 24</w:t>
            </w:r>
          </w:p>
          <w:p w14:paraId="6F5511B6" w14:textId="77777777" w:rsidR="00C83180" w:rsidRPr="003F3B0A" w:rsidRDefault="00C83180" w:rsidP="00A53EA0">
            <w:pPr>
              <w:rPr>
                <w:rFonts w:ascii="Arial" w:hAnsi="Arial" w:cs="Arial"/>
                <w:sz w:val="18"/>
                <w:szCs w:val="18"/>
              </w:rPr>
            </w:pPr>
            <w:r w:rsidRPr="003F3B0A">
              <w:rPr>
                <w:rFonts w:ascii="Arial" w:hAnsi="Arial" w:cs="Arial"/>
                <w:sz w:val="18"/>
                <w:szCs w:val="18"/>
              </w:rPr>
              <w:t>- Cohorte aleatorizada: CVP&lt;40 54%</w:t>
            </w:r>
          </w:p>
          <w:p w14:paraId="2D95532D" w14:textId="77777777" w:rsidR="00C83180" w:rsidRPr="003F3B0A" w:rsidRDefault="00C83180" w:rsidP="00A53EA0">
            <w:pPr>
              <w:rPr>
                <w:rFonts w:ascii="Arial" w:hAnsi="Arial" w:cs="Arial"/>
                <w:sz w:val="18"/>
                <w:szCs w:val="18"/>
              </w:rPr>
            </w:pPr>
            <w:r w:rsidRPr="003F3B0A">
              <w:rPr>
                <w:rFonts w:ascii="Arial" w:hAnsi="Arial" w:cs="Arial"/>
                <w:sz w:val="18"/>
                <w:szCs w:val="18"/>
              </w:rPr>
              <w:t>- Cohorte no aleatorizada: CVP&lt;40 36%</w:t>
            </w:r>
          </w:p>
        </w:tc>
        <w:tc>
          <w:tcPr>
            <w:tcW w:w="2502" w:type="dxa"/>
          </w:tcPr>
          <w:p w14:paraId="54A4BA17" w14:textId="77777777" w:rsidR="00C83180" w:rsidRPr="003F3B0A" w:rsidRDefault="00C83180" w:rsidP="00A53EA0">
            <w:pPr>
              <w:rPr>
                <w:rFonts w:ascii="Arial" w:hAnsi="Arial" w:cs="Arial"/>
                <w:sz w:val="18"/>
                <w:szCs w:val="18"/>
              </w:rPr>
            </w:pPr>
            <w:r w:rsidRPr="003F3B0A">
              <w:rPr>
                <w:rFonts w:ascii="Arial" w:hAnsi="Arial" w:cs="Arial"/>
                <w:sz w:val="18"/>
                <w:szCs w:val="18"/>
              </w:rPr>
              <w:t>Se han presentado resultados hasta semana 24. Este estudio Fase III sigue en marcha.</w:t>
            </w:r>
          </w:p>
        </w:tc>
        <w:tc>
          <w:tcPr>
            <w:tcW w:w="2632" w:type="dxa"/>
          </w:tcPr>
          <w:p w14:paraId="4E83EEE7" w14:textId="77777777" w:rsidR="00C83180" w:rsidRPr="003F3B0A" w:rsidRDefault="00C83180" w:rsidP="00A53EA0">
            <w:pPr>
              <w:rPr>
                <w:rFonts w:ascii="Arial" w:hAnsi="Arial" w:cs="Arial"/>
                <w:sz w:val="18"/>
                <w:szCs w:val="18"/>
              </w:rPr>
            </w:pPr>
            <w:r w:rsidRPr="003F3B0A">
              <w:rPr>
                <w:rFonts w:ascii="Arial" w:hAnsi="Arial" w:cs="Arial"/>
                <w:sz w:val="18"/>
                <w:szCs w:val="18"/>
              </w:rPr>
              <w:t>Día 8 bajada CVP &gt;0.5 log1065% y &gt;1 log10 46% (mediana 0.79 log10)</w:t>
            </w:r>
          </w:p>
          <w:p w14:paraId="3670F8FF" w14:textId="77777777" w:rsidR="00C83180" w:rsidRPr="003F3B0A" w:rsidRDefault="00C83180" w:rsidP="00A53EA0">
            <w:pPr>
              <w:rPr>
                <w:rFonts w:ascii="Arial" w:hAnsi="Arial" w:cs="Arial"/>
                <w:sz w:val="18"/>
                <w:szCs w:val="18"/>
              </w:rPr>
            </w:pPr>
            <w:r w:rsidRPr="003F3B0A">
              <w:rPr>
                <w:rFonts w:ascii="Arial" w:hAnsi="Arial" w:cs="Arial"/>
                <w:sz w:val="18"/>
                <w:szCs w:val="18"/>
              </w:rPr>
              <w:t>Semana 24 SAEs 30%, relacionados con FTR 2%</w:t>
            </w:r>
          </w:p>
        </w:tc>
      </w:tr>
      <w:tr w:rsidR="00C83180" w:rsidRPr="003F3B0A" w14:paraId="25C6DC38" w14:textId="77777777" w:rsidTr="00A53EA0">
        <w:trPr>
          <w:tblHeader/>
          <w:jc w:val="center"/>
        </w:trPr>
        <w:tc>
          <w:tcPr>
            <w:tcW w:w="1457" w:type="dxa"/>
          </w:tcPr>
          <w:p w14:paraId="3F077FCB" w14:textId="77777777" w:rsidR="00C83180" w:rsidRPr="003F3B0A" w:rsidRDefault="00C83180" w:rsidP="00A53EA0">
            <w:pPr>
              <w:rPr>
                <w:rFonts w:ascii="Arial" w:hAnsi="Arial" w:cs="Arial"/>
                <w:sz w:val="18"/>
                <w:szCs w:val="18"/>
                <w:lang w:val="en-US"/>
              </w:rPr>
            </w:pPr>
            <w:r w:rsidRPr="003F3B0A">
              <w:rPr>
                <w:rFonts w:ascii="Arial" w:hAnsi="Arial" w:cs="Arial"/>
                <w:b/>
                <w:sz w:val="18"/>
                <w:szCs w:val="18"/>
              </w:rPr>
              <w:t>Ibalizumab (</w:t>
            </w:r>
            <w:r w:rsidRPr="003F3B0A">
              <w:rPr>
                <w:rFonts w:ascii="Arial" w:hAnsi="Arial" w:cs="Arial"/>
                <w:b/>
                <w:sz w:val="18"/>
                <w:szCs w:val="18"/>
                <w:lang w:val="en-US"/>
              </w:rPr>
              <w:t>TMB-301)</w:t>
            </w:r>
            <w:r w:rsidRPr="003F3B0A">
              <w:rPr>
                <w:rFonts w:ascii="Arial" w:hAnsi="Arial" w:cs="Arial"/>
                <w:b/>
                <w:noProof/>
                <w:sz w:val="18"/>
                <w:szCs w:val="18"/>
                <w:vertAlign w:val="superscript"/>
                <w:lang w:val="en-US"/>
              </w:rPr>
              <w:t>43</w:t>
            </w:r>
          </w:p>
        </w:tc>
        <w:tc>
          <w:tcPr>
            <w:tcW w:w="1770" w:type="dxa"/>
          </w:tcPr>
          <w:p w14:paraId="1DBE6ECE" w14:textId="77777777" w:rsidR="00C83180" w:rsidRPr="003F3B0A" w:rsidRDefault="00C83180" w:rsidP="00A53EA0">
            <w:pPr>
              <w:rPr>
                <w:rFonts w:ascii="Arial" w:hAnsi="Arial" w:cs="Arial"/>
                <w:sz w:val="18"/>
                <w:szCs w:val="18"/>
              </w:rPr>
            </w:pPr>
            <w:r w:rsidRPr="003F3B0A">
              <w:rPr>
                <w:rFonts w:ascii="Arial" w:hAnsi="Arial" w:cs="Arial"/>
                <w:sz w:val="18"/>
                <w:szCs w:val="18"/>
              </w:rPr>
              <w:t>- CV ≥1000 copias/mL</w:t>
            </w:r>
          </w:p>
          <w:p w14:paraId="2DADA96E" w14:textId="77777777" w:rsidR="00C83180" w:rsidRPr="003F3B0A" w:rsidRDefault="00C83180" w:rsidP="00A53EA0">
            <w:pPr>
              <w:rPr>
                <w:rFonts w:ascii="Arial" w:hAnsi="Arial" w:cs="Arial"/>
                <w:sz w:val="18"/>
                <w:szCs w:val="18"/>
              </w:rPr>
            </w:pPr>
            <w:r w:rsidRPr="003F3B0A">
              <w:rPr>
                <w:rFonts w:ascii="Arial" w:hAnsi="Arial" w:cs="Arial"/>
                <w:sz w:val="18"/>
                <w:szCs w:val="18"/>
              </w:rPr>
              <w:t>- Resistencia genotípica ≥ 1 FAR de las 3 familias y ser sensible a ≥ 1 FAR</w:t>
            </w:r>
          </w:p>
          <w:p w14:paraId="7A49BD92" w14:textId="77777777" w:rsidR="00C83180" w:rsidRPr="003F3B0A" w:rsidRDefault="00C83180" w:rsidP="00A53EA0">
            <w:pPr>
              <w:rPr>
                <w:rFonts w:ascii="Arial" w:hAnsi="Arial" w:cs="Arial"/>
                <w:sz w:val="18"/>
                <w:szCs w:val="18"/>
              </w:rPr>
            </w:pPr>
          </w:p>
        </w:tc>
        <w:tc>
          <w:tcPr>
            <w:tcW w:w="1559" w:type="dxa"/>
            <w:gridSpan w:val="2"/>
          </w:tcPr>
          <w:p w14:paraId="79FA775B"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-Fase III.</w:t>
            </w:r>
          </w:p>
          <w:p w14:paraId="18C1DEDD"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-Brazo único, a 24 sem</w:t>
            </w:r>
          </w:p>
          <w:p w14:paraId="608F810D" w14:textId="77777777" w:rsidR="00C83180" w:rsidRPr="003F3B0A" w:rsidRDefault="00C83180" w:rsidP="00A53EA0">
            <w:pPr>
              <w:rPr>
                <w:rFonts w:ascii="Arial" w:hAnsi="Arial" w:cs="Arial"/>
                <w:sz w:val="18"/>
                <w:szCs w:val="18"/>
              </w:rPr>
            </w:pPr>
          </w:p>
        </w:tc>
        <w:tc>
          <w:tcPr>
            <w:tcW w:w="1489" w:type="dxa"/>
            <w:gridSpan w:val="2"/>
          </w:tcPr>
          <w:p w14:paraId="7C56B579"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-7 días - igual FAR.</w:t>
            </w:r>
          </w:p>
          <w:p w14:paraId="257CD66C"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-7º día añadir 2,000 mg endovenoso Ibalizumab</w:t>
            </w:r>
          </w:p>
          <w:p w14:paraId="413AC3A0"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-14º día añadir TO</w:t>
            </w:r>
          </w:p>
          <w:p w14:paraId="066FBB87"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-21 día disminuir dosis Ibalizumab a 800 mg cada 2 semanas hasta sem 24</w:t>
            </w:r>
          </w:p>
        </w:tc>
        <w:tc>
          <w:tcPr>
            <w:tcW w:w="921" w:type="dxa"/>
          </w:tcPr>
          <w:p w14:paraId="0779DAD3" w14:textId="77777777" w:rsidR="00C83180" w:rsidRPr="003F3B0A" w:rsidRDefault="00C83180" w:rsidP="00A53EA0">
            <w:pPr>
              <w:rPr>
                <w:rFonts w:ascii="Arial" w:hAnsi="Arial" w:cs="Arial"/>
                <w:sz w:val="18"/>
                <w:szCs w:val="18"/>
              </w:rPr>
            </w:pPr>
            <w:r w:rsidRPr="003F3B0A">
              <w:rPr>
                <w:rFonts w:ascii="Arial" w:hAnsi="Arial" w:cs="Arial"/>
                <w:sz w:val="18"/>
                <w:szCs w:val="18"/>
              </w:rPr>
              <w:t>40</w:t>
            </w:r>
          </w:p>
        </w:tc>
        <w:tc>
          <w:tcPr>
            <w:tcW w:w="2600" w:type="dxa"/>
          </w:tcPr>
          <w:p w14:paraId="68CC8DA4"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-Descenso CVP 1.1 log10 respecto basal a los 10 días</w:t>
            </w:r>
          </w:p>
          <w:p w14:paraId="0A62C73D" w14:textId="77777777" w:rsidR="00C83180" w:rsidRPr="003F3B0A" w:rsidRDefault="00C83180" w:rsidP="00A53EA0">
            <w:pPr>
              <w:autoSpaceDE w:val="0"/>
              <w:autoSpaceDN w:val="0"/>
              <w:adjustRightInd w:val="0"/>
              <w:rPr>
                <w:rFonts w:ascii="Arial" w:hAnsi="Arial" w:cs="Arial"/>
                <w:sz w:val="18"/>
                <w:szCs w:val="18"/>
              </w:rPr>
            </w:pPr>
            <w:r w:rsidRPr="003F3B0A">
              <w:rPr>
                <w:rFonts w:ascii="Arial" w:hAnsi="Arial" w:cs="Arial"/>
                <w:sz w:val="18"/>
                <w:szCs w:val="18"/>
              </w:rPr>
              <w:t xml:space="preserve">-55% y 48% con una reducción ≥1 y ≥2 </w:t>
            </w:r>
            <w:r w:rsidRPr="003F3B0A">
              <w:rPr>
                <w:rFonts w:ascii="Arial" w:hAnsi="Arial" w:cs="Arial"/>
                <w:sz w:val="18"/>
                <w:szCs w:val="20"/>
              </w:rPr>
              <w:t>log</w:t>
            </w:r>
            <w:r w:rsidRPr="003F3B0A">
              <w:rPr>
                <w:rFonts w:ascii="Arial" w:hAnsi="Arial" w:cs="Arial"/>
                <w:sz w:val="18"/>
                <w:szCs w:val="20"/>
                <w:vertAlign w:val="subscript"/>
              </w:rPr>
              <w:t>10</w:t>
            </w:r>
          </w:p>
          <w:p w14:paraId="0A822FE7" w14:textId="77777777" w:rsidR="00C83180" w:rsidRPr="003F3B0A" w:rsidRDefault="00C83180" w:rsidP="00A53EA0">
            <w:pPr>
              <w:rPr>
                <w:rFonts w:ascii="Arial" w:hAnsi="Arial" w:cs="Arial"/>
                <w:sz w:val="18"/>
                <w:szCs w:val="18"/>
              </w:rPr>
            </w:pPr>
            <w:r w:rsidRPr="003F3B0A">
              <w:rPr>
                <w:rFonts w:ascii="Arial" w:hAnsi="Arial" w:cs="Arial"/>
                <w:sz w:val="18"/>
                <w:szCs w:val="18"/>
              </w:rPr>
              <w:t xml:space="preserve">-43%: </w:t>
            </w:r>
            <w:r w:rsidRPr="003F3B0A">
              <w:rPr>
                <w:rFonts w:ascii="Arial" w:hAnsi="Arial" w:cs="Arial"/>
                <w:sz w:val="18"/>
                <w:szCs w:val="20"/>
              </w:rPr>
              <w:t>&lt; 50 cop/mL en 24 sem</w:t>
            </w:r>
            <w:r w:rsidRPr="003F3B0A">
              <w:rPr>
                <w:rFonts w:ascii="Arial" w:hAnsi="Arial" w:cs="Arial"/>
                <w:sz w:val="18"/>
                <w:szCs w:val="18"/>
              </w:rPr>
              <w:t>; 50%: &lt;200 copias en 24 sem.</w:t>
            </w:r>
          </w:p>
        </w:tc>
        <w:tc>
          <w:tcPr>
            <w:tcW w:w="2502" w:type="dxa"/>
          </w:tcPr>
          <w:p w14:paraId="3F7461FF" w14:textId="77777777" w:rsidR="00C83180" w:rsidRPr="003F3B0A" w:rsidRDefault="00C83180" w:rsidP="00A53EA0">
            <w:pPr>
              <w:rPr>
                <w:rFonts w:ascii="Arial" w:hAnsi="Arial" w:cs="Arial"/>
                <w:sz w:val="18"/>
                <w:szCs w:val="18"/>
              </w:rPr>
            </w:pPr>
            <w:r w:rsidRPr="003F3B0A">
              <w:rPr>
                <w:rFonts w:ascii="Arial" w:hAnsi="Arial" w:cs="Arial"/>
                <w:sz w:val="18"/>
                <w:szCs w:val="18"/>
              </w:rPr>
              <w:t>Ibalizumab</w:t>
            </w:r>
            <w:r w:rsidRPr="003F3B0A">
              <w:rPr>
                <w:rFonts w:ascii="Arial" w:hAnsi="Arial" w:cs="Arial"/>
                <w:color w:val="222222"/>
                <w:sz w:val="19"/>
                <w:szCs w:val="19"/>
              </w:rPr>
              <w:t>c ada 2 semanas + TO mantuvo la eficacia virológica y fue bien tolerado hasta la sem 24</w:t>
            </w:r>
          </w:p>
        </w:tc>
        <w:tc>
          <w:tcPr>
            <w:tcW w:w="2632" w:type="dxa"/>
          </w:tcPr>
          <w:p w14:paraId="6EE04C80" w14:textId="77777777" w:rsidR="00C83180" w:rsidRPr="003F3B0A" w:rsidRDefault="00C83180" w:rsidP="00A53EA0">
            <w:pPr>
              <w:rPr>
                <w:rFonts w:ascii="Arial" w:hAnsi="Arial" w:cs="Arial"/>
                <w:sz w:val="18"/>
                <w:szCs w:val="18"/>
              </w:rPr>
            </w:pPr>
            <w:r w:rsidRPr="003F3B0A">
              <w:rPr>
                <w:rFonts w:ascii="Arial" w:hAnsi="Arial" w:cs="Arial"/>
                <w:sz w:val="18"/>
                <w:szCs w:val="18"/>
              </w:rPr>
              <w:t>La mayoría de los EA fueron leves o moderados.</w:t>
            </w:r>
          </w:p>
          <w:p w14:paraId="2DE3B4AD" w14:textId="77777777" w:rsidR="00C83180" w:rsidRPr="003F3B0A" w:rsidRDefault="00C83180" w:rsidP="00A53EA0">
            <w:pPr>
              <w:rPr>
                <w:rFonts w:ascii="Arial" w:hAnsi="Arial" w:cs="Arial"/>
                <w:sz w:val="18"/>
                <w:szCs w:val="18"/>
              </w:rPr>
            </w:pPr>
            <w:r w:rsidRPr="003F3B0A">
              <w:rPr>
                <w:rFonts w:ascii="Arial" w:hAnsi="Arial" w:cs="Arial"/>
                <w:sz w:val="18"/>
                <w:szCs w:val="18"/>
              </w:rPr>
              <w:t>Ningún paciente desarrolló Ac anti Ibalizumab</w:t>
            </w:r>
          </w:p>
          <w:p w14:paraId="1397132A" w14:textId="77777777" w:rsidR="00C83180" w:rsidRPr="003F3B0A" w:rsidRDefault="00C83180" w:rsidP="00A53EA0">
            <w:pPr>
              <w:rPr>
                <w:rFonts w:ascii="Arial" w:hAnsi="Arial" w:cs="Arial"/>
                <w:sz w:val="18"/>
                <w:szCs w:val="18"/>
              </w:rPr>
            </w:pPr>
            <w:r w:rsidRPr="003F3B0A">
              <w:rPr>
                <w:rFonts w:ascii="Arial" w:hAnsi="Arial" w:cs="Arial"/>
                <w:sz w:val="18"/>
                <w:szCs w:val="18"/>
              </w:rPr>
              <w:t>9 discontinuaciones (4 muertes- todos con CD basal &lt;45 células)</w:t>
            </w:r>
          </w:p>
        </w:tc>
      </w:tr>
    </w:tbl>
    <w:p w14:paraId="189CAB4B" w14:textId="69D9A951" w:rsidR="00C83180" w:rsidRDefault="00C83180" w:rsidP="00FE33D9"/>
    <w:p w14:paraId="7DA2CE84" w14:textId="2D5F8040" w:rsidR="00FE33D9" w:rsidRDefault="00C83180" w:rsidP="00FE33D9">
      <w:r>
        <w:br w:type="page"/>
      </w:r>
    </w:p>
    <w:p w14:paraId="1C39B35E" w14:textId="77777777" w:rsidR="00C83180" w:rsidRDefault="00C83180" w:rsidP="00C83180">
      <w:pPr>
        <w:pStyle w:val="NormalWeb"/>
        <w:ind w:left="-993" w:right="-1425"/>
      </w:pPr>
      <w:r>
        <w:rPr>
          <w:rFonts w:ascii="Arial" w:hAnsi="Arial"/>
          <w:b/>
          <w:bCs/>
          <w:color w:val="AD1C1E"/>
        </w:rPr>
        <w:lastRenderedPageBreak/>
        <w:t>Tabla 7. Frecuencia de reacciones adversas sobre el sistema nervioso central de los antirretrovirales disponibles</w:t>
      </w:r>
      <w:r>
        <w:rPr>
          <w:rFonts w:ascii="Arial" w:hAnsi="Arial"/>
          <w:color w:val="AD1C1E"/>
        </w:rPr>
        <w:t xml:space="preserve">* </w:t>
      </w:r>
    </w:p>
    <w:tbl>
      <w:tblPr>
        <w:tblStyle w:val="Tablaconcuadrcula"/>
        <w:tblW w:w="15107" w:type="dxa"/>
        <w:tblInd w:w="-885" w:type="dxa"/>
        <w:tblLayout w:type="fixed"/>
        <w:tblLook w:val="04A0" w:firstRow="1" w:lastRow="0" w:firstColumn="1" w:lastColumn="0" w:noHBand="0" w:noVBand="1"/>
      </w:tblPr>
      <w:tblGrid>
        <w:gridCol w:w="2484"/>
        <w:gridCol w:w="1397"/>
        <w:gridCol w:w="1437"/>
        <w:gridCol w:w="1410"/>
        <w:gridCol w:w="1490"/>
        <w:gridCol w:w="1557"/>
        <w:gridCol w:w="1701"/>
        <w:gridCol w:w="2101"/>
        <w:gridCol w:w="1530"/>
      </w:tblGrid>
      <w:tr w:rsidR="00C83180" w:rsidRPr="00282BD4" w14:paraId="7902E1A6" w14:textId="77777777" w:rsidTr="00A53EA0">
        <w:tc>
          <w:tcPr>
            <w:tcW w:w="2484" w:type="dxa"/>
          </w:tcPr>
          <w:p w14:paraId="6CA2E35B" w14:textId="77777777" w:rsidR="00C83180" w:rsidRPr="00282BD4" w:rsidRDefault="00C83180" w:rsidP="00A53EA0">
            <w:pPr>
              <w:rPr>
                <w:rFonts w:ascii="Arial" w:hAnsi="Arial"/>
                <w:sz w:val="22"/>
                <w:szCs w:val="22"/>
              </w:rPr>
            </w:pPr>
          </w:p>
        </w:tc>
        <w:tc>
          <w:tcPr>
            <w:tcW w:w="1397" w:type="dxa"/>
          </w:tcPr>
          <w:p w14:paraId="3FF8FB77" w14:textId="77777777" w:rsidR="00C83180" w:rsidRPr="00282BD4" w:rsidRDefault="00C83180" w:rsidP="00A53EA0">
            <w:pPr>
              <w:jc w:val="center"/>
              <w:rPr>
                <w:rFonts w:ascii="Arial" w:hAnsi="Arial"/>
                <w:sz w:val="22"/>
                <w:szCs w:val="22"/>
              </w:rPr>
            </w:pPr>
            <w:r w:rsidRPr="00282BD4">
              <w:rPr>
                <w:rFonts w:ascii="Arial" w:hAnsi="Arial"/>
                <w:sz w:val="22"/>
                <w:szCs w:val="22"/>
              </w:rPr>
              <w:t>Efavirenz</w:t>
            </w:r>
          </w:p>
        </w:tc>
        <w:tc>
          <w:tcPr>
            <w:tcW w:w="1437" w:type="dxa"/>
          </w:tcPr>
          <w:p w14:paraId="4DD3E32A" w14:textId="77777777" w:rsidR="00C83180" w:rsidRPr="00282BD4" w:rsidRDefault="00C83180" w:rsidP="00A53EA0">
            <w:pPr>
              <w:jc w:val="center"/>
              <w:rPr>
                <w:rFonts w:ascii="Arial" w:hAnsi="Arial"/>
                <w:sz w:val="22"/>
                <w:szCs w:val="22"/>
              </w:rPr>
            </w:pPr>
            <w:r w:rsidRPr="00282BD4">
              <w:rPr>
                <w:rFonts w:ascii="Arial" w:hAnsi="Arial"/>
                <w:sz w:val="22"/>
                <w:szCs w:val="22"/>
              </w:rPr>
              <w:t>Rilpivirina</w:t>
            </w:r>
          </w:p>
        </w:tc>
        <w:tc>
          <w:tcPr>
            <w:tcW w:w="1410" w:type="dxa"/>
          </w:tcPr>
          <w:p w14:paraId="54BEA16A"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Etravirina</w:t>
            </w:r>
          </w:p>
        </w:tc>
        <w:tc>
          <w:tcPr>
            <w:tcW w:w="1490" w:type="dxa"/>
          </w:tcPr>
          <w:p w14:paraId="30435393"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Doravirina</w:t>
            </w:r>
          </w:p>
        </w:tc>
        <w:tc>
          <w:tcPr>
            <w:tcW w:w="1557" w:type="dxa"/>
          </w:tcPr>
          <w:p w14:paraId="21E9EFBE" w14:textId="77777777" w:rsidR="00C83180" w:rsidRPr="00282BD4" w:rsidRDefault="00C83180" w:rsidP="00A53EA0">
            <w:pPr>
              <w:jc w:val="center"/>
              <w:rPr>
                <w:rFonts w:ascii="Arial" w:hAnsi="Arial"/>
                <w:sz w:val="22"/>
                <w:szCs w:val="22"/>
              </w:rPr>
            </w:pPr>
            <w:r w:rsidRPr="00282BD4">
              <w:rPr>
                <w:rFonts w:ascii="Arial" w:hAnsi="Arial"/>
                <w:sz w:val="22"/>
                <w:szCs w:val="22"/>
              </w:rPr>
              <w:t>Raltegravir</w:t>
            </w:r>
          </w:p>
        </w:tc>
        <w:tc>
          <w:tcPr>
            <w:tcW w:w="1701" w:type="dxa"/>
          </w:tcPr>
          <w:p w14:paraId="269F0E7D" w14:textId="77777777" w:rsidR="00C83180" w:rsidRPr="00282BD4" w:rsidRDefault="00C83180" w:rsidP="00A53EA0">
            <w:pPr>
              <w:jc w:val="center"/>
              <w:rPr>
                <w:rFonts w:ascii="Arial" w:hAnsi="Arial"/>
                <w:sz w:val="22"/>
                <w:szCs w:val="22"/>
              </w:rPr>
            </w:pPr>
            <w:r w:rsidRPr="00282BD4">
              <w:rPr>
                <w:rFonts w:ascii="Arial" w:hAnsi="Arial"/>
                <w:sz w:val="22"/>
                <w:szCs w:val="22"/>
              </w:rPr>
              <w:t>Elvitegravir</w:t>
            </w:r>
          </w:p>
        </w:tc>
        <w:tc>
          <w:tcPr>
            <w:tcW w:w="2101" w:type="dxa"/>
          </w:tcPr>
          <w:p w14:paraId="3EFB894F" w14:textId="77777777" w:rsidR="00C83180" w:rsidRPr="00282BD4" w:rsidRDefault="00C83180" w:rsidP="00A53EA0">
            <w:pPr>
              <w:jc w:val="center"/>
              <w:rPr>
                <w:rFonts w:ascii="Arial" w:hAnsi="Arial"/>
                <w:sz w:val="22"/>
                <w:szCs w:val="22"/>
              </w:rPr>
            </w:pPr>
            <w:r w:rsidRPr="00282BD4">
              <w:rPr>
                <w:rFonts w:ascii="Arial" w:hAnsi="Arial"/>
                <w:sz w:val="22"/>
                <w:szCs w:val="22"/>
              </w:rPr>
              <w:t>Dolutegravir</w:t>
            </w:r>
          </w:p>
        </w:tc>
        <w:tc>
          <w:tcPr>
            <w:tcW w:w="1530" w:type="dxa"/>
          </w:tcPr>
          <w:p w14:paraId="52CF6281"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Bictegravir</w:t>
            </w:r>
          </w:p>
        </w:tc>
      </w:tr>
      <w:tr w:rsidR="00C83180" w:rsidRPr="00282BD4" w14:paraId="52D2AA4A" w14:textId="77777777" w:rsidTr="00A53EA0">
        <w:tc>
          <w:tcPr>
            <w:tcW w:w="2484" w:type="dxa"/>
          </w:tcPr>
          <w:p w14:paraId="7E97A7FE" w14:textId="77777777" w:rsidR="00C83180" w:rsidRPr="00282BD4" w:rsidRDefault="00C83180" w:rsidP="00A53EA0">
            <w:pPr>
              <w:ind w:left="-108"/>
              <w:rPr>
                <w:rFonts w:ascii="Arial" w:hAnsi="Arial"/>
                <w:sz w:val="22"/>
                <w:szCs w:val="22"/>
              </w:rPr>
            </w:pPr>
            <w:r w:rsidRPr="00282BD4">
              <w:rPr>
                <w:rFonts w:ascii="Arial" w:hAnsi="Arial"/>
                <w:sz w:val="22"/>
                <w:szCs w:val="22"/>
              </w:rPr>
              <w:t xml:space="preserve"> Cefalea</w:t>
            </w:r>
          </w:p>
        </w:tc>
        <w:tc>
          <w:tcPr>
            <w:tcW w:w="1397" w:type="dxa"/>
          </w:tcPr>
          <w:p w14:paraId="1B14C3D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06AAFA96"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685C0549"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2D43B596"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1999FCD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438539D7" w14:textId="77777777" w:rsidR="00C83180" w:rsidRPr="00282BD4" w:rsidRDefault="00C83180" w:rsidP="00A53EA0">
            <w:pPr>
              <w:jc w:val="center"/>
              <w:rPr>
                <w:rFonts w:ascii="Arial" w:hAnsi="Arial"/>
                <w:sz w:val="22"/>
                <w:szCs w:val="22"/>
              </w:rPr>
            </w:pPr>
            <w:r w:rsidRPr="00282BD4">
              <w:rPr>
                <w:rFonts w:ascii="Arial" w:hAnsi="Arial"/>
                <w:sz w:val="22"/>
                <w:szCs w:val="22"/>
              </w:rPr>
              <w:t>++ (Genvoya®)</w:t>
            </w:r>
          </w:p>
          <w:p w14:paraId="6908CB5D" w14:textId="77777777" w:rsidR="00C83180" w:rsidRPr="00282BD4" w:rsidRDefault="00C83180" w:rsidP="00A53EA0">
            <w:pPr>
              <w:jc w:val="center"/>
              <w:rPr>
                <w:rFonts w:ascii="Arial" w:hAnsi="Arial"/>
                <w:sz w:val="22"/>
                <w:szCs w:val="22"/>
              </w:rPr>
            </w:pPr>
            <w:r w:rsidRPr="00282BD4">
              <w:rPr>
                <w:rFonts w:ascii="Arial" w:hAnsi="Arial"/>
                <w:sz w:val="22"/>
                <w:szCs w:val="22"/>
              </w:rPr>
              <w:t>+++ (Stribild®)</w:t>
            </w:r>
          </w:p>
        </w:tc>
        <w:tc>
          <w:tcPr>
            <w:tcW w:w="2101" w:type="dxa"/>
          </w:tcPr>
          <w:p w14:paraId="116E9BF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5B61D26E"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1BDDB133" w14:textId="77777777" w:rsidTr="00A53EA0">
        <w:tc>
          <w:tcPr>
            <w:tcW w:w="2484" w:type="dxa"/>
          </w:tcPr>
          <w:p w14:paraId="76DBBB09" w14:textId="77777777" w:rsidR="00C83180" w:rsidRPr="00282BD4" w:rsidRDefault="00C83180" w:rsidP="00A53EA0">
            <w:pPr>
              <w:rPr>
                <w:rFonts w:ascii="Arial" w:hAnsi="Arial"/>
                <w:sz w:val="22"/>
                <w:szCs w:val="22"/>
              </w:rPr>
            </w:pPr>
            <w:r w:rsidRPr="00282BD4">
              <w:rPr>
                <w:rFonts w:ascii="Arial" w:hAnsi="Arial"/>
                <w:sz w:val="22"/>
                <w:szCs w:val="22"/>
              </w:rPr>
              <w:t>Mareos</w:t>
            </w:r>
          </w:p>
        </w:tc>
        <w:tc>
          <w:tcPr>
            <w:tcW w:w="1397" w:type="dxa"/>
          </w:tcPr>
          <w:p w14:paraId="66A34686"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20D55F1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34ACE798"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683D7294"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18619918"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733AF4D3" w14:textId="77777777" w:rsidR="00C83180" w:rsidRPr="00282BD4" w:rsidRDefault="00C83180" w:rsidP="00A53EA0">
            <w:pPr>
              <w:jc w:val="center"/>
              <w:rPr>
                <w:rFonts w:ascii="Arial" w:hAnsi="Arial"/>
                <w:sz w:val="22"/>
                <w:szCs w:val="22"/>
              </w:rPr>
            </w:pPr>
            <w:r w:rsidRPr="00282BD4">
              <w:rPr>
                <w:rFonts w:ascii="Arial" w:hAnsi="Arial"/>
                <w:sz w:val="22"/>
                <w:szCs w:val="22"/>
              </w:rPr>
              <w:t>++ (Genvoya®)</w:t>
            </w:r>
          </w:p>
          <w:p w14:paraId="37CF2AF4" w14:textId="77777777" w:rsidR="00C83180" w:rsidRPr="00282BD4" w:rsidRDefault="00C83180" w:rsidP="00A53EA0">
            <w:pPr>
              <w:jc w:val="center"/>
              <w:rPr>
                <w:rFonts w:ascii="Arial" w:hAnsi="Arial"/>
                <w:sz w:val="22"/>
                <w:szCs w:val="22"/>
              </w:rPr>
            </w:pPr>
            <w:r w:rsidRPr="00282BD4">
              <w:rPr>
                <w:rFonts w:ascii="Arial" w:hAnsi="Arial"/>
                <w:sz w:val="22"/>
                <w:szCs w:val="22"/>
              </w:rPr>
              <w:t>+++ (Stribild®)</w:t>
            </w:r>
          </w:p>
        </w:tc>
        <w:tc>
          <w:tcPr>
            <w:tcW w:w="2101" w:type="dxa"/>
          </w:tcPr>
          <w:p w14:paraId="21AFA67D"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6A92C6B3"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5B99F7FB" w14:textId="77777777" w:rsidTr="00A53EA0">
        <w:tc>
          <w:tcPr>
            <w:tcW w:w="2484" w:type="dxa"/>
          </w:tcPr>
          <w:p w14:paraId="22E3A1C9" w14:textId="77777777" w:rsidR="00C83180" w:rsidRPr="00282BD4" w:rsidRDefault="00C83180" w:rsidP="00A53EA0">
            <w:pPr>
              <w:rPr>
                <w:rFonts w:ascii="Arial" w:hAnsi="Arial"/>
                <w:sz w:val="22"/>
                <w:szCs w:val="22"/>
              </w:rPr>
            </w:pPr>
            <w:r w:rsidRPr="00282BD4">
              <w:rPr>
                <w:rFonts w:ascii="Arial" w:hAnsi="Arial"/>
                <w:sz w:val="22"/>
                <w:szCs w:val="22"/>
              </w:rPr>
              <w:t>Insomnio</w:t>
            </w:r>
          </w:p>
        </w:tc>
        <w:tc>
          <w:tcPr>
            <w:tcW w:w="1397" w:type="dxa"/>
          </w:tcPr>
          <w:p w14:paraId="11C24E99"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664E0E5C"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5B89C3E6"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4F2D3EA6"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15C935F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6327AEB3" w14:textId="77777777" w:rsidR="00C83180" w:rsidRPr="00282BD4" w:rsidRDefault="00C83180" w:rsidP="00A53EA0">
            <w:pPr>
              <w:jc w:val="center"/>
              <w:rPr>
                <w:rFonts w:ascii="Arial" w:hAnsi="Arial"/>
                <w:sz w:val="22"/>
                <w:szCs w:val="22"/>
              </w:rPr>
            </w:pPr>
            <w:r w:rsidRPr="00282BD4">
              <w:rPr>
                <w:rFonts w:ascii="Arial" w:hAnsi="Arial"/>
                <w:sz w:val="22"/>
                <w:szCs w:val="22"/>
              </w:rPr>
              <w:t>++ (Stribild®)</w:t>
            </w:r>
          </w:p>
        </w:tc>
        <w:tc>
          <w:tcPr>
            <w:tcW w:w="2101" w:type="dxa"/>
          </w:tcPr>
          <w:p w14:paraId="0465F9CC" w14:textId="77777777" w:rsidR="00C83180" w:rsidRPr="00282BD4" w:rsidRDefault="00C83180" w:rsidP="00A53EA0">
            <w:pPr>
              <w:jc w:val="center"/>
              <w:rPr>
                <w:rFonts w:ascii="Arial" w:hAnsi="Arial"/>
                <w:sz w:val="22"/>
                <w:szCs w:val="22"/>
              </w:rPr>
            </w:pPr>
            <w:r w:rsidRPr="00282BD4">
              <w:rPr>
                <w:rFonts w:ascii="Arial" w:hAnsi="Arial"/>
                <w:sz w:val="22"/>
                <w:szCs w:val="22"/>
              </w:rPr>
              <w:t>++ (Tivicay®)</w:t>
            </w:r>
          </w:p>
          <w:p w14:paraId="572CC8BF" w14:textId="77777777" w:rsidR="00C83180" w:rsidRPr="00282BD4" w:rsidRDefault="00C83180" w:rsidP="00A53EA0">
            <w:pPr>
              <w:jc w:val="center"/>
              <w:rPr>
                <w:rFonts w:ascii="Arial" w:hAnsi="Arial"/>
                <w:sz w:val="22"/>
                <w:szCs w:val="22"/>
              </w:rPr>
            </w:pPr>
            <w:r w:rsidRPr="00282BD4">
              <w:rPr>
                <w:rFonts w:ascii="Arial" w:hAnsi="Arial"/>
                <w:sz w:val="22"/>
                <w:szCs w:val="22"/>
              </w:rPr>
              <w:t>+++ (Triumeq®)</w:t>
            </w:r>
          </w:p>
        </w:tc>
        <w:tc>
          <w:tcPr>
            <w:tcW w:w="1530" w:type="dxa"/>
          </w:tcPr>
          <w:p w14:paraId="6C1E25B8"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3C32F6B9" w14:textId="77777777" w:rsidTr="00A53EA0">
        <w:tc>
          <w:tcPr>
            <w:tcW w:w="2484" w:type="dxa"/>
          </w:tcPr>
          <w:p w14:paraId="3CCB4701" w14:textId="77777777" w:rsidR="00C83180" w:rsidRPr="00282BD4" w:rsidRDefault="00C83180" w:rsidP="00A53EA0">
            <w:pPr>
              <w:rPr>
                <w:rFonts w:ascii="Arial" w:hAnsi="Arial"/>
                <w:sz w:val="22"/>
                <w:szCs w:val="22"/>
              </w:rPr>
            </w:pPr>
            <w:r w:rsidRPr="00282BD4">
              <w:rPr>
                <w:rFonts w:ascii="Arial" w:hAnsi="Arial"/>
                <w:sz w:val="22"/>
                <w:szCs w:val="22"/>
              </w:rPr>
              <w:t>Alteraciones del sueño (no insomnio)</w:t>
            </w:r>
          </w:p>
        </w:tc>
        <w:tc>
          <w:tcPr>
            <w:tcW w:w="1397" w:type="dxa"/>
          </w:tcPr>
          <w:p w14:paraId="5D6FBDA4"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22CB12F9"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63A39E7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17041EEB"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1422DA5E"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181FF61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1D30445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5FBBA197"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3F33AAF7" w14:textId="77777777" w:rsidTr="00A53EA0">
        <w:tc>
          <w:tcPr>
            <w:tcW w:w="2484" w:type="dxa"/>
          </w:tcPr>
          <w:p w14:paraId="0A2FDB05" w14:textId="77777777" w:rsidR="00C83180" w:rsidRPr="00282BD4" w:rsidRDefault="00C83180" w:rsidP="00A53EA0">
            <w:pPr>
              <w:rPr>
                <w:rFonts w:ascii="Arial" w:hAnsi="Arial"/>
                <w:sz w:val="22"/>
                <w:szCs w:val="22"/>
              </w:rPr>
            </w:pPr>
            <w:r w:rsidRPr="00282BD4">
              <w:rPr>
                <w:rFonts w:ascii="Arial" w:hAnsi="Arial"/>
                <w:sz w:val="22"/>
                <w:szCs w:val="22"/>
              </w:rPr>
              <w:t>Astenia/fatiga</w:t>
            </w:r>
          </w:p>
        </w:tc>
        <w:tc>
          <w:tcPr>
            <w:tcW w:w="1397" w:type="dxa"/>
          </w:tcPr>
          <w:p w14:paraId="68F2110D"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29850F71"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70AE3538"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663C9702"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3D7A16B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0FC584E2" w14:textId="77777777" w:rsidR="00C83180" w:rsidRPr="00282BD4" w:rsidRDefault="00C83180" w:rsidP="00A53EA0">
            <w:pPr>
              <w:jc w:val="center"/>
              <w:rPr>
                <w:rFonts w:ascii="Arial" w:hAnsi="Arial"/>
                <w:sz w:val="22"/>
                <w:szCs w:val="22"/>
              </w:rPr>
            </w:pPr>
            <w:r w:rsidRPr="00282BD4">
              <w:rPr>
                <w:rFonts w:ascii="Arial" w:hAnsi="Arial"/>
                <w:sz w:val="22"/>
                <w:szCs w:val="22"/>
              </w:rPr>
              <w:t>++ (Genvoya®)</w:t>
            </w:r>
          </w:p>
          <w:p w14:paraId="278779E4" w14:textId="77777777" w:rsidR="00C83180" w:rsidRPr="00282BD4" w:rsidRDefault="00C83180" w:rsidP="00A53EA0">
            <w:pPr>
              <w:jc w:val="center"/>
              <w:rPr>
                <w:rFonts w:ascii="Arial" w:hAnsi="Arial"/>
                <w:sz w:val="22"/>
                <w:szCs w:val="22"/>
              </w:rPr>
            </w:pPr>
            <w:r w:rsidRPr="00282BD4">
              <w:rPr>
                <w:rFonts w:ascii="Arial" w:hAnsi="Arial"/>
                <w:sz w:val="22"/>
                <w:szCs w:val="22"/>
              </w:rPr>
              <w:t>+++ (Stribild®)</w:t>
            </w:r>
          </w:p>
        </w:tc>
        <w:tc>
          <w:tcPr>
            <w:tcW w:w="2101" w:type="dxa"/>
          </w:tcPr>
          <w:p w14:paraId="135BE49E" w14:textId="77777777" w:rsidR="00C83180" w:rsidRPr="00282BD4" w:rsidRDefault="00C83180" w:rsidP="00A53EA0">
            <w:pPr>
              <w:jc w:val="center"/>
              <w:rPr>
                <w:rFonts w:ascii="Arial" w:hAnsi="Arial"/>
                <w:sz w:val="22"/>
                <w:szCs w:val="22"/>
              </w:rPr>
            </w:pPr>
            <w:r w:rsidRPr="00282BD4">
              <w:rPr>
                <w:rFonts w:ascii="Arial" w:hAnsi="Arial"/>
                <w:sz w:val="22"/>
                <w:szCs w:val="22"/>
              </w:rPr>
              <w:t>++ (Tivicay®)</w:t>
            </w:r>
          </w:p>
          <w:p w14:paraId="475E2B22" w14:textId="77777777" w:rsidR="00C83180" w:rsidRPr="00282BD4" w:rsidRDefault="00C83180" w:rsidP="00A53EA0">
            <w:pPr>
              <w:jc w:val="center"/>
              <w:rPr>
                <w:rFonts w:ascii="Arial" w:hAnsi="Arial"/>
                <w:sz w:val="22"/>
                <w:szCs w:val="22"/>
              </w:rPr>
            </w:pPr>
            <w:r w:rsidRPr="00282BD4">
              <w:rPr>
                <w:rFonts w:ascii="Arial" w:hAnsi="Arial"/>
                <w:sz w:val="22"/>
                <w:szCs w:val="22"/>
              </w:rPr>
              <w:t>+++ (Triumeq®)</w:t>
            </w:r>
          </w:p>
        </w:tc>
        <w:tc>
          <w:tcPr>
            <w:tcW w:w="1530" w:type="dxa"/>
          </w:tcPr>
          <w:p w14:paraId="02A997DD" w14:textId="77777777" w:rsidR="00C83180" w:rsidRPr="00282BD4" w:rsidRDefault="00C83180" w:rsidP="00A53EA0">
            <w:pPr>
              <w:jc w:val="center"/>
              <w:rPr>
                <w:rFonts w:ascii="Arial" w:hAnsi="Arial"/>
                <w:sz w:val="22"/>
                <w:szCs w:val="22"/>
                <w:highlight w:val="yellow"/>
              </w:rPr>
            </w:pPr>
          </w:p>
        </w:tc>
      </w:tr>
      <w:tr w:rsidR="00C83180" w:rsidRPr="00282BD4" w14:paraId="57928BF6" w14:textId="77777777" w:rsidTr="00A53EA0">
        <w:tc>
          <w:tcPr>
            <w:tcW w:w="2484" w:type="dxa"/>
          </w:tcPr>
          <w:p w14:paraId="3C32899E" w14:textId="77777777" w:rsidR="00C83180" w:rsidRPr="00282BD4" w:rsidRDefault="00C83180" w:rsidP="00A53EA0">
            <w:pPr>
              <w:rPr>
                <w:rFonts w:ascii="Arial" w:hAnsi="Arial"/>
                <w:sz w:val="22"/>
                <w:szCs w:val="22"/>
              </w:rPr>
            </w:pPr>
            <w:r w:rsidRPr="00282BD4">
              <w:rPr>
                <w:rFonts w:ascii="Arial" w:hAnsi="Arial"/>
                <w:sz w:val="22"/>
                <w:szCs w:val="22"/>
              </w:rPr>
              <w:t>Depresión</w:t>
            </w:r>
          </w:p>
        </w:tc>
        <w:tc>
          <w:tcPr>
            <w:tcW w:w="1397" w:type="dxa"/>
          </w:tcPr>
          <w:p w14:paraId="79D6529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2E2BE6D7"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65439A8C"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6D8CE1E5"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50C303C1"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6473DCCD"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4BEA8E9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006C58A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3E80835E" w14:textId="77777777" w:rsidTr="00A53EA0">
        <w:tc>
          <w:tcPr>
            <w:tcW w:w="2484" w:type="dxa"/>
          </w:tcPr>
          <w:p w14:paraId="2C102F2A" w14:textId="77777777" w:rsidR="00C83180" w:rsidRPr="00282BD4" w:rsidRDefault="00C83180" w:rsidP="00A53EA0">
            <w:pPr>
              <w:rPr>
                <w:rFonts w:ascii="Arial" w:hAnsi="Arial"/>
                <w:sz w:val="22"/>
                <w:szCs w:val="22"/>
              </w:rPr>
            </w:pPr>
            <w:r w:rsidRPr="00282BD4">
              <w:rPr>
                <w:rFonts w:ascii="Arial" w:hAnsi="Arial"/>
                <w:sz w:val="22"/>
                <w:szCs w:val="22"/>
              </w:rPr>
              <w:t>Ideación suicida</w:t>
            </w:r>
          </w:p>
        </w:tc>
        <w:tc>
          <w:tcPr>
            <w:tcW w:w="1397" w:type="dxa"/>
          </w:tcPr>
          <w:p w14:paraId="03EE388D"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64FC27F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389688D9"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020CBD4F"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3DC73653"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1E7BD198" w14:textId="77777777" w:rsidR="00C83180" w:rsidRPr="00282BD4" w:rsidRDefault="00C83180" w:rsidP="00A53EA0">
            <w:pPr>
              <w:jc w:val="center"/>
              <w:rPr>
                <w:rFonts w:ascii="Arial" w:hAnsi="Arial"/>
                <w:sz w:val="22"/>
                <w:szCs w:val="22"/>
              </w:rPr>
            </w:pPr>
            <w:r w:rsidRPr="00282BD4">
              <w:rPr>
                <w:rFonts w:ascii="Arial" w:hAnsi="Arial"/>
                <w:sz w:val="22"/>
                <w:szCs w:val="22"/>
              </w:rPr>
              <w:t>+++ (Stribild®)</w:t>
            </w:r>
          </w:p>
        </w:tc>
        <w:tc>
          <w:tcPr>
            <w:tcW w:w="2101" w:type="dxa"/>
          </w:tcPr>
          <w:p w14:paraId="0F246A9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031B044C"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2DFF7FAE" w14:textId="77777777" w:rsidTr="00A53EA0">
        <w:tc>
          <w:tcPr>
            <w:tcW w:w="2484" w:type="dxa"/>
          </w:tcPr>
          <w:p w14:paraId="633C89FC" w14:textId="77777777" w:rsidR="00C83180" w:rsidRPr="00282BD4" w:rsidRDefault="00C83180" w:rsidP="00A53EA0">
            <w:pPr>
              <w:rPr>
                <w:rFonts w:ascii="Arial" w:hAnsi="Arial"/>
                <w:sz w:val="22"/>
                <w:szCs w:val="22"/>
              </w:rPr>
            </w:pPr>
            <w:r w:rsidRPr="00282BD4">
              <w:rPr>
                <w:rFonts w:ascii="Arial" w:hAnsi="Arial"/>
                <w:sz w:val="22"/>
                <w:szCs w:val="22"/>
              </w:rPr>
              <w:t>Ansiedad</w:t>
            </w:r>
          </w:p>
        </w:tc>
        <w:tc>
          <w:tcPr>
            <w:tcW w:w="1397" w:type="dxa"/>
          </w:tcPr>
          <w:p w14:paraId="24867B6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56395671"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70B60B15"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12D42343"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6F5973E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55C0C926" w14:textId="77777777" w:rsidR="00C83180" w:rsidRPr="00282BD4" w:rsidRDefault="00C83180" w:rsidP="00A53EA0">
            <w:pPr>
              <w:jc w:val="center"/>
              <w:rPr>
                <w:rFonts w:ascii="Arial" w:hAnsi="Arial"/>
                <w:sz w:val="22"/>
                <w:szCs w:val="22"/>
              </w:rPr>
            </w:pPr>
          </w:p>
        </w:tc>
        <w:tc>
          <w:tcPr>
            <w:tcW w:w="2101" w:type="dxa"/>
          </w:tcPr>
          <w:p w14:paraId="5FF19B6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52E4C8F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23083839" w14:textId="77777777" w:rsidTr="00A53EA0">
        <w:tc>
          <w:tcPr>
            <w:tcW w:w="2484" w:type="dxa"/>
          </w:tcPr>
          <w:p w14:paraId="3DD21406" w14:textId="77777777" w:rsidR="00C83180" w:rsidRPr="00282BD4" w:rsidRDefault="00C83180" w:rsidP="00A53EA0">
            <w:pPr>
              <w:rPr>
                <w:rFonts w:ascii="Arial" w:hAnsi="Arial"/>
                <w:sz w:val="22"/>
                <w:szCs w:val="22"/>
              </w:rPr>
            </w:pPr>
            <w:r w:rsidRPr="00282BD4">
              <w:rPr>
                <w:rFonts w:ascii="Arial" w:hAnsi="Arial"/>
                <w:sz w:val="22"/>
                <w:szCs w:val="22"/>
              </w:rPr>
              <w:t>Alteración de la concentración o atención</w:t>
            </w:r>
          </w:p>
        </w:tc>
        <w:tc>
          <w:tcPr>
            <w:tcW w:w="1397" w:type="dxa"/>
          </w:tcPr>
          <w:p w14:paraId="3F56ED8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04E3AC4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2D554E9A"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3CB53ADE"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0FA03716"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106DF1B4"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64DE4E6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3F7267E3"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7733206D" w14:textId="77777777" w:rsidTr="00A53EA0">
        <w:tc>
          <w:tcPr>
            <w:tcW w:w="2484" w:type="dxa"/>
          </w:tcPr>
          <w:p w14:paraId="0D61A47F" w14:textId="77777777" w:rsidR="00C83180" w:rsidRPr="00282BD4" w:rsidRDefault="00C83180" w:rsidP="00A53EA0">
            <w:pPr>
              <w:rPr>
                <w:rFonts w:ascii="Arial" w:hAnsi="Arial"/>
                <w:sz w:val="22"/>
                <w:szCs w:val="22"/>
              </w:rPr>
            </w:pPr>
            <w:r w:rsidRPr="00282BD4">
              <w:rPr>
                <w:rFonts w:ascii="Arial" w:hAnsi="Arial"/>
                <w:sz w:val="22"/>
                <w:szCs w:val="22"/>
              </w:rPr>
              <w:t>Temblor</w:t>
            </w:r>
          </w:p>
        </w:tc>
        <w:tc>
          <w:tcPr>
            <w:tcW w:w="1397" w:type="dxa"/>
          </w:tcPr>
          <w:p w14:paraId="75F0620B"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21EE2BE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4916B93F"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07CD838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723C6DA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13474057"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2F7C0493"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43C8535E"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2666755E" w14:textId="77777777" w:rsidTr="00A53EA0">
        <w:tc>
          <w:tcPr>
            <w:tcW w:w="2484" w:type="dxa"/>
          </w:tcPr>
          <w:p w14:paraId="7F6FE949" w14:textId="77777777" w:rsidR="00C83180" w:rsidRPr="00282BD4" w:rsidRDefault="00C83180" w:rsidP="00A53EA0">
            <w:pPr>
              <w:rPr>
                <w:rFonts w:ascii="Arial" w:hAnsi="Arial"/>
                <w:sz w:val="22"/>
                <w:szCs w:val="22"/>
              </w:rPr>
            </w:pPr>
            <w:r w:rsidRPr="00282BD4">
              <w:rPr>
                <w:rFonts w:ascii="Arial" w:hAnsi="Arial"/>
                <w:sz w:val="22"/>
                <w:szCs w:val="22"/>
              </w:rPr>
              <w:t>Alteración de la coordinación</w:t>
            </w:r>
          </w:p>
        </w:tc>
        <w:tc>
          <w:tcPr>
            <w:tcW w:w="1397" w:type="dxa"/>
          </w:tcPr>
          <w:p w14:paraId="035580B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0238D02B"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5896BE9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2A1B6155"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7771D19E"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64838F23"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26170B8E"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5D231842"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16C92D6E" w14:textId="77777777" w:rsidTr="00A53EA0">
        <w:tc>
          <w:tcPr>
            <w:tcW w:w="2484" w:type="dxa"/>
          </w:tcPr>
          <w:p w14:paraId="43B16560" w14:textId="77777777" w:rsidR="00C83180" w:rsidRPr="00282BD4" w:rsidRDefault="00C83180" w:rsidP="00A53EA0">
            <w:pPr>
              <w:rPr>
                <w:rFonts w:ascii="Arial" w:hAnsi="Arial"/>
                <w:sz w:val="22"/>
                <w:szCs w:val="22"/>
              </w:rPr>
            </w:pPr>
            <w:r w:rsidRPr="00282BD4">
              <w:rPr>
                <w:rFonts w:ascii="Arial" w:hAnsi="Arial"/>
                <w:sz w:val="22"/>
                <w:szCs w:val="22"/>
              </w:rPr>
              <w:t>Hiperactividad</w:t>
            </w:r>
          </w:p>
        </w:tc>
        <w:tc>
          <w:tcPr>
            <w:tcW w:w="1397" w:type="dxa"/>
          </w:tcPr>
          <w:p w14:paraId="078ADFA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75B1EF76"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463C891D"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1B64F222"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0AA9B89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2C1BB2E7"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3DAB2248"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694F003E"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3E4C74E5" w14:textId="77777777" w:rsidTr="00A53EA0">
        <w:tc>
          <w:tcPr>
            <w:tcW w:w="2484" w:type="dxa"/>
          </w:tcPr>
          <w:p w14:paraId="3EE0A5CF" w14:textId="77777777" w:rsidR="00C83180" w:rsidRPr="00282BD4" w:rsidRDefault="00C83180" w:rsidP="00A53EA0">
            <w:pPr>
              <w:rPr>
                <w:rFonts w:ascii="Arial" w:hAnsi="Arial"/>
                <w:sz w:val="22"/>
                <w:szCs w:val="22"/>
              </w:rPr>
            </w:pPr>
            <w:r w:rsidRPr="00282BD4">
              <w:rPr>
                <w:rFonts w:ascii="Arial" w:hAnsi="Arial"/>
                <w:sz w:val="22"/>
                <w:szCs w:val="22"/>
              </w:rPr>
              <w:t>Alucinaciones</w:t>
            </w:r>
          </w:p>
        </w:tc>
        <w:tc>
          <w:tcPr>
            <w:tcW w:w="1397" w:type="dxa"/>
          </w:tcPr>
          <w:p w14:paraId="4B45CFA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503C81F3"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3C523546"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38D28AC8"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0022F80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589197BB"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6476B873"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398F01FF"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65FEF14B" w14:textId="77777777" w:rsidTr="00A53EA0">
        <w:tc>
          <w:tcPr>
            <w:tcW w:w="2484" w:type="dxa"/>
          </w:tcPr>
          <w:p w14:paraId="162D4631" w14:textId="77777777" w:rsidR="00C83180" w:rsidRPr="00282BD4" w:rsidRDefault="00C83180" w:rsidP="00A53EA0">
            <w:pPr>
              <w:rPr>
                <w:rFonts w:ascii="Arial" w:hAnsi="Arial"/>
                <w:sz w:val="22"/>
                <w:szCs w:val="22"/>
              </w:rPr>
            </w:pPr>
            <w:r w:rsidRPr="00282BD4">
              <w:rPr>
                <w:rFonts w:ascii="Arial" w:hAnsi="Arial"/>
                <w:sz w:val="22"/>
                <w:szCs w:val="22"/>
              </w:rPr>
              <w:t>Convulsiones</w:t>
            </w:r>
          </w:p>
        </w:tc>
        <w:tc>
          <w:tcPr>
            <w:tcW w:w="1397" w:type="dxa"/>
          </w:tcPr>
          <w:p w14:paraId="61EA86D6"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7D43B30E"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29390ED5"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0CFAC6D7"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0BAAE83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369A8195"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606A0C8A"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5F6FFB0C"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r w:rsidR="00C83180" w:rsidRPr="00282BD4" w14:paraId="387ED96D" w14:textId="77777777" w:rsidTr="00A53EA0">
        <w:tc>
          <w:tcPr>
            <w:tcW w:w="2484" w:type="dxa"/>
          </w:tcPr>
          <w:p w14:paraId="007BC6B5" w14:textId="77777777" w:rsidR="00C83180" w:rsidRPr="00282BD4" w:rsidRDefault="00C83180" w:rsidP="00A53EA0">
            <w:pPr>
              <w:rPr>
                <w:rFonts w:ascii="Arial" w:hAnsi="Arial"/>
                <w:sz w:val="22"/>
                <w:szCs w:val="22"/>
              </w:rPr>
            </w:pPr>
            <w:r w:rsidRPr="00282BD4">
              <w:rPr>
                <w:rFonts w:ascii="Arial" w:hAnsi="Arial"/>
                <w:sz w:val="22"/>
                <w:szCs w:val="22"/>
              </w:rPr>
              <w:t>Disgeusida</w:t>
            </w:r>
          </w:p>
        </w:tc>
        <w:tc>
          <w:tcPr>
            <w:tcW w:w="1397" w:type="dxa"/>
          </w:tcPr>
          <w:p w14:paraId="2782B5EB"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37" w:type="dxa"/>
          </w:tcPr>
          <w:p w14:paraId="5C89B9A2"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410" w:type="dxa"/>
          </w:tcPr>
          <w:p w14:paraId="2AA36936"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490" w:type="dxa"/>
          </w:tcPr>
          <w:p w14:paraId="5A08073F"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c>
          <w:tcPr>
            <w:tcW w:w="1557" w:type="dxa"/>
          </w:tcPr>
          <w:p w14:paraId="010AD26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701" w:type="dxa"/>
          </w:tcPr>
          <w:p w14:paraId="173797EF"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2101" w:type="dxa"/>
          </w:tcPr>
          <w:p w14:paraId="4ACC7AB9" w14:textId="77777777" w:rsidR="00C83180" w:rsidRPr="00282BD4" w:rsidRDefault="00C83180" w:rsidP="00A53EA0">
            <w:pPr>
              <w:jc w:val="center"/>
              <w:rPr>
                <w:rFonts w:ascii="Arial" w:hAnsi="Arial"/>
                <w:sz w:val="22"/>
                <w:szCs w:val="22"/>
              </w:rPr>
            </w:pPr>
            <w:r w:rsidRPr="00282BD4">
              <w:rPr>
                <w:rFonts w:ascii="Arial" w:hAnsi="Arial"/>
                <w:sz w:val="22"/>
                <w:szCs w:val="22"/>
              </w:rPr>
              <w:t>-</w:t>
            </w:r>
          </w:p>
        </w:tc>
        <w:tc>
          <w:tcPr>
            <w:tcW w:w="1530" w:type="dxa"/>
          </w:tcPr>
          <w:p w14:paraId="218CFAD1" w14:textId="77777777" w:rsidR="00C83180" w:rsidRPr="00282BD4" w:rsidRDefault="00C83180" w:rsidP="00A53EA0">
            <w:pPr>
              <w:jc w:val="center"/>
              <w:rPr>
                <w:rFonts w:ascii="Arial" w:hAnsi="Arial"/>
                <w:sz w:val="22"/>
                <w:szCs w:val="22"/>
                <w:highlight w:val="yellow"/>
              </w:rPr>
            </w:pPr>
            <w:r w:rsidRPr="00282BD4">
              <w:rPr>
                <w:rFonts w:ascii="Arial" w:hAnsi="Arial"/>
                <w:sz w:val="22"/>
                <w:szCs w:val="22"/>
                <w:highlight w:val="yellow"/>
              </w:rPr>
              <w:t>-</w:t>
            </w:r>
          </w:p>
        </w:tc>
      </w:tr>
    </w:tbl>
    <w:p w14:paraId="7567F898" w14:textId="77777777" w:rsidR="00C83180" w:rsidRDefault="00C83180" w:rsidP="00C83180"/>
    <w:p w14:paraId="30B8E2CB" w14:textId="77777777" w:rsidR="00C83180" w:rsidRDefault="00C83180" w:rsidP="00C83180">
      <w:pPr>
        <w:pStyle w:val="NormalWeb"/>
        <w:ind w:left="-709" w:right="-1425"/>
      </w:pPr>
      <w:r>
        <w:rPr>
          <w:rFonts w:ascii="Arial" w:hAnsi="Arial" w:cs="Arial"/>
        </w:rPr>
        <w:t>*</w:t>
      </w:r>
      <w:r w:rsidRPr="00282BD4">
        <w:rPr>
          <w:rFonts w:ascii="Arial" w:hAnsi="Arial" w:cs="Arial"/>
          <w:sz w:val="22"/>
          <w:szCs w:val="22"/>
        </w:rPr>
        <w:t xml:space="preserve">Según la ficha técnica más reciente disponible en </w:t>
      </w:r>
      <w:r w:rsidRPr="00282BD4">
        <w:rPr>
          <w:rFonts w:ascii="Arial" w:hAnsi="Arial" w:cs="Arial"/>
          <w:color w:val="0560BF"/>
          <w:sz w:val="22"/>
          <w:szCs w:val="22"/>
        </w:rPr>
        <w:t>www.ema.europa.eu</w:t>
      </w:r>
      <w:r w:rsidRPr="00282BD4">
        <w:rPr>
          <w:rFonts w:ascii="Arial" w:hAnsi="Arial" w:cs="Arial"/>
          <w:sz w:val="22"/>
          <w:szCs w:val="22"/>
        </w:rPr>
        <w:t xml:space="preserve">. Frecuencia de efectos adversos: +++, &gt;10%; ++, 1-10%; +, 0.1-1%. </w:t>
      </w:r>
    </w:p>
    <w:p w14:paraId="3FE15E16" w14:textId="77777777" w:rsidR="00C83180" w:rsidRDefault="00C83180" w:rsidP="00C83180">
      <w:pPr>
        <w:pStyle w:val="NormalWeb"/>
        <w:ind w:left="-709" w:right="-1425"/>
        <w:rPr>
          <w:rFonts w:ascii="Arial" w:hAnsi="Arial" w:cs="Arial"/>
          <w:b/>
          <w:bCs/>
          <w:color w:val="AD1C1E"/>
        </w:rPr>
        <w:sectPr w:rsidR="00C83180" w:rsidSect="00A53EA0">
          <w:pgSz w:w="16840" w:h="11900" w:orient="landscape"/>
          <w:pgMar w:top="1701" w:right="1417" w:bottom="1701" w:left="1417" w:header="708" w:footer="708" w:gutter="0"/>
          <w:cols w:space="708"/>
          <w:docGrid w:linePitch="360"/>
        </w:sectPr>
      </w:pPr>
    </w:p>
    <w:p w14:paraId="43E351C0" w14:textId="77777777" w:rsidR="00C83180" w:rsidRDefault="00C83180" w:rsidP="00C83180">
      <w:pPr>
        <w:pStyle w:val="NormalWeb"/>
        <w:ind w:left="-709" w:right="-1425"/>
      </w:pPr>
      <w:r>
        <w:rPr>
          <w:rFonts w:ascii="Arial" w:hAnsi="Arial" w:cs="Arial"/>
          <w:b/>
          <w:bCs/>
          <w:color w:val="AD1C1E"/>
        </w:rPr>
        <w:lastRenderedPageBreak/>
        <w:t xml:space="preserve">Tabla 8. Efectos secundarios tardíos más característicos de los antirretrovirales más utilizados en la actualidad </w:t>
      </w:r>
    </w:p>
    <w:tbl>
      <w:tblPr>
        <w:tblStyle w:val="Tablaconcuadrcula"/>
        <w:tblW w:w="10632" w:type="dxa"/>
        <w:tblInd w:w="-601" w:type="dxa"/>
        <w:tblLook w:val="04A0" w:firstRow="1" w:lastRow="0" w:firstColumn="1" w:lastColumn="0" w:noHBand="0" w:noVBand="1"/>
      </w:tblPr>
      <w:tblGrid>
        <w:gridCol w:w="4920"/>
        <w:gridCol w:w="5712"/>
      </w:tblGrid>
      <w:tr w:rsidR="00C83180" w:rsidRPr="00996CA5" w14:paraId="3DF7DEC8" w14:textId="77777777" w:rsidTr="00A53EA0">
        <w:tc>
          <w:tcPr>
            <w:tcW w:w="4920" w:type="dxa"/>
            <w:shd w:val="clear" w:color="auto" w:fill="E2EFD9" w:themeFill="accent6" w:themeFillTint="33"/>
          </w:tcPr>
          <w:p w14:paraId="02C411D7" w14:textId="77777777" w:rsidR="00C83180" w:rsidRPr="00996CA5" w:rsidRDefault="00C83180" w:rsidP="00A53EA0">
            <w:pPr>
              <w:rPr>
                <w:rFonts w:ascii="Arial" w:hAnsi="Arial" w:cs="Arial"/>
                <w:sz w:val="22"/>
                <w:szCs w:val="22"/>
              </w:rPr>
            </w:pPr>
            <w:r w:rsidRPr="00996CA5">
              <w:rPr>
                <w:rFonts w:ascii="Arial" w:hAnsi="Arial" w:cs="Arial"/>
                <w:sz w:val="22"/>
                <w:szCs w:val="22"/>
              </w:rPr>
              <w:t>Fármacos</w:t>
            </w:r>
          </w:p>
        </w:tc>
        <w:tc>
          <w:tcPr>
            <w:tcW w:w="5712" w:type="dxa"/>
            <w:shd w:val="clear" w:color="auto" w:fill="E2EFD9" w:themeFill="accent6" w:themeFillTint="33"/>
          </w:tcPr>
          <w:p w14:paraId="36ED057A" w14:textId="77777777" w:rsidR="00C83180" w:rsidRPr="00996CA5" w:rsidRDefault="00C83180" w:rsidP="00A53EA0">
            <w:pPr>
              <w:rPr>
                <w:rFonts w:ascii="Arial" w:hAnsi="Arial" w:cs="Arial"/>
                <w:sz w:val="22"/>
                <w:szCs w:val="22"/>
              </w:rPr>
            </w:pPr>
            <w:r w:rsidRPr="00996CA5">
              <w:rPr>
                <w:rFonts w:ascii="Arial" w:hAnsi="Arial" w:cs="Arial"/>
                <w:sz w:val="22"/>
                <w:szCs w:val="22"/>
              </w:rPr>
              <w:t>Efectos adversos</w:t>
            </w:r>
          </w:p>
        </w:tc>
      </w:tr>
      <w:tr w:rsidR="00C83180" w:rsidRPr="00996CA5" w14:paraId="3D7E7F98" w14:textId="77777777" w:rsidTr="00A53EA0">
        <w:tc>
          <w:tcPr>
            <w:tcW w:w="4920" w:type="dxa"/>
          </w:tcPr>
          <w:p w14:paraId="692A77BE" w14:textId="77777777" w:rsidR="00C83180" w:rsidRPr="00996CA5" w:rsidRDefault="00C83180" w:rsidP="00A53EA0">
            <w:pPr>
              <w:pStyle w:val="NormalWeb"/>
              <w:rPr>
                <w:rFonts w:ascii="Arial" w:hAnsi="Arial" w:cs="Arial"/>
                <w:sz w:val="22"/>
                <w:szCs w:val="22"/>
              </w:rPr>
            </w:pPr>
            <w:r w:rsidRPr="00996CA5">
              <w:rPr>
                <w:rFonts w:ascii="Arial" w:hAnsi="Arial" w:cs="Arial"/>
                <w:sz w:val="22"/>
                <w:szCs w:val="22"/>
              </w:rPr>
              <w:t>Tenofovir disoproxil fumarato (TDF)</w:t>
            </w:r>
            <w:r w:rsidRPr="00996CA5">
              <w:rPr>
                <w:rFonts w:ascii="Arial" w:hAnsi="Arial" w:cs="Arial"/>
                <w:sz w:val="22"/>
                <w:szCs w:val="22"/>
              </w:rPr>
              <w:br/>
              <w:t>(Factores de riesgo: afectación renal u ósea previas, prese</w:t>
            </w:r>
            <w:r>
              <w:rPr>
                <w:rFonts w:ascii="Arial" w:hAnsi="Arial" w:cs="Arial"/>
                <w:sz w:val="22"/>
                <w:szCs w:val="22"/>
              </w:rPr>
              <w:t>ncia de factores de riesgo con</w:t>
            </w:r>
            <w:r w:rsidRPr="00996CA5">
              <w:rPr>
                <w:rFonts w:ascii="Arial" w:hAnsi="Arial" w:cs="Arial"/>
                <w:sz w:val="22"/>
                <w:szCs w:val="22"/>
              </w:rPr>
              <w:t xml:space="preserve">vencionales, duración de la exposición a TDF, bajo peso y edad avanzada, uso de potencia- dores como ritonavir o cobicistat) </w:t>
            </w:r>
          </w:p>
          <w:p w14:paraId="1D40B31B" w14:textId="77777777" w:rsidR="00C83180" w:rsidRPr="00996CA5" w:rsidRDefault="00C83180" w:rsidP="00A53EA0">
            <w:pPr>
              <w:rPr>
                <w:rFonts w:ascii="Arial" w:hAnsi="Arial" w:cs="Arial"/>
                <w:sz w:val="22"/>
                <w:szCs w:val="22"/>
              </w:rPr>
            </w:pPr>
          </w:p>
        </w:tc>
        <w:tc>
          <w:tcPr>
            <w:tcW w:w="5712" w:type="dxa"/>
          </w:tcPr>
          <w:p w14:paraId="5623C8AE" w14:textId="77777777" w:rsidR="00C83180" w:rsidRPr="00996CA5" w:rsidRDefault="00C83180" w:rsidP="00676FD1">
            <w:pPr>
              <w:pStyle w:val="NormalWeb"/>
              <w:numPr>
                <w:ilvl w:val="0"/>
                <w:numId w:val="42"/>
              </w:numPr>
              <w:ind w:left="359" w:hanging="359"/>
              <w:rPr>
                <w:rFonts w:ascii="Arial" w:hAnsi="Arial" w:cs="Arial"/>
                <w:sz w:val="22"/>
                <w:szCs w:val="22"/>
              </w:rPr>
            </w:pPr>
            <w:r w:rsidRPr="00996CA5">
              <w:rPr>
                <w:rFonts w:ascii="Arial" w:hAnsi="Arial" w:cs="Arial"/>
                <w:sz w:val="22"/>
                <w:szCs w:val="22"/>
              </w:rPr>
              <w:t xml:space="preserve">Afectación tubular renal y descenso del filtrado glomerular. Las técnicas de monitorización de la función renal se detallan ex- tensamente en otro apartado </w:t>
            </w:r>
          </w:p>
          <w:p w14:paraId="35D6AC0E" w14:textId="77777777" w:rsidR="00C83180" w:rsidRPr="00996CA5" w:rsidRDefault="00C83180" w:rsidP="00676FD1">
            <w:pPr>
              <w:pStyle w:val="NormalWeb"/>
              <w:numPr>
                <w:ilvl w:val="0"/>
                <w:numId w:val="42"/>
              </w:numPr>
              <w:ind w:left="359" w:hanging="359"/>
              <w:rPr>
                <w:rFonts w:ascii="Arial" w:hAnsi="Arial" w:cs="Arial"/>
                <w:sz w:val="22"/>
                <w:szCs w:val="22"/>
              </w:rPr>
            </w:pPr>
            <w:r w:rsidRPr="00996CA5">
              <w:rPr>
                <w:rFonts w:ascii="Arial" w:hAnsi="Arial" w:cs="Arial"/>
                <w:sz w:val="22"/>
                <w:szCs w:val="22"/>
              </w:rPr>
              <w:t xml:space="preserve">Puede producir hipofosfatemia por tubulopatía proximal renal y déficit de vitamina D, </w:t>
            </w:r>
          </w:p>
          <w:p w14:paraId="07935DB2" w14:textId="77777777" w:rsidR="00C83180" w:rsidRPr="00996CA5" w:rsidRDefault="00C83180" w:rsidP="00676FD1">
            <w:pPr>
              <w:pStyle w:val="NormalWeb"/>
              <w:numPr>
                <w:ilvl w:val="0"/>
                <w:numId w:val="42"/>
              </w:numPr>
              <w:ind w:left="359" w:hanging="359"/>
              <w:rPr>
                <w:rFonts w:ascii="Arial" w:hAnsi="Arial" w:cs="Arial"/>
                <w:sz w:val="22"/>
                <w:szCs w:val="22"/>
              </w:rPr>
            </w:pPr>
            <w:r w:rsidRPr="00996CA5">
              <w:rPr>
                <w:rFonts w:ascii="Arial" w:hAnsi="Arial" w:cs="Arial"/>
                <w:sz w:val="22"/>
                <w:szCs w:val="22"/>
              </w:rPr>
              <w:t xml:space="preserve">Disminución de la densidad mineral ósea. Puede aumentar el riesgo de osteoporosis y fracturas osteoporóticas </w:t>
            </w:r>
          </w:p>
          <w:p w14:paraId="3B7E2984" w14:textId="77777777" w:rsidR="00C83180" w:rsidRDefault="00C83180" w:rsidP="00676FD1">
            <w:pPr>
              <w:pStyle w:val="NormalWeb"/>
              <w:numPr>
                <w:ilvl w:val="0"/>
                <w:numId w:val="42"/>
              </w:numPr>
              <w:ind w:left="359" w:hanging="359"/>
              <w:rPr>
                <w:rFonts w:ascii="Arial" w:hAnsi="Arial" w:cs="Arial"/>
                <w:sz w:val="22"/>
                <w:szCs w:val="22"/>
              </w:rPr>
            </w:pPr>
            <w:r w:rsidRPr="00996CA5">
              <w:rPr>
                <w:rFonts w:ascii="Arial" w:hAnsi="Arial" w:cs="Arial"/>
                <w:sz w:val="22"/>
                <w:szCs w:val="22"/>
              </w:rPr>
              <w:t>La sustitución de TDF por tenofovir alafenamida (TAF) disminuye marcadamente la toxicidad renal y ósea de tenofovir</w:t>
            </w:r>
            <w:r>
              <w:rPr>
                <w:rFonts w:ascii="Arial" w:hAnsi="Arial" w:cs="Arial"/>
                <w:sz w:val="22"/>
                <w:szCs w:val="22"/>
              </w:rPr>
              <w:t>.</w:t>
            </w:r>
            <w:r w:rsidRPr="00996CA5">
              <w:rPr>
                <w:rFonts w:ascii="Arial" w:hAnsi="Arial" w:cs="Arial"/>
                <w:sz w:val="22"/>
                <w:szCs w:val="22"/>
              </w:rPr>
              <w:t xml:space="preserve"> </w:t>
            </w:r>
          </w:p>
          <w:p w14:paraId="720B7B1A" w14:textId="77777777" w:rsidR="00C83180" w:rsidRPr="00996CA5" w:rsidRDefault="00C83180" w:rsidP="00676FD1">
            <w:pPr>
              <w:pStyle w:val="NormalWeb"/>
              <w:numPr>
                <w:ilvl w:val="0"/>
                <w:numId w:val="42"/>
              </w:numPr>
              <w:ind w:left="359" w:hanging="359"/>
              <w:rPr>
                <w:rFonts w:ascii="Arial" w:hAnsi="Arial" w:cs="Arial"/>
                <w:sz w:val="22"/>
                <w:szCs w:val="22"/>
              </w:rPr>
            </w:pPr>
            <w:r w:rsidRPr="001E4F56">
              <w:rPr>
                <w:rFonts w:ascii="Arial" w:hAnsi="Arial" w:cs="Arial"/>
                <w:sz w:val="22"/>
                <w:szCs w:val="22"/>
                <w:highlight w:val="yellow"/>
              </w:rPr>
              <w:t xml:space="preserve">La sustitución de TDF por TAF </w:t>
            </w:r>
            <w:r>
              <w:rPr>
                <w:rFonts w:ascii="Arial" w:hAnsi="Arial" w:cs="Arial"/>
                <w:sz w:val="22"/>
                <w:szCs w:val="22"/>
                <w:highlight w:val="yellow"/>
              </w:rPr>
              <w:t>se ha asociado con  aumento de peso</w:t>
            </w:r>
            <w:r w:rsidRPr="001E4F56">
              <w:rPr>
                <w:rFonts w:ascii="Arial" w:hAnsi="Arial" w:cs="Arial"/>
                <w:sz w:val="22"/>
                <w:szCs w:val="22"/>
                <w:highlight w:val="yellow"/>
              </w:rPr>
              <w:t>.</w:t>
            </w:r>
          </w:p>
        </w:tc>
      </w:tr>
      <w:tr w:rsidR="00C83180" w:rsidRPr="00996CA5" w14:paraId="78629DA5" w14:textId="77777777" w:rsidTr="00A53EA0">
        <w:tc>
          <w:tcPr>
            <w:tcW w:w="4920" w:type="dxa"/>
          </w:tcPr>
          <w:p w14:paraId="38F1BA78" w14:textId="77777777" w:rsidR="00C83180" w:rsidRPr="00996CA5" w:rsidRDefault="00C83180" w:rsidP="00A53EA0">
            <w:pPr>
              <w:rPr>
                <w:rFonts w:ascii="Arial" w:hAnsi="Arial" w:cs="Arial"/>
                <w:sz w:val="22"/>
                <w:szCs w:val="22"/>
              </w:rPr>
            </w:pPr>
            <w:r w:rsidRPr="00996CA5">
              <w:rPr>
                <w:rFonts w:ascii="Arial" w:hAnsi="Arial" w:cs="Arial"/>
                <w:sz w:val="22"/>
                <w:szCs w:val="22"/>
              </w:rPr>
              <w:t>Abacavir</w:t>
            </w:r>
          </w:p>
        </w:tc>
        <w:tc>
          <w:tcPr>
            <w:tcW w:w="5712" w:type="dxa"/>
          </w:tcPr>
          <w:p w14:paraId="2C8B55AD"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 xml:space="preserve">Se ha asociado a riesgo de infarto de miocardio en pacientes con alto riesgo cardio-vascular, aunque este efecto clínico es controvertido </w:t>
            </w:r>
          </w:p>
        </w:tc>
      </w:tr>
      <w:tr w:rsidR="00C83180" w:rsidRPr="00996CA5" w14:paraId="7A6A9E46" w14:textId="77777777" w:rsidTr="00A53EA0">
        <w:tc>
          <w:tcPr>
            <w:tcW w:w="4920" w:type="dxa"/>
          </w:tcPr>
          <w:p w14:paraId="7A46ADF0" w14:textId="77777777" w:rsidR="00C83180" w:rsidRPr="00996CA5" w:rsidRDefault="00C83180" w:rsidP="00A53EA0">
            <w:pPr>
              <w:rPr>
                <w:rFonts w:ascii="Arial" w:hAnsi="Arial" w:cs="Arial"/>
                <w:sz w:val="22"/>
                <w:szCs w:val="22"/>
              </w:rPr>
            </w:pPr>
            <w:r w:rsidRPr="00996CA5">
              <w:rPr>
                <w:rFonts w:ascii="Arial" w:hAnsi="Arial" w:cs="Arial"/>
                <w:sz w:val="22"/>
                <w:szCs w:val="22"/>
              </w:rPr>
              <w:t>Inhibidores de la proteasa</w:t>
            </w:r>
          </w:p>
        </w:tc>
        <w:tc>
          <w:tcPr>
            <w:tcW w:w="5712" w:type="dxa"/>
          </w:tcPr>
          <w:p w14:paraId="048BB8B7"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Pueden aumentar el riesgo de enfermedad cardiovascular por su efecto hiperlipemiante y quizás po</w:t>
            </w:r>
            <w:r>
              <w:rPr>
                <w:rFonts w:ascii="Arial" w:hAnsi="Arial" w:cs="Arial"/>
                <w:sz w:val="22"/>
                <w:szCs w:val="22"/>
              </w:rPr>
              <w:t>r otros efectos no bien conoci</w:t>
            </w:r>
            <w:r w:rsidRPr="00996CA5">
              <w:rPr>
                <w:rFonts w:ascii="Arial" w:hAnsi="Arial" w:cs="Arial"/>
                <w:sz w:val="22"/>
                <w:szCs w:val="22"/>
              </w:rPr>
              <w:t xml:space="preserve">dos </w:t>
            </w:r>
          </w:p>
          <w:p w14:paraId="7F3A06F0"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 xml:space="preserve">LPV/r  y DRV/r se han asociado a un mayor riesgo de infarto de miocardio, </w:t>
            </w:r>
          </w:p>
          <w:p w14:paraId="702929CF"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ATV puede producir hiperbilirrubinemia y excepcionalmente ictericia y colelitiasis. Es el único IP actual que no se ha implicado en un mayor riesgo de infarto de miocardio. La hiperbilirrubinemia de ATV se ha asociado a efectos cardiovasculares protectores</w:t>
            </w:r>
          </w:p>
          <w:p w14:paraId="7635D784"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LPV/r y ATV/r se han asociado a un mayor riesgo de disminución del filtrado glomerular que podría deberse a la interacción con TDF cuando se administran concomitantemente</w:t>
            </w:r>
          </w:p>
          <w:p w14:paraId="0A99E3C2"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 xml:space="preserve">ATV/r y, en menor medida, DRV/r se han asociado ocasionalmente a litiasis renal </w:t>
            </w:r>
          </w:p>
          <w:p w14:paraId="4CC3463E" w14:textId="77777777" w:rsidR="00C83180" w:rsidRPr="00996CA5" w:rsidRDefault="00C83180" w:rsidP="00676FD1">
            <w:pPr>
              <w:pStyle w:val="NormalWeb"/>
              <w:numPr>
                <w:ilvl w:val="0"/>
                <w:numId w:val="43"/>
              </w:numPr>
              <w:ind w:left="359" w:hanging="359"/>
              <w:rPr>
                <w:rFonts w:ascii="Arial" w:hAnsi="Arial" w:cs="Arial"/>
                <w:sz w:val="22"/>
                <w:szCs w:val="22"/>
              </w:rPr>
            </w:pPr>
            <w:r w:rsidRPr="00996CA5">
              <w:rPr>
                <w:rFonts w:ascii="Arial" w:hAnsi="Arial" w:cs="Arial"/>
                <w:sz w:val="22"/>
                <w:szCs w:val="22"/>
              </w:rPr>
              <w:t xml:space="preserve">Los IP se han asociado a descensos en la densidad mineral ósea superiores a otros fármacos en pacientes naive. Este efecto está mediado al menos en parte por la interacción con TDF </w:t>
            </w:r>
          </w:p>
        </w:tc>
      </w:tr>
      <w:tr w:rsidR="00C83180" w:rsidRPr="00996CA5" w14:paraId="18ABC2ED" w14:textId="77777777" w:rsidTr="00A53EA0">
        <w:tc>
          <w:tcPr>
            <w:tcW w:w="4920" w:type="dxa"/>
          </w:tcPr>
          <w:p w14:paraId="6746D6E4" w14:textId="77777777" w:rsidR="00C83180" w:rsidRPr="00996CA5" w:rsidRDefault="00C83180" w:rsidP="00A53EA0">
            <w:pPr>
              <w:rPr>
                <w:rFonts w:ascii="Arial" w:hAnsi="Arial" w:cs="Arial"/>
                <w:sz w:val="22"/>
                <w:szCs w:val="22"/>
              </w:rPr>
            </w:pPr>
            <w:r w:rsidRPr="00996CA5">
              <w:rPr>
                <w:rFonts w:ascii="Arial" w:hAnsi="Arial" w:cs="Arial"/>
                <w:sz w:val="22"/>
                <w:szCs w:val="22"/>
              </w:rPr>
              <w:t>Efavirenz</w:t>
            </w:r>
          </w:p>
        </w:tc>
        <w:tc>
          <w:tcPr>
            <w:tcW w:w="5712" w:type="dxa"/>
          </w:tcPr>
          <w:p w14:paraId="23AEE596"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t xml:space="preserve">Trastornos neuropsicológicos mantenidos, (aunque sean de bajo grado pueden resultar difíciles de tolerar a largo plazo) </w:t>
            </w:r>
          </w:p>
          <w:p w14:paraId="07AA6F88"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t>Aumento del riesgo de suicidio</w:t>
            </w:r>
          </w:p>
          <w:p w14:paraId="30856530"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t xml:space="preserve">Se ha asociado a un mayor riesgo de deterioro neurocognitivo, aunque este efecto clínico es controvertido. En cultivos neuronales induce neurotoxicidad </w:t>
            </w:r>
          </w:p>
          <w:p w14:paraId="08879F6F"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lastRenderedPageBreak/>
              <w:t xml:space="preserve">Disminuye el nivel plasmático de 25-OH vitamina D, pero el significado clínico de este efecto es desconocido </w:t>
            </w:r>
          </w:p>
          <w:p w14:paraId="55FC1341"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t xml:space="preserve">Se ha asociado a ginecomastia, aunque este efecto clínico es controvertido </w:t>
            </w:r>
          </w:p>
          <w:p w14:paraId="427B8BB7" w14:textId="77777777" w:rsidR="00C83180" w:rsidRPr="00996CA5" w:rsidRDefault="00C83180" w:rsidP="00676FD1">
            <w:pPr>
              <w:pStyle w:val="NormalWeb"/>
              <w:numPr>
                <w:ilvl w:val="0"/>
                <w:numId w:val="44"/>
              </w:numPr>
              <w:ind w:left="359" w:hanging="359"/>
              <w:rPr>
                <w:rFonts w:ascii="Arial" w:hAnsi="Arial" w:cs="Arial"/>
                <w:sz w:val="22"/>
                <w:szCs w:val="22"/>
              </w:rPr>
            </w:pPr>
            <w:r w:rsidRPr="00996CA5">
              <w:rPr>
                <w:rFonts w:ascii="Arial" w:hAnsi="Arial" w:cs="Arial"/>
                <w:sz w:val="22"/>
                <w:szCs w:val="22"/>
              </w:rPr>
              <w:t xml:space="preserve">Se ha asociado a teratogenicidad en modelos animales y en alteraciones neurológicas fetales. EFV no es un fármaco de elección en las 8 primeras semanas de gestación: si la mujer está tomando ya EFV cuando queda embarazada es posible continuar su uso. </w:t>
            </w:r>
          </w:p>
        </w:tc>
      </w:tr>
      <w:tr w:rsidR="00C83180" w:rsidRPr="00996CA5" w14:paraId="14BC1FB7" w14:textId="77777777" w:rsidTr="00A53EA0">
        <w:tc>
          <w:tcPr>
            <w:tcW w:w="4920" w:type="dxa"/>
          </w:tcPr>
          <w:p w14:paraId="1061B09A" w14:textId="77777777" w:rsidR="00C83180" w:rsidRPr="00996CA5" w:rsidRDefault="00C83180" w:rsidP="00A53EA0">
            <w:pPr>
              <w:rPr>
                <w:rFonts w:ascii="Arial" w:hAnsi="Arial" w:cs="Arial"/>
                <w:sz w:val="22"/>
                <w:szCs w:val="22"/>
              </w:rPr>
            </w:pPr>
            <w:r w:rsidRPr="00996CA5">
              <w:rPr>
                <w:rFonts w:ascii="Arial" w:hAnsi="Arial" w:cs="Arial"/>
                <w:sz w:val="22"/>
                <w:szCs w:val="22"/>
              </w:rPr>
              <w:lastRenderedPageBreak/>
              <w:t>Rilpivirina</w:t>
            </w:r>
          </w:p>
        </w:tc>
        <w:tc>
          <w:tcPr>
            <w:tcW w:w="5712" w:type="dxa"/>
          </w:tcPr>
          <w:p w14:paraId="0EC0C7C2" w14:textId="77777777" w:rsidR="00C83180" w:rsidRPr="00AD21D8" w:rsidRDefault="00C83180" w:rsidP="00676FD1">
            <w:pPr>
              <w:pStyle w:val="NormalWeb"/>
              <w:numPr>
                <w:ilvl w:val="0"/>
                <w:numId w:val="41"/>
              </w:numPr>
              <w:ind w:left="217" w:hanging="217"/>
              <w:rPr>
                <w:rFonts w:ascii="Arial" w:hAnsi="Arial" w:cs="Arial"/>
                <w:sz w:val="22"/>
                <w:szCs w:val="22"/>
              </w:rPr>
            </w:pPr>
            <w:r w:rsidRPr="00996CA5">
              <w:rPr>
                <w:rFonts w:ascii="Arial" w:hAnsi="Arial" w:cs="Arial"/>
                <w:sz w:val="22"/>
                <w:szCs w:val="22"/>
              </w:rPr>
              <w:t xml:space="preserve">La ficha técnica de RPV indica que puede asociarse a efectos adversos del SNC (ver Tabla 7), cuya frecuencia e intensidad clínica es muy inferior a la descrita para EFV. </w:t>
            </w:r>
          </w:p>
        </w:tc>
      </w:tr>
      <w:tr w:rsidR="00C83180" w:rsidRPr="00996CA5" w14:paraId="1DEDE850" w14:textId="77777777" w:rsidTr="00A53EA0">
        <w:tc>
          <w:tcPr>
            <w:tcW w:w="4920" w:type="dxa"/>
          </w:tcPr>
          <w:p w14:paraId="101978D7" w14:textId="77777777" w:rsidR="00C83180" w:rsidRPr="00A079CD" w:rsidRDefault="00C83180" w:rsidP="00A53EA0">
            <w:pPr>
              <w:rPr>
                <w:rFonts w:ascii="Arial" w:hAnsi="Arial" w:cs="Arial"/>
                <w:sz w:val="22"/>
                <w:szCs w:val="22"/>
                <w:highlight w:val="yellow"/>
              </w:rPr>
            </w:pPr>
            <w:r>
              <w:rPr>
                <w:rFonts w:ascii="Arial" w:hAnsi="Arial" w:cs="Arial"/>
                <w:sz w:val="22"/>
                <w:szCs w:val="22"/>
                <w:highlight w:val="yellow"/>
              </w:rPr>
              <w:t>Etravirina</w:t>
            </w:r>
          </w:p>
        </w:tc>
        <w:tc>
          <w:tcPr>
            <w:tcW w:w="5712" w:type="dxa"/>
          </w:tcPr>
          <w:p w14:paraId="3C3D7CEA" w14:textId="77777777" w:rsidR="00C83180" w:rsidRPr="001E4F56" w:rsidRDefault="00C83180" w:rsidP="00676FD1">
            <w:pPr>
              <w:pStyle w:val="NormalWeb"/>
              <w:numPr>
                <w:ilvl w:val="0"/>
                <w:numId w:val="41"/>
              </w:numPr>
              <w:ind w:left="217" w:hanging="217"/>
              <w:rPr>
                <w:rFonts w:ascii="Arial" w:hAnsi="Arial" w:cs="Arial"/>
                <w:sz w:val="22"/>
                <w:szCs w:val="22"/>
                <w:highlight w:val="yellow"/>
              </w:rPr>
            </w:pPr>
            <w:r w:rsidRPr="001E4F56">
              <w:rPr>
                <w:rFonts w:ascii="Arial" w:hAnsi="Arial" w:cs="Arial"/>
                <w:sz w:val="22"/>
                <w:szCs w:val="22"/>
                <w:highlight w:val="yellow"/>
              </w:rPr>
              <w:t xml:space="preserve">La ficha técnica de </w:t>
            </w:r>
            <w:r>
              <w:rPr>
                <w:rFonts w:ascii="Arial" w:hAnsi="Arial" w:cs="Arial"/>
                <w:sz w:val="22"/>
                <w:szCs w:val="22"/>
                <w:highlight w:val="yellow"/>
              </w:rPr>
              <w:t>ETV</w:t>
            </w:r>
            <w:r w:rsidRPr="001E4F56">
              <w:rPr>
                <w:rFonts w:ascii="Arial" w:hAnsi="Arial" w:cs="Arial"/>
                <w:sz w:val="22"/>
                <w:szCs w:val="22"/>
                <w:highlight w:val="yellow"/>
              </w:rPr>
              <w:t xml:space="preserve"> indica que puede asociarse a efectos adversos del SNC (ver Tabla 7), cuya frecuencia e intensidad clínica es muy inferior a la descrita para EFV.</w:t>
            </w:r>
          </w:p>
        </w:tc>
      </w:tr>
      <w:tr w:rsidR="00C83180" w:rsidRPr="00996CA5" w14:paraId="75B2CE80" w14:textId="77777777" w:rsidTr="00A53EA0">
        <w:tc>
          <w:tcPr>
            <w:tcW w:w="4920" w:type="dxa"/>
          </w:tcPr>
          <w:p w14:paraId="4AF60D98" w14:textId="77777777" w:rsidR="00C83180" w:rsidRPr="00A079CD" w:rsidRDefault="00C83180" w:rsidP="00A53EA0">
            <w:pPr>
              <w:rPr>
                <w:rFonts w:ascii="Arial" w:hAnsi="Arial" w:cs="Arial"/>
                <w:sz w:val="22"/>
                <w:szCs w:val="22"/>
                <w:highlight w:val="yellow"/>
              </w:rPr>
            </w:pPr>
            <w:r w:rsidRPr="00A079CD">
              <w:rPr>
                <w:rFonts w:ascii="Arial" w:hAnsi="Arial" w:cs="Arial"/>
                <w:sz w:val="22"/>
                <w:szCs w:val="22"/>
                <w:highlight w:val="yellow"/>
              </w:rPr>
              <w:t>Doravirina</w:t>
            </w:r>
          </w:p>
        </w:tc>
        <w:tc>
          <w:tcPr>
            <w:tcW w:w="5712" w:type="dxa"/>
          </w:tcPr>
          <w:p w14:paraId="5C745376" w14:textId="77777777" w:rsidR="00C83180" w:rsidRPr="001E4F56" w:rsidRDefault="00C83180" w:rsidP="00676FD1">
            <w:pPr>
              <w:pStyle w:val="NormalWeb"/>
              <w:numPr>
                <w:ilvl w:val="0"/>
                <w:numId w:val="41"/>
              </w:numPr>
              <w:ind w:left="217" w:hanging="217"/>
              <w:rPr>
                <w:rFonts w:ascii="Arial" w:hAnsi="Arial" w:cs="Arial"/>
                <w:sz w:val="22"/>
                <w:szCs w:val="22"/>
                <w:highlight w:val="yellow"/>
              </w:rPr>
            </w:pPr>
            <w:r w:rsidRPr="001E4F56">
              <w:rPr>
                <w:rFonts w:ascii="Arial" w:hAnsi="Arial" w:cs="Arial"/>
                <w:sz w:val="22"/>
                <w:szCs w:val="22"/>
                <w:highlight w:val="yellow"/>
              </w:rPr>
              <w:t xml:space="preserve">La ficha técnica de </w:t>
            </w:r>
            <w:r>
              <w:rPr>
                <w:rFonts w:ascii="Arial" w:hAnsi="Arial" w:cs="Arial"/>
                <w:sz w:val="22"/>
                <w:szCs w:val="22"/>
                <w:highlight w:val="yellow"/>
              </w:rPr>
              <w:t>DOR</w:t>
            </w:r>
            <w:r w:rsidRPr="001E4F56">
              <w:rPr>
                <w:rFonts w:ascii="Arial" w:hAnsi="Arial" w:cs="Arial"/>
                <w:sz w:val="22"/>
                <w:szCs w:val="22"/>
                <w:highlight w:val="yellow"/>
              </w:rPr>
              <w:t xml:space="preserve"> indica que puede asociarse a efectos adversos del SNC (ver Tabla 7), cuya frecuencia e intensidad clínica es muy inferior a la descrita para EFV. </w:t>
            </w:r>
          </w:p>
        </w:tc>
      </w:tr>
      <w:tr w:rsidR="00C83180" w:rsidRPr="00996CA5" w14:paraId="2E514653" w14:textId="77777777" w:rsidTr="00A53EA0">
        <w:tc>
          <w:tcPr>
            <w:tcW w:w="4920" w:type="dxa"/>
          </w:tcPr>
          <w:p w14:paraId="67A8EF45" w14:textId="77777777" w:rsidR="00C83180" w:rsidRPr="00996CA5" w:rsidRDefault="00C83180" w:rsidP="00A53EA0">
            <w:pPr>
              <w:rPr>
                <w:rFonts w:ascii="Arial" w:hAnsi="Arial" w:cs="Arial"/>
                <w:sz w:val="22"/>
                <w:szCs w:val="22"/>
              </w:rPr>
            </w:pPr>
            <w:r w:rsidRPr="00996CA5">
              <w:rPr>
                <w:rFonts w:ascii="Arial" w:hAnsi="Arial" w:cs="Arial"/>
                <w:sz w:val="22"/>
                <w:szCs w:val="22"/>
              </w:rPr>
              <w:t>Inhibidores de la integrasa</w:t>
            </w:r>
          </w:p>
        </w:tc>
        <w:tc>
          <w:tcPr>
            <w:tcW w:w="5712" w:type="dxa"/>
          </w:tcPr>
          <w:p w14:paraId="56F02420" w14:textId="77777777" w:rsidR="00C83180" w:rsidRPr="00996CA5" w:rsidRDefault="00C83180" w:rsidP="00676FD1">
            <w:pPr>
              <w:pStyle w:val="NormalWeb"/>
              <w:numPr>
                <w:ilvl w:val="0"/>
                <w:numId w:val="41"/>
              </w:numPr>
              <w:ind w:left="217" w:hanging="217"/>
              <w:rPr>
                <w:rFonts w:ascii="Arial" w:hAnsi="Arial" w:cs="Arial"/>
                <w:sz w:val="22"/>
                <w:szCs w:val="22"/>
              </w:rPr>
            </w:pPr>
            <w:r>
              <w:rPr>
                <w:rFonts w:ascii="Arial" w:hAnsi="Arial" w:cs="Arial"/>
                <w:sz w:val="22"/>
                <w:szCs w:val="22"/>
                <w:highlight w:val="yellow"/>
              </w:rPr>
              <w:t>Todos los INI</w:t>
            </w:r>
            <w:r>
              <w:rPr>
                <w:rFonts w:ascii="Arial" w:hAnsi="Arial" w:cs="Arial"/>
                <w:sz w:val="22"/>
                <w:szCs w:val="22"/>
              </w:rPr>
              <w:t xml:space="preserve"> disponibles </w:t>
            </w:r>
            <w:r w:rsidRPr="00A079CD">
              <w:rPr>
                <w:rFonts w:ascii="Arial" w:hAnsi="Arial" w:cs="Arial"/>
                <w:strike/>
                <w:sz w:val="22"/>
                <w:szCs w:val="22"/>
              </w:rPr>
              <w:t>Los tres INI disponibles</w:t>
            </w:r>
            <w:r w:rsidRPr="00996CA5">
              <w:rPr>
                <w:rFonts w:ascii="Arial" w:hAnsi="Arial" w:cs="Arial"/>
                <w:sz w:val="22"/>
                <w:szCs w:val="22"/>
              </w:rPr>
              <w:t xml:space="preserve"> se han asociado con efectos s</w:t>
            </w:r>
            <w:r>
              <w:rPr>
                <w:rFonts w:ascii="Arial" w:hAnsi="Arial" w:cs="Arial"/>
                <w:sz w:val="22"/>
                <w:szCs w:val="22"/>
              </w:rPr>
              <w:t xml:space="preserve">ecundarios neuropsicológicos. </w:t>
            </w:r>
            <w:r w:rsidRPr="00996CA5">
              <w:rPr>
                <w:rFonts w:ascii="Arial" w:hAnsi="Arial" w:cs="Arial"/>
                <w:sz w:val="22"/>
                <w:szCs w:val="22"/>
              </w:rPr>
              <w:t>Se han descrito m</w:t>
            </w:r>
            <w:r>
              <w:rPr>
                <w:rFonts w:ascii="Arial" w:hAnsi="Arial" w:cs="Arial"/>
                <w:sz w:val="22"/>
                <w:szCs w:val="22"/>
              </w:rPr>
              <w:t xml:space="preserve">ás frecuentemente </w:t>
            </w:r>
            <w:r w:rsidRPr="00996CA5">
              <w:rPr>
                <w:rFonts w:ascii="Arial" w:hAnsi="Arial" w:cs="Arial"/>
                <w:sz w:val="22"/>
                <w:szCs w:val="22"/>
              </w:rPr>
              <w:t xml:space="preserve">asociados a DTG. Los más frecuentemente descritos son insomnio, cefalea, irritabilidad o ansiedad. Generalmente suelen ser leves y transitorios, aunque se han reportado casos que han obligado a la discontinuación. </w:t>
            </w:r>
          </w:p>
          <w:p w14:paraId="55A6B558" w14:textId="77777777" w:rsidR="00C83180" w:rsidRDefault="00C83180" w:rsidP="00676FD1">
            <w:pPr>
              <w:pStyle w:val="NormalWeb"/>
              <w:numPr>
                <w:ilvl w:val="0"/>
                <w:numId w:val="41"/>
              </w:numPr>
              <w:ind w:left="217" w:hanging="217"/>
              <w:rPr>
                <w:rFonts w:ascii="Arial" w:hAnsi="Arial" w:cs="Arial"/>
                <w:sz w:val="22"/>
                <w:szCs w:val="22"/>
              </w:rPr>
            </w:pPr>
            <w:r w:rsidRPr="00996CA5">
              <w:rPr>
                <w:rFonts w:ascii="Arial" w:hAnsi="Arial" w:cs="Arial"/>
                <w:sz w:val="22"/>
                <w:szCs w:val="22"/>
              </w:rPr>
              <w:t>Aunque los estudios de toxicología reproductiva no han mostrado ningún hallazgo relevante, DTG se ha asociado a un exceso de riesgo de defectos neurológicos en recién nacidos cuyas madres tomaron DTG en el momento de la concepción y se ha descrito un caso en el hijo de una paciente que inició DTG en la semana 8 de embarazo</w:t>
            </w:r>
            <w:r>
              <w:rPr>
                <w:rFonts w:ascii="Arial" w:hAnsi="Arial" w:cs="Arial"/>
                <w:sz w:val="22"/>
                <w:szCs w:val="22"/>
              </w:rPr>
              <w:t>.</w:t>
            </w:r>
          </w:p>
          <w:p w14:paraId="7787C303" w14:textId="77777777" w:rsidR="00C83180" w:rsidRPr="00996CA5" w:rsidRDefault="00C83180" w:rsidP="00676FD1">
            <w:pPr>
              <w:pStyle w:val="NormalWeb"/>
              <w:numPr>
                <w:ilvl w:val="0"/>
                <w:numId w:val="41"/>
              </w:numPr>
              <w:ind w:left="217" w:hanging="217"/>
              <w:rPr>
                <w:rFonts w:ascii="Arial" w:hAnsi="Arial" w:cs="Arial"/>
                <w:sz w:val="22"/>
                <w:szCs w:val="22"/>
              </w:rPr>
            </w:pPr>
            <w:r w:rsidRPr="00996CA5">
              <w:rPr>
                <w:rFonts w:ascii="Arial" w:hAnsi="Arial" w:cs="Arial"/>
                <w:sz w:val="22"/>
                <w:szCs w:val="22"/>
              </w:rPr>
              <w:t xml:space="preserve">El tratamiento con INI, y particularmente con DTG, se ha asociado a una ganancia de peso, cuyo </w:t>
            </w:r>
            <w:r>
              <w:rPr>
                <w:rFonts w:ascii="Arial" w:hAnsi="Arial" w:cs="Arial"/>
                <w:sz w:val="22"/>
                <w:szCs w:val="22"/>
              </w:rPr>
              <w:t>s</w:t>
            </w:r>
            <w:r w:rsidRPr="00996CA5">
              <w:rPr>
                <w:rFonts w:ascii="Arial" w:hAnsi="Arial" w:cs="Arial"/>
                <w:sz w:val="22"/>
                <w:szCs w:val="22"/>
              </w:rPr>
              <w:t xml:space="preserve">ignificado clínico se desconoce. </w:t>
            </w:r>
          </w:p>
        </w:tc>
      </w:tr>
    </w:tbl>
    <w:p w14:paraId="7F0397EB" w14:textId="77777777" w:rsidR="00C83180" w:rsidRDefault="00C83180" w:rsidP="00C83180"/>
    <w:p w14:paraId="3AE0DA48" w14:textId="77777777" w:rsidR="002A6ADA" w:rsidRPr="003F3B0A" w:rsidRDefault="002A6ADA" w:rsidP="002A6ADA">
      <w:pPr>
        <w:rPr>
          <w:rFonts w:ascii="Calibri" w:hAnsi="Calibri"/>
          <w:b/>
          <w:color w:val="AE1C1F"/>
          <w:lang w:eastAsia="en-US"/>
        </w:rPr>
        <w:sectPr w:rsidR="002A6ADA" w:rsidRPr="003F3B0A">
          <w:pgSz w:w="11900" w:h="16840"/>
          <w:pgMar w:top="1080" w:right="1440" w:bottom="1080" w:left="1440" w:header="709" w:footer="709" w:gutter="0"/>
          <w:cols w:space="708"/>
          <w:docGrid w:linePitch="360"/>
        </w:sectPr>
      </w:pPr>
    </w:p>
    <w:p w14:paraId="659C87E5" w14:textId="77777777" w:rsidR="00A53EA0" w:rsidRPr="00A908E9" w:rsidRDefault="00A53EA0" w:rsidP="00A53EA0">
      <w:pPr>
        <w:spacing w:before="120" w:after="120" w:line="276" w:lineRule="auto"/>
        <w:jc w:val="both"/>
        <w:rPr>
          <w:rFonts w:ascii="Calibri" w:hAnsi="Calibri"/>
          <w:sz w:val="22"/>
          <w:szCs w:val="22"/>
          <w:lang w:eastAsia="en-US"/>
        </w:rPr>
      </w:pPr>
      <w:r w:rsidRPr="00931B65">
        <w:rPr>
          <w:rFonts w:ascii="Calibri" w:hAnsi="Calibri"/>
          <w:b/>
          <w:color w:val="006600"/>
          <w:lang w:eastAsia="en-US"/>
        </w:rPr>
        <w:lastRenderedPageBreak/>
        <w:t xml:space="preserve">Tabla </w:t>
      </w:r>
      <w:r>
        <w:rPr>
          <w:rFonts w:ascii="Calibri" w:hAnsi="Calibri"/>
          <w:b/>
          <w:color w:val="006600"/>
          <w:lang w:eastAsia="en-US"/>
        </w:rPr>
        <w:t>9</w:t>
      </w:r>
      <w:r w:rsidRPr="00931B65">
        <w:rPr>
          <w:rFonts w:ascii="Calibri" w:hAnsi="Calibri"/>
          <w:b/>
          <w:color w:val="006600"/>
          <w:lang w:eastAsia="en-US"/>
        </w:rPr>
        <w:t xml:space="preserve">. Asociaciones contraindicadas o no recomendadas (X) con los antirretrovirales más habituales en la actualidad. </w:t>
      </w:r>
      <w:r w:rsidRPr="00A908E9">
        <w:rPr>
          <w:rFonts w:ascii="Calibri" w:hAnsi="Calibri"/>
          <w:sz w:val="22"/>
          <w:szCs w:val="22"/>
          <w:lang w:eastAsia="en-US"/>
        </w:rPr>
        <w:t>Los cuadros en</w:t>
      </w:r>
      <w:r w:rsidRPr="00A908E9">
        <w:rPr>
          <w:rFonts w:ascii="Calibri" w:hAnsi="Calibri"/>
          <w:color w:val="006600"/>
          <w:sz w:val="22"/>
          <w:szCs w:val="22"/>
          <w:lang w:eastAsia="en-US"/>
        </w:rPr>
        <w:t xml:space="preserve"> </w:t>
      </w:r>
      <w:r w:rsidRPr="00A908E9">
        <w:rPr>
          <w:rFonts w:ascii="Calibri" w:hAnsi="Calibri"/>
          <w:sz w:val="22"/>
          <w:szCs w:val="22"/>
          <w:lang w:eastAsia="en-US"/>
        </w:rPr>
        <w:t>blanco no indican ausencia de interacción ni descartan una interacción moderada.</w:t>
      </w:r>
      <w:r w:rsidRPr="00A908E9">
        <w:rPr>
          <w:rFonts w:ascii="Calibri" w:hAnsi="Calibri"/>
          <w:b/>
          <w:sz w:val="22"/>
          <w:szCs w:val="22"/>
          <w:lang w:eastAsia="en-US"/>
        </w:rPr>
        <w:t xml:space="preserve"> </w:t>
      </w:r>
      <w:r w:rsidRPr="00A908E9">
        <w:rPr>
          <w:rFonts w:ascii="Calibri" w:hAnsi="Calibri"/>
          <w:sz w:val="22"/>
          <w:szCs w:val="22"/>
          <w:lang w:eastAsia="en-US"/>
        </w:rPr>
        <w:t>Se recomienda consultar las webs disponibles (incluidas en el texto) y las fichas técnicas de los productos</w:t>
      </w:r>
      <w:r w:rsidRPr="00A908E9">
        <w:rPr>
          <w:rFonts w:ascii="Calibri" w:hAnsi="Calibri"/>
          <w:b/>
          <w:sz w:val="22"/>
          <w:szCs w:val="22"/>
          <w:lang w:eastAsia="en-US"/>
        </w:rPr>
        <w:t xml:space="preserve">. </w:t>
      </w:r>
      <w:r w:rsidRPr="00A908E9">
        <w:rPr>
          <w:rFonts w:ascii="Calibri" w:hAnsi="Calibri"/>
          <w:sz w:val="22"/>
          <w:szCs w:val="22"/>
          <w:lang w:eastAsia="en-US"/>
        </w:rPr>
        <w:t xml:space="preserve">Los cuadros en gris corresponden a combinaciones que carecen de sentido clínico por ser antirretrovirales del mismo grupo o combinaciones de distintos potenciadores.  </w:t>
      </w:r>
      <w:r w:rsidRPr="00A908E9">
        <w:rPr>
          <w:rFonts w:ascii="Calibri" w:hAnsi="Calibri"/>
          <w:sz w:val="22"/>
          <w:szCs w:val="22"/>
          <w:highlight w:val="yellow"/>
          <w:lang w:eastAsia="en-US"/>
        </w:rPr>
        <w:t>Ocasionalmente contiene algunas interacciones de interés de asociaciones que pueden emplear</w:t>
      </w:r>
      <w:r>
        <w:rPr>
          <w:rFonts w:ascii="Calibri" w:hAnsi="Calibri"/>
          <w:sz w:val="22"/>
          <w:szCs w:val="22"/>
          <w:highlight w:val="yellow"/>
          <w:lang w:eastAsia="en-US"/>
        </w:rPr>
        <w:t>se</w:t>
      </w:r>
      <w:r w:rsidRPr="00A908E9">
        <w:rPr>
          <w:rFonts w:ascii="Calibri" w:hAnsi="Calibri"/>
          <w:sz w:val="22"/>
          <w:szCs w:val="22"/>
          <w:highlight w:val="yellow"/>
          <w:lang w:eastAsia="en-US"/>
        </w:rPr>
        <w:t xml:space="preserve"> (p.ej antiácidos, antihistamínicos-H2 e inhibidores de la bomba de protones). En este caso se ha eliminado la cruz roja indicativa de “no administrar”.</w:t>
      </w:r>
    </w:p>
    <w:tbl>
      <w:tblPr>
        <w:tblW w:w="1447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6B1E10" w14:paraId="441F299E" w14:textId="77777777" w:rsidTr="00006C46">
        <w:trPr>
          <w:cantSplit/>
          <w:trHeight w:val="454"/>
          <w:tblHeader/>
        </w:trPr>
        <w:tc>
          <w:tcPr>
            <w:tcW w:w="771" w:type="pct"/>
            <w:shd w:val="clear" w:color="auto" w:fill="EAF1DD"/>
            <w:noWrap/>
            <w:vAlign w:val="center"/>
          </w:tcPr>
          <w:p w14:paraId="41165354" w14:textId="77777777" w:rsidR="00A53EA0" w:rsidRPr="006B1E10" w:rsidRDefault="00A53EA0" w:rsidP="00A53EA0">
            <w:pPr>
              <w:tabs>
                <w:tab w:val="bar" w:pos="0"/>
              </w:tabs>
              <w:ind w:right="2296"/>
              <w:rPr>
                <w:rFonts w:ascii="Calibri" w:hAnsi="Calibri"/>
                <w:color w:val="006600"/>
                <w:sz w:val="18"/>
                <w:szCs w:val="18"/>
              </w:rPr>
            </w:pPr>
          </w:p>
        </w:tc>
        <w:tc>
          <w:tcPr>
            <w:tcW w:w="249" w:type="pct"/>
            <w:shd w:val="clear" w:color="auto" w:fill="EAF1DD"/>
            <w:noWrap/>
            <w:vAlign w:val="center"/>
          </w:tcPr>
          <w:p w14:paraId="10879004"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DTG</w:t>
            </w:r>
          </w:p>
        </w:tc>
        <w:tc>
          <w:tcPr>
            <w:tcW w:w="250" w:type="pct"/>
            <w:shd w:val="clear" w:color="auto" w:fill="EAF1DD"/>
            <w:vAlign w:val="center"/>
          </w:tcPr>
          <w:p w14:paraId="3BAC9C68"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BIC</w:t>
            </w:r>
          </w:p>
        </w:tc>
        <w:tc>
          <w:tcPr>
            <w:tcW w:w="249" w:type="pct"/>
            <w:shd w:val="clear" w:color="auto" w:fill="EAF1DD"/>
            <w:noWrap/>
            <w:vAlign w:val="center"/>
          </w:tcPr>
          <w:p w14:paraId="67F90909"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RAL</w:t>
            </w:r>
          </w:p>
        </w:tc>
        <w:tc>
          <w:tcPr>
            <w:tcW w:w="249" w:type="pct"/>
            <w:shd w:val="clear" w:color="auto" w:fill="EAF1DD"/>
            <w:vAlign w:val="center"/>
          </w:tcPr>
          <w:p w14:paraId="57DC9481"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RAL 1200 mg QD</w:t>
            </w:r>
          </w:p>
        </w:tc>
        <w:tc>
          <w:tcPr>
            <w:tcW w:w="249" w:type="pct"/>
            <w:shd w:val="clear" w:color="auto" w:fill="EAF1DD"/>
            <w:noWrap/>
            <w:vAlign w:val="center"/>
          </w:tcPr>
          <w:p w14:paraId="443A0AD4"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EVG/c</w:t>
            </w:r>
          </w:p>
        </w:tc>
        <w:tc>
          <w:tcPr>
            <w:tcW w:w="249" w:type="pct"/>
            <w:shd w:val="clear" w:color="auto" w:fill="EAF1DD"/>
            <w:vAlign w:val="center"/>
          </w:tcPr>
          <w:p w14:paraId="01BE4B6C"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DOR</w:t>
            </w:r>
          </w:p>
        </w:tc>
        <w:tc>
          <w:tcPr>
            <w:tcW w:w="249" w:type="pct"/>
            <w:shd w:val="clear" w:color="auto" w:fill="EAF1DD"/>
            <w:noWrap/>
            <w:vAlign w:val="center"/>
          </w:tcPr>
          <w:p w14:paraId="7C6030FE"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RPV</w:t>
            </w:r>
          </w:p>
        </w:tc>
        <w:tc>
          <w:tcPr>
            <w:tcW w:w="249" w:type="pct"/>
            <w:shd w:val="clear" w:color="auto" w:fill="EAF1DD"/>
            <w:noWrap/>
            <w:vAlign w:val="center"/>
          </w:tcPr>
          <w:p w14:paraId="11447A69"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EFV</w:t>
            </w:r>
          </w:p>
        </w:tc>
        <w:tc>
          <w:tcPr>
            <w:tcW w:w="249" w:type="pct"/>
            <w:shd w:val="clear" w:color="auto" w:fill="EAF1DD"/>
            <w:noWrap/>
            <w:vAlign w:val="center"/>
          </w:tcPr>
          <w:p w14:paraId="0B18DB8D"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ATV/r</w:t>
            </w:r>
          </w:p>
        </w:tc>
        <w:tc>
          <w:tcPr>
            <w:tcW w:w="248" w:type="pct"/>
            <w:shd w:val="clear" w:color="auto" w:fill="EAF1DD"/>
            <w:noWrap/>
            <w:vAlign w:val="center"/>
          </w:tcPr>
          <w:p w14:paraId="53AB55B0"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ATV/c</w:t>
            </w:r>
          </w:p>
        </w:tc>
        <w:tc>
          <w:tcPr>
            <w:tcW w:w="249" w:type="pct"/>
            <w:shd w:val="clear" w:color="auto" w:fill="EAF1DD"/>
            <w:noWrap/>
            <w:vAlign w:val="center"/>
          </w:tcPr>
          <w:p w14:paraId="6F0313E1"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DRV/r</w:t>
            </w:r>
          </w:p>
        </w:tc>
        <w:tc>
          <w:tcPr>
            <w:tcW w:w="249" w:type="pct"/>
            <w:shd w:val="clear" w:color="auto" w:fill="EAF1DD"/>
            <w:noWrap/>
            <w:vAlign w:val="center"/>
          </w:tcPr>
          <w:p w14:paraId="641EA1DC"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DRV/c</w:t>
            </w:r>
          </w:p>
        </w:tc>
        <w:tc>
          <w:tcPr>
            <w:tcW w:w="249" w:type="pct"/>
            <w:shd w:val="clear" w:color="auto" w:fill="EAF1DD"/>
            <w:noWrap/>
            <w:vAlign w:val="center"/>
          </w:tcPr>
          <w:p w14:paraId="06347055"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FTC</w:t>
            </w:r>
          </w:p>
        </w:tc>
        <w:tc>
          <w:tcPr>
            <w:tcW w:w="249" w:type="pct"/>
            <w:shd w:val="clear" w:color="auto" w:fill="EAF1DD"/>
            <w:noWrap/>
            <w:vAlign w:val="center"/>
          </w:tcPr>
          <w:p w14:paraId="24C62693"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3TC</w:t>
            </w:r>
          </w:p>
        </w:tc>
        <w:tc>
          <w:tcPr>
            <w:tcW w:w="249" w:type="pct"/>
            <w:shd w:val="clear" w:color="auto" w:fill="EAF1DD"/>
            <w:noWrap/>
            <w:vAlign w:val="center"/>
          </w:tcPr>
          <w:p w14:paraId="60C2A9FF"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ABC</w:t>
            </w:r>
          </w:p>
        </w:tc>
        <w:tc>
          <w:tcPr>
            <w:tcW w:w="249" w:type="pct"/>
            <w:shd w:val="clear" w:color="auto" w:fill="EAF1DD"/>
            <w:noWrap/>
            <w:vAlign w:val="center"/>
          </w:tcPr>
          <w:p w14:paraId="27007840" w14:textId="77777777" w:rsidR="00A53EA0" w:rsidRPr="006B1E10" w:rsidRDefault="00A53EA0" w:rsidP="00A53EA0">
            <w:pPr>
              <w:rPr>
                <w:rFonts w:ascii="Calibri" w:hAnsi="Calibri"/>
                <w:b/>
                <w:color w:val="006600"/>
                <w:sz w:val="18"/>
                <w:szCs w:val="18"/>
              </w:rPr>
            </w:pPr>
            <w:r w:rsidRPr="006B1E10">
              <w:rPr>
                <w:rFonts w:ascii="Calibri" w:hAnsi="Calibri"/>
                <w:b/>
                <w:color w:val="006600"/>
                <w:sz w:val="18"/>
                <w:szCs w:val="18"/>
              </w:rPr>
              <w:t>TDF</w:t>
            </w:r>
          </w:p>
        </w:tc>
        <w:tc>
          <w:tcPr>
            <w:tcW w:w="245" w:type="pct"/>
            <w:shd w:val="clear" w:color="auto" w:fill="EAF1DD"/>
            <w:noWrap/>
            <w:vAlign w:val="center"/>
          </w:tcPr>
          <w:p w14:paraId="5811F635" w14:textId="77777777" w:rsidR="00A53EA0" w:rsidRPr="006B1E10" w:rsidRDefault="00A53EA0" w:rsidP="00A53EA0">
            <w:pPr>
              <w:ind w:hanging="31"/>
              <w:rPr>
                <w:rFonts w:ascii="Calibri" w:hAnsi="Calibri"/>
                <w:b/>
                <w:color w:val="006600"/>
                <w:sz w:val="18"/>
                <w:szCs w:val="18"/>
              </w:rPr>
            </w:pPr>
            <w:r w:rsidRPr="006B1E10">
              <w:rPr>
                <w:rFonts w:ascii="Calibri" w:hAnsi="Calibri"/>
                <w:b/>
                <w:color w:val="006600"/>
                <w:sz w:val="18"/>
                <w:szCs w:val="18"/>
              </w:rPr>
              <w:t>TAF</w:t>
            </w:r>
          </w:p>
        </w:tc>
      </w:tr>
      <w:tr w:rsidR="00A53EA0" w:rsidRPr="006B1E10" w14:paraId="7782BE56" w14:textId="77777777" w:rsidTr="00006C46">
        <w:trPr>
          <w:trHeight w:val="454"/>
          <w:tblHeader/>
        </w:trPr>
        <w:tc>
          <w:tcPr>
            <w:tcW w:w="771" w:type="pct"/>
            <w:shd w:val="clear" w:color="auto" w:fill="auto"/>
            <w:noWrap/>
          </w:tcPr>
          <w:p w14:paraId="7A8C6E7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highlight w:val="yellow"/>
              </w:rPr>
              <w:t>abemaciclib</w:t>
            </w:r>
          </w:p>
        </w:tc>
        <w:tc>
          <w:tcPr>
            <w:tcW w:w="249" w:type="pct"/>
            <w:shd w:val="clear" w:color="auto" w:fill="auto"/>
            <w:noWrap/>
            <w:vAlign w:val="center"/>
          </w:tcPr>
          <w:p w14:paraId="78776DF3" w14:textId="77777777" w:rsidR="00A53EA0" w:rsidRPr="006B1E10" w:rsidRDefault="00A53EA0" w:rsidP="00A53EA0">
            <w:pPr>
              <w:rPr>
                <w:rFonts w:ascii="Calibri" w:hAnsi="Calibri"/>
                <w:color w:val="000000"/>
                <w:sz w:val="18"/>
                <w:szCs w:val="18"/>
              </w:rPr>
            </w:pPr>
          </w:p>
        </w:tc>
        <w:tc>
          <w:tcPr>
            <w:tcW w:w="250" w:type="pct"/>
            <w:vAlign w:val="center"/>
          </w:tcPr>
          <w:p w14:paraId="18C1FA7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4B366F3" w14:textId="77777777" w:rsidR="00A53EA0" w:rsidRPr="006B1E10" w:rsidRDefault="00A53EA0" w:rsidP="00A53EA0">
            <w:pPr>
              <w:rPr>
                <w:rFonts w:ascii="Calibri" w:hAnsi="Calibri"/>
                <w:color w:val="000000"/>
                <w:sz w:val="18"/>
                <w:szCs w:val="18"/>
              </w:rPr>
            </w:pPr>
          </w:p>
        </w:tc>
        <w:tc>
          <w:tcPr>
            <w:tcW w:w="249" w:type="pct"/>
            <w:vAlign w:val="center"/>
          </w:tcPr>
          <w:p w14:paraId="5181547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91368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1</w:t>
            </w:r>
          </w:p>
        </w:tc>
        <w:tc>
          <w:tcPr>
            <w:tcW w:w="249" w:type="pct"/>
            <w:vAlign w:val="center"/>
          </w:tcPr>
          <w:p w14:paraId="02E6FF0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D2FC7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32C7FA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p>
        </w:tc>
        <w:tc>
          <w:tcPr>
            <w:tcW w:w="249" w:type="pct"/>
            <w:shd w:val="clear" w:color="000000" w:fill="FFFFFF"/>
            <w:noWrap/>
            <w:vAlign w:val="center"/>
          </w:tcPr>
          <w:p w14:paraId="7D2933F4" w14:textId="77777777" w:rsidR="00A53EA0" w:rsidRPr="006B1E10" w:rsidRDefault="00A53EA0" w:rsidP="00A53EA0">
            <w:pPr>
              <w:rPr>
                <w:rFonts w:ascii="Calibri" w:hAnsi="Calibri"/>
                <w:color w:val="000000"/>
                <w:sz w:val="18"/>
                <w:szCs w:val="18"/>
                <w:vertAlign w:val="superscript"/>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1</w:t>
            </w:r>
          </w:p>
        </w:tc>
        <w:tc>
          <w:tcPr>
            <w:tcW w:w="248" w:type="pct"/>
            <w:shd w:val="clear" w:color="auto" w:fill="auto"/>
            <w:noWrap/>
            <w:vAlign w:val="center"/>
          </w:tcPr>
          <w:p w14:paraId="30BB0A22" w14:textId="77777777" w:rsidR="00A53EA0" w:rsidRPr="006B1E10" w:rsidRDefault="00A53EA0" w:rsidP="00A53EA0">
            <w:pPr>
              <w:rPr>
                <w:sz w:val="18"/>
                <w:szCs w:val="18"/>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1</w:t>
            </w:r>
          </w:p>
        </w:tc>
        <w:tc>
          <w:tcPr>
            <w:tcW w:w="249" w:type="pct"/>
            <w:shd w:val="clear" w:color="auto" w:fill="auto"/>
            <w:noWrap/>
            <w:vAlign w:val="center"/>
          </w:tcPr>
          <w:p w14:paraId="128082CF" w14:textId="77777777" w:rsidR="00A53EA0" w:rsidRPr="006B1E10" w:rsidRDefault="00A53EA0" w:rsidP="00A53EA0">
            <w:pPr>
              <w:rPr>
                <w:sz w:val="18"/>
                <w:szCs w:val="18"/>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1</w:t>
            </w:r>
          </w:p>
        </w:tc>
        <w:tc>
          <w:tcPr>
            <w:tcW w:w="249" w:type="pct"/>
            <w:shd w:val="clear" w:color="auto" w:fill="auto"/>
            <w:noWrap/>
            <w:vAlign w:val="center"/>
          </w:tcPr>
          <w:p w14:paraId="67270B7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FF01DB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B0B98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C9D41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8DA8012"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5" w:type="pct"/>
            <w:shd w:val="clear" w:color="auto" w:fill="auto"/>
            <w:noWrap/>
            <w:vAlign w:val="center"/>
          </w:tcPr>
          <w:p w14:paraId="71702D32" w14:textId="77777777" w:rsidR="00A53EA0" w:rsidRPr="006B1E10" w:rsidRDefault="00A53EA0" w:rsidP="00A53EA0">
            <w:pPr>
              <w:spacing w:after="200" w:line="276" w:lineRule="auto"/>
              <w:ind w:hanging="31"/>
              <w:rPr>
                <w:rFonts w:ascii="Calibri" w:hAnsi="Calibri"/>
                <w:color w:val="FF0000"/>
                <w:sz w:val="18"/>
                <w:szCs w:val="18"/>
                <w:lang w:val="en-US" w:eastAsia="en-US"/>
              </w:rPr>
            </w:pPr>
          </w:p>
        </w:tc>
      </w:tr>
      <w:tr w:rsidR="00A53EA0" w:rsidRPr="006B1E10" w14:paraId="448A73FA" w14:textId="77777777" w:rsidTr="00006C46">
        <w:trPr>
          <w:trHeight w:val="454"/>
          <w:tblHeader/>
        </w:trPr>
        <w:tc>
          <w:tcPr>
            <w:tcW w:w="771" w:type="pct"/>
            <w:shd w:val="clear" w:color="auto" w:fill="auto"/>
            <w:noWrap/>
            <w:vAlign w:val="center"/>
          </w:tcPr>
          <w:p w14:paraId="6DCCEE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highlight w:val="yellow"/>
              </w:rPr>
              <w:t>abiraterona</w:t>
            </w:r>
          </w:p>
        </w:tc>
        <w:tc>
          <w:tcPr>
            <w:tcW w:w="249" w:type="pct"/>
            <w:shd w:val="clear" w:color="auto" w:fill="auto"/>
            <w:noWrap/>
            <w:vAlign w:val="center"/>
          </w:tcPr>
          <w:p w14:paraId="69D6C424" w14:textId="77777777" w:rsidR="00A53EA0" w:rsidRPr="006B1E10" w:rsidRDefault="00A53EA0" w:rsidP="00A53EA0">
            <w:pPr>
              <w:rPr>
                <w:rFonts w:ascii="Calibri" w:hAnsi="Calibri"/>
                <w:color w:val="000000"/>
                <w:sz w:val="18"/>
                <w:szCs w:val="18"/>
              </w:rPr>
            </w:pPr>
          </w:p>
        </w:tc>
        <w:tc>
          <w:tcPr>
            <w:tcW w:w="250" w:type="pct"/>
            <w:vAlign w:val="center"/>
          </w:tcPr>
          <w:p w14:paraId="6F2F868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49912A" w14:textId="77777777" w:rsidR="00A53EA0" w:rsidRPr="006B1E10" w:rsidRDefault="00A53EA0" w:rsidP="00A53EA0">
            <w:pPr>
              <w:rPr>
                <w:rFonts w:ascii="Calibri" w:hAnsi="Calibri"/>
                <w:color w:val="000000"/>
                <w:sz w:val="18"/>
                <w:szCs w:val="18"/>
              </w:rPr>
            </w:pPr>
          </w:p>
        </w:tc>
        <w:tc>
          <w:tcPr>
            <w:tcW w:w="249" w:type="pct"/>
            <w:vAlign w:val="center"/>
          </w:tcPr>
          <w:p w14:paraId="5A52A5B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AD2751" w14:textId="77777777" w:rsidR="00A53EA0" w:rsidRPr="006B1E10" w:rsidRDefault="00A53EA0" w:rsidP="00A53EA0">
            <w:pPr>
              <w:rPr>
                <w:rFonts w:ascii="Calibri" w:hAnsi="Calibri"/>
                <w:color w:val="000000"/>
                <w:sz w:val="18"/>
                <w:szCs w:val="18"/>
              </w:rPr>
            </w:pPr>
          </w:p>
        </w:tc>
        <w:tc>
          <w:tcPr>
            <w:tcW w:w="249" w:type="pct"/>
            <w:vAlign w:val="center"/>
          </w:tcPr>
          <w:p w14:paraId="20CA18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410660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427D9A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p>
        </w:tc>
        <w:tc>
          <w:tcPr>
            <w:tcW w:w="249" w:type="pct"/>
            <w:shd w:val="clear" w:color="000000" w:fill="FFFFFF"/>
            <w:noWrap/>
            <w:vAlign w:val="center"/>
          </w:tcPr>
          <w:p w14:paraId="07D6198A"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3B9E814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AD13D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84395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D7E97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D235E7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EB70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339F369"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5" w:type="pct"/>
            <w:shd w:val="clear" w:color="auto" w:fill="auto"/>
            <w:noWrap/>
            <w:vAlign w:val="center"/>
          </w:tcPr>
          <w:p w14:paraId="113BF749" w14:textId="77777777" w:rsidR="00A53EA0" w:rsidRPr="006B1E10" w:rsidRDefault="00A53EA0" w:rsidP="00A53EA0">
            <w:pPr>
              <w:spacing w:after="200" w:line="276" w:lineRule="auto"/>
              <w:ind w:hanging="31"/>
              <w:rPr>
                <w:rFonts w:ascii="Calibri" w:hAnsi="Calibri"/>
                <w:color w:val="FF0000"/>
                <w:sz w:val="18"/>
                <w:szCs w:val="18"/>
                <w:lang w:val="en-US" w:eastAsia="en-US"/>
              </w:rPr>
            </w:pPr>
          </w:p>
        </w:tc>
      </w:tr>
      <w:tr w:rsidR="00A53EA0" w:rsidRPr="006B1E10" w14:paraId="25E02A3D" w14:textId="77777777" w:rsidTr="00006C46">
        <w:trPr>
          <w:trHeight w:val="454"/>
          <w:tblHeader/>
        </w:trPr>
        <w:tc>
          <w:tcPr>
            <w:tcW w:w="771" w:type="pct"/>
            <w:shd w:val="clear" w:color="auto" w:fill="auto"/>
            <w:noWrap/>
            <w:vAlign w:val="center"/>
          </w:tcPr>
          <w:p w14:paraId="0E900A1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adefovir (ADV)</w:t>
            </w:r>
          </w:p>
        </w:tc>
        <w:tc>
          <w:tcPr>
            <w:tcW w:w="249" w:type="pct"/>
            <w:shd w:val="clear" w:color="auto" w:fill="auto"/>
            <w:noWrap/>
            <w:vAlign w:val="center"/>
          </w:tcPr>
          <w:p w14:paraId="46E03779" w14:textId="77777777" w:rsidR="00A53EA0" w:rsidRPr="006B1E10" w:rsidRDefault="00A53EA0" w:rsidP="00A53EA0">
            <w:pPr>
              <w:rPr>
                <w:rFonts w:ascii="Calibri" w:hAnsi="Calibri"/>
                <w:color w:val="000000"/>
                <w:sz w:val="18"/>
                <w:szCs w:val="18"/>
              </w:rPr>
            </w:pPr>
          </w:p>
        </w:tc>
        <w:tc>
          <w:tcPr>
            <w:tcW w:w="250" w:type="pct"/>
            <w:vAlign w:val="center"/>
          </w:tcPr>
          <w:p w14:paraId="22BD075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D00533" w14:textId="77777777" w:rsidR="00A53EA0" w:rsidRPr="006B1E10" w:rsidRDefault="00A53EA0" w:rsidP="00A53EA0">
            <w:pPr>
              <w:rPr>
                <w:rFonts w:ascii="Calibri" w:hAnsi="Calibri"/>
                <w:color w:val="000000"/>
                <w:sz w:val="18"/>
                <w:szCs w:val="18"/>
              </w:rPr>
            </w:pPr>
          </w:p>
        </w:tc>
        <w:tc>
          <w:tcPr>
            <w:tcW w:w="249" w:type="pct"/>
            <w:vAlign w:val="center"/>
          </w:tcPr>
          <w:p w14:paraId="6F6458E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B2AA65" w14:textId="77777777" w:rsidR="00A53EA0" w:rsidRPr="006B1E10" w:rsidRDefault="00A53EA0" w:rsidP="00A53EA0">
            <w:pPr>
              <w:rPr>
                <w:rFonts w:ascii="Calibri" w:hAnsi="Calibri"/>
                <w:color w:val="000000"/>
                <w:sz w:val="18"/>
                <w:szCs w:val="18"/>
              </w:rPr>
            </w:pPr>
          </w:p>
        </w:tc>
        <w:tc>
          <w:tcPr>
            <w:tcW w:w="249" w:type="pct"/>
            <w:vAlign w:val="center"/>
          </w:tcPr>
          <w:p w14:paraId="1C3FCBD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7CE22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FC0E11"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53B4623D"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4A29A39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A7695A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5701E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F1C30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BD3CCF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76B0F6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39A23B"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5" w:type="pct"/>
            <w:shd w:val="clear" w:color="auto" w:fill="auto"/>
            <w:noWrap/>
            <w:vAlign w:val="center"/>
          </w:tcPr>
          <w:p w14:paraId="3B11686E" w14:textId="77777777" w:rsidR="00A53EA0" w:rsidRPr="006B1E10" w:rsidRDefault="00A53EA0" w:rsidP="00A53EA0">
            <w:pPr>
              <w:spacing w:after="200" w:line="276" w:lineRule="auto"/>
              <w:ind w:hanging="31"/>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r>
      <w:tr w:rsidR="00A53EA0" w:rsidRPr="006B1E10" w14:paraId="18147283" w14:textId="77777777" w:rsidTr="00006C46">
        <w:trPr>
          <w:trHeight w:val="454"/>
          <w:tblHeader/>
        </w:trPr>
        <w:tc>
          <w:tcPr>
            <w:tcW w:w="771" w:type="pct"/>
            <w:shd w:val="clear" w:color="auto" w:fill="auto"/>
            <w:noWrap/>
            <w:vAlign w:val="center"/>
          </w:tcPr>
          <w:p w14:paraId="23C13DA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alfuzosina</w:t>
            </w:r>
          </w:p>
        </w:tc>
        <w:tc>
          <w:tcPr>
            <w:tcW w:w="249" w:type="pct"/>
            <w:shd w:val="clear" w:color="auto" w:fill="auto"/>
            <w:noWrap/>
            <w:vAlign w:val="center"/>
          </w:tcPr>
          <w:p w14:paraId="4767F5AE" w14:textId="77777777" w:rsidR="00A53EA0" w:rsidRPr="006B1E10" w:rsidRDefault="00A53EA0" w:rsidP="00A53EA0">
            <w:pPr>
              <w:rPr>
                <w:rFonts w:ascii="Calibri" w:hAnsi="Calibri"/>
                <w:color w:val="000000"/>
                <w:sz w:val="18"/>
                <w:szCs w:val="18"/>
              </w:rPr>
            </w:pPr>
          </w:p>
        </w:tc>
        <w:tc>
          <w:tcPr>
            <w:tcW w:w="250" w:type="pct"/>
            <w:vAlign w:val="center"/>
          </w:tcPr>
          <w:p w14:paraId="7A48FA4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B5C550" w14:textId="77777777" w:rsidR="00A53EA0" w:rsidRPr="006B1E10" w:rsidRDefault="00A53EA0" w:rsidP="00A53EA0">
            <w:pPr>
              <w:rPr>
                <w:rFonts w:ascii="Calibri" w:hAnsi="Calibri"/>
                <w:color w:val="000000"/>
                <w:sz w:val="18"/>
                <w:szCs w:val="18"/>
              </w:rPr>
            </w:pPr>
          </w:p>
        </w:tc>
        <w:tc>
          <w:tcPr>
            <w:tcW w:w="249" w:type="pct"/>
            <w:vAlign w:val="center"/>
          </w:tcPr>
          <w:p w14:paraId="445F7A55"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9" w:type="pct"/>
            <w:shd w:val="clear" w:color="auto" w:fill="auto"/>
            <w:noWrap/>
            <w:vAlign w:val="center"/>
          </w:tcPr>
          <w:p w14:paraId="1DE4FAC7"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74756D5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F0CCF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BF5083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48D497"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0F105796"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0FCC7D9"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C8B85B4"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F953B3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B0E40F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CDE36B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E5EA51"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65AE51D" w14:textId="77777777" w:rsidR="00A53EA0" w:rsidRPr="006B1E10" w:rsidRDefault="00A53EA0" w:rsidP="00A53EA0">
            <w:pPr>
              <w:ind w:hanging="31"/>
              <w:rPr>
                <w:rFonts w:ascii="Calibri" w:hAnsi="Calibri"/>
                <w:color w:val="000000"/>
                <w:sz w:val="18"/>
                <w:szCs w:val="18"/>
              </w:rPr>
            </w:pPr>
          </w:p>
        </w:tc>
      </w:tr>
      <w:tr w:rsidR="00A53EA0" w:rsidRPr="006B1E10" w14:paraId="77268A16" w14:textId="77777777" w:rsidTr="00006C46">
        <w:trPr>
          <w:trHeight w:val="454"/>
          <w:tblHeader/>
        </w:trPr>
        <w:tc>
          <w:tcPr>
            <w:tcW w:w="771" w:type="pct"/>
            <w:shd w:val="clear" w:color="auto" w:fill="auto"/>
            <w:noWrap/>
            <w:vAlign w:val="center"/>
          </w:tcPr>
          <w:p w14:paraId="6379D17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amiodarona</w:t>
            </w:r>
          </w:p>
        </w:tc>
        <w:tc>
          <w:tcPr>
            <w:tcW w:w="249" w:type="pct"/>
            <w:shd w:val="clear" w:color="auto" w:fill="auto"/>
            <w:noWrap/>
            <w:vAlign w:val="center"/>
          </w:tcPr>
          <w:p w14:paraId="5366E108" w14:textId="77777777" w:rsidR="00A53EA0" w:rsidRPr="006B1E10" w:rsidRDefault="00A53EA0" w:rsidP="00A53EA0">
            <w:pPr>
              <w:rPr>
                <w:rFonts w:ascii="Calibri" w:hAnsi="Calibri"/>
                <w:color w:val="000000"/>
                <w:sz w:val="18"/>
                <w:szCs w:val="18"/>
              </w:rPr>
            </w:pPr>
          </w:p>
        </w:tc>
        <w:tc>
          <w:tcPr>
            <w:tcW w:w="250" w:type="pct"/>
            <w:vAlign w:val="center"/>
          </w:tcPr>
          <w:p w14:paraId="2CD3DF5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2B50D0" w14:textId="77777777" w:rsidR="00A53EA0" w:rsidRPr="006B1E10" w:rsidRDefault="00A53EA0" w:rsidP="00A53EA0">
            <w:pPr>
              <w:rPr>
                <w:rFonts w:ascii="Calibri" w:hAnsi="Calibri"/>
                <w:color w:val="000000"/>
                <w:sz w:val="18"/>
                <w:szCs w:val="18"/>
              </w:rPr>
            </w:pPr>
          </w:p>
        </w:tc>
        <w:tc>
          <w:tcPr>
            <w:tcW w:w="249" w:type="pct"/>
            <w:vAlign w:val="center"/>
          </w:tcPr>
          <w:p w14:paraId="33C8175A"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9" w:type="pct"/>
            <w:shd w:val="clear" w:color="auto" w:fill="auto"/>
            <w:noWrap/>
            <w:vAlign w:val="center"/>
          </w:tcPr>
          <w:p w14:paraId="1E349EBB"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63BA26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7343E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C00186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AB43501"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7E623330"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852B1C0"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779C939" w14:textId="77777777" w:rsidR="00A53EA0" w:rsidRPr="006B1E10" w:rsidRDefault="00A53EA0" w:rsidP="00A53EA0">
            <w:pPr>
              <w:spacing w:after="200" w:line="276" w:lineRule="auto"/>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6296B9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108E0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C25F2D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6E220C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C1184F5" w14:textId="77777777" w:rsidR="00A53EA0" w:rsidRPr="006B1E10" w:rsidRDefault="00A53EA0" w:rsidP="00A53EA0">
            <w:pPr>
              <w:rPr>
                <w:rFonts w:ascii="Calibri" w:hAnsi="Calibri"/>
                <w:color w:val="000000"/>
                <w:sz w:val="18"/>
                <w:szCs w:val="18"/>
              </w:rPr>
            </w:pPr>
          </w:p>
        </w:tc>
      </w:tr>
      <w:tr w:rsidR="00A53EA0" w:rsidRPr="006B1E10" w14:paraId="5DA038DE" w14:textId="77777777" w:rsidTr="00006C46">
        <w:trPr>
          <w:trHeight w:val="454"/>
          <w:tblHeader/>
        </w:trPr>
        <w:tc>
          <w:tcPr>
            <w:tcW w:w="771" w:type="pct"/>
            <w:shd w:val="clear" w:color="auto" w:fill="auto"/>
            <w:noWrap/>
            <w:vAlign w:val="center"/>
          </w:tcPr>
          <w:p w14:paraId="1C8C5B2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amikacina</w:t>
            </w:r>
          </w:p>
        </w:tc>
        <w:tc>
          <w:tcPr>
            <w:tcW w:w="249" w:type="pct"/>
            <w:shd w:val="clear" w:color="auto" w:fill="auto"/>
            <w:noWrap/>
            <w:vAlign w:val="center"/>
          </w:tcPr>
          <w:p w14:paraId="4F9226C2" w14:textId="77777777" w:rsidR="00A53EA0" w:rsidRPr="006B1E10" w:rsidRDefault="00A53EA0" w:rsidP="00A53EA0">
            <w:pPr>
              <w:rPr>
                <w:rFonts w:ascii="Calibri" w:hAnsi="Calibri"/>
                <w:color w:val="000000"/>
                <w:sz w:val="18"/>
                <w:szCs w:val="18"/>
              </w:rPr>
            </w:pPr>
          </w:p>
        </w:tc>
        <w:tc>
          <w:tcPr>
            <w:tcW w:w="250" w:type="pct"/>
            <w:vAlign w:val="center"/>
          </w:tcPr>
          <w:p w14:paraId="34E5CBC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C748F6" w14:textId="77777777" w:rsidR="00A53EA0" w:rsidRPr="006B1E10" w:rsidRDefault="00A53EA0" w:rsidP="00A53EA0">
            <w:pPr>
              <w:rPr>
                <w:rFonts w:ascii="Calibri" w:hAnsi="Calibri"/>
                <w:color w:val="000000"/>
                <w:sz w:val="18"/>
                <w:szCs w:val="18"/>
              </w:rPr>
            </w:pPr>
          </w:p>
        </w:tc>
        <w:tc>
          <w:tcPr>
            <w:tcW w:w="249" w:type="pct"/>
            <w:vAlign w:val="center"/>
          </w:tcPr>
          <w:p w14:paraId="6E4703F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712694" w14:textId="77777777" w:rsidR="00A53EA0" w:rsidRPr="006B1E10" w:rsidRDefault="00A53EA0" w:rsidP="00A53EA0">
            <w:pPr>
              <w:rPr>
                <w:rFonts w:ascii="Calibri" w:hAnsi="Calibri"/>
                <w:color w:val="000000"/>
                <w:sz w:val="18"/>
                <w:szCs w:val="18"/>
              </w:rPr>
            </w:pPr>
          </w:p>
        </w:tc>
        <w:tc>
          <w:tcPr>
            <w:tcW w:w="249" w:type="pct"/>
            <w:vAlign w:val="center"/>
          </w:tcPr>
          <w:p w14:paraId="50E1C69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08D86DA"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507AF871"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1899D714"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60DCD8E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7A106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CD4FEC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23E5E8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BD12C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86E6F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5756D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6CAA5588" w14:textId="77777777" w:rsidR="00A53EA0" w:rsidRPr="006B1E10" w:rsidRDefault="00A53EA0" w:rsidP="00A53EA0">
            <w:pPr>
              <w:ind w:hanging="31"/>
              <w:rPr>
                <w:rFonts w:ascii="Calibri" w:hAnsi="Calibri"/>
                <w:color w:val="000000"/>
                <w:sz w:val="18"/>
                <w:szCs w:val="18"/>
              </w:rPr>
            </w:pPr>
          </w:p>
        </w:tc>
      </w:tr>
      <w:tr w:rsidR="00A53EA0" w:rsidRPr="006B1E10" w14:paraId="3C37C650" w14:textId="77777777" w:rsidTr="00006C46">
        <w:trPr>
          <w:trHeight w:val="454"/>
          <w:tblHeader/>
        </w:trPr>
        <w:tc>
          <w:tcPr>
            <w:tcW w:w="771" w:type="pct"/>
            <w:shd w:val="clear" w:color="auto" w:fill="auto"/>
            <w:noWrap/>
            <w:vAlign w:val="center"/>
          </w:tcPr>
          <w:p w14:paraId="66B27D3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amodiaquina  (M.E., no disponible)</w:t>
            </w:r>
          </w:p>
        </w:tc>
        <w:tc>
          <w:tcPr>
            <w:tcW w:w="249" w:type="pct"/>
            <w:shd w:val="clear" w:color="auto" w:fill="auto"/>
            <w:noWrap/>
            <w:vAlign w:val="center"/>
          </w:tcPr>
          <w:p w14:paraId="687B1F71" w14:textId="77777777" w:rsidR="00A53EA0" w:rsidRPr="006B1E10" w:rsidRDefault="00A53EA0" w:rsidP="00A53EA0">
            <w:pPr>
              <w:rPr>
                <w:rFonts w:ascii="Calibri" w:hAnsi="Calibri"/>
                <w:color w:val="000000"/>
                <w:sz w:val="18"/>
                <w:szCs w:val="18"/>
              </w:rPr>
            </w:pPr>
          </w:p>
        </w:tc>
        <w:tc>
          <w:tcPr>
            <w:tcW w:w="250" w:type="pct"/>
            <w:vAlign w:val="center"/>
          </w:tcPr>
          <w:p w14:paraId="5672182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16664A" w14:textId="77777777" w:rsidR="00A53EA0" w:rsidRPr="006B1E10" w:rsidRDefault="00A53EA0" w:rsidP="00A53EA0">
            <w:pPr>
              <w:rPr>
                <w:rFonts w:ascii="Calibri" w:hAnsi="Calibri"/>
                <w:color w:val="000000"/>
                <w:sz w:val="18"/>
                <w:szCs w:val="18"/>
              </w:rPr>
            </w:pPr>
          </w:p>
        </w:tc>
        <w:tc>
          <w:tcPr>
            <w:tcW w:w="249" w:type="pct"/>
            <w:vAlign w:val="center"/>
          </w:tcPr>
          <w:p w14:paraId="605F0CF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980F862" w14:textId="77777777" w:rsidR="00A53EA0" w:rsidRPr="006B1E10" w:rsidRDefault="00A53EA0" w:rsidP="00A53EA0">
            <w:pPr>
              <w:rPr>
                <w:rFonts w:ascii="Calibri" w:hAnsi="Calibri"/>
                <w:color w:val="000000"/>
                <w:sz w:val="18"/>
                <w:szCs w:val="18"/>
              </w:rPr>
            </w:pPr>
          </w:p>
        </w:tc>
        <w:tc>
          <w:tcPr>
            <w:tcW w:w="249" w:type="pct"/>
            <w:vAlign w:val="center"/>
          </w:tcPr>
          <w:p w14:paraId="23C5983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6DADA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0AADB0D"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TOX</w:t>
            </w:r>
          </w:p>
        </w:tc>
        <w:tc>
          <w:tcPr>
            <w:tcW w:w="249" w:type="pct"/>
            <w:shd w:val="clear" w:color="000000" w:fill="FFFFFF"/>
            <w:noWrap/>
            <w:vAlign w:val="center"/>
          </w:tcPr>
          <w:p w14:paraId="35A22205"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27FFD84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D1A206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58B5E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472D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19BB03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C33A3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9D37D5"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273B6C7" w14:textId="77777777" w:rsidR="00A53EA0" w:rsidRPr="006B1E10" w:rsidRDefault="00A53EA0" w:rsidP="00A53EA0">
            <w:pPr>
              <w:ind w:hanging="31"/>
              <w:rPr>
                <w:rFonts w:ascii="Calibri" w:hAnsi="Calibri"/>
                <w:color w:val="000000"/>
                <w:sz w:val="18"/>
                <w:szCs w:val="18"/>
              </w:rPr>
            </w:pPr>
          </w:p>
        </w:tc>
      </w:tr>
      <w:tr w:rsidR="00A53EA0" w:rsidRPr="006B1E10" w14:paraId="662B8749" w14:textId="77777777" w:rsidTr="00006C46">
        <w:trPr>
          <w:trHeight w:val="454"/>
          <w:tblHeader/>
        </w:trPr>
        <w:tc>
          <w:tcPr>
            <w:tcW w:w="771" w:type="pct"/>
            <w:shd w:val="clear" w:color="auto" w:fill="auto"/>
            <w:noWrap/>
            <w:vAlign w:val="center"/>
          </w:tcPr>
          <w:p w14:paraId="42BFB2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anfotericina B</w:t>
            </w:r>
          </w:p>
        </w:tc>
        <w:tc>
          <w:tcPr>
            <w:tcW w:w="249" w:type="pct"/>
            <w:shd w:val="clear" w:color="auto" w:fill="auto"/>
            <w:noWrap/>
            <w:vAlign w:val="center"/>
          </w:tcPr>
          <w:p w14:paraId="4F344325" w14:textId="77777777" w:rsidR="00A53EA0" w:rsidRPr="006B1E10" w:rsidRDefault="00A53EA0" w:rsidP="00A53EA0">
            <w:pPr>
              <w:rPr>
                <w:rFonts w:ascii="Calibri" w:hAnsi="Calibri"/>
                <w:color w:val="000000"/>
                <w:sz w:val="18"/>
                <w:szCs w:val="18"/>
              </w:rPr>
            </w:pPr>
          </w:p>
        </w:tc>
        <w:tc>
          <w:tcPr>
            <w:tcW w:w="250" w:type="pct"/>
            <w:vAlign w:val="center"/>
          </w:tcPr>
          <w:p w14:paraId="2300C3E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F691AA2" w14:textId="77777777" w:rsidR="00A53EA0" w:rsidRPr="006B1E10" w:rsidRDefault="00A53EA0" w:rsidP="00A53EA0">
            <w:pPr>
              <w:rPr>
                <w:rFonts w:ascii="Calibri" w:hAnsi="Calibri"/>
                <w:color w:val="000000"/>
                <w:sz w:val="18"/>
                <w:szCs w:val="18"/>
              </w:rPr>
            </w:pPr>
          </w:p>
        </w:tc>
        <w:tc>
          <w:tcPr>
            <w:tcW w:w="249" w:type="pct"/>
            <w:vAlign w:val="center"/>
          </w:tcPr>
          <w:p w14:paraId="2E2FBA4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8091DC3" w14:textId="77777777" w:rsidR="00A53EA0" w:rsidRPr="006B1E10" w:rsidRDefault="00A53EA0" w:rsidP="00A53EA0">
            <w:pPr>
              <w:rPr>
                <w:rFonts w:ascii="Calibri" w:hAnsi="Calibri"/>
                <w:color w:val="000000"/>
                <w:sz w:val="18"/>
                <w:szCs w:val="18"/>
              </w:rPr>
            </w:pPr>
          </w:p>
        </w:tc>
        <w:tc>
          <w:tcPr>
            <w:tcW w:w="249" w:type="pct"/>
            <w:vAlign w:val="center"/>
          </w:tcPr>
          <w:p w14:paraId="10C7ACF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44362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DE8AF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86689E"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4168607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49CB1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600EFA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F57E6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100095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7438F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B9F8B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3B87DCB9" w14:textId="77777777" w:rsidR="00A53EA0" w:rsidRPr="006B1E10" w:rsidRDefault="00A53EA0" w:rsidP="00A53EA0">
            <w:pPr>
              <w:ind w:hanging="31"/>
              <w:rPr>
                <w:rFonts w:ascii="Calibri" w:hAnsi="Calibri"/>
                <w:color w:val="000000"/>
                <w:sz w:val="18"/>
                <w:szCs w:val="18"/>
              </w:rPr>
            </w:pPr>
          </w:p>
        </w:tc>
      </w:tr>
      <w:tr w:rsidR="00A53EA0" w:rsidRPr="006B1E10" w14:paraId="224B5041" w14:textId="77777777" w:rsidTr="00006C46">
        <w:trPr>
          <w:trHeight w:val="454"/>
          <w:tblHeader/>
        </w:trPr>
        <w:tc>
          <w:tcPr>
            <w:tcW w:w="771" w:type="pct"/>
            <w:shd w:val="clear" w:color="auto" w:fill="auto"/>
            <w:noWrap/>
            <w:vAlign w:val="center"/>
          </w:tcPr>
          <w:p w14:paraId="2EF1F2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antiácidos</w:t>
            </w:r>
          </w:p>
        </w:tc>
        <w:tc>
          <w:tcPr>
            <w:tcW w:w="249" w:type="pct"/>
            <w:shd w:val="clear" w:color="auto" w:fill="auto"/>
            <w:noWrap/>
            <w:vAlign w:val="center"/>
          </w:tcPr>
          <w:p w14:paraId="12FCA946"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50" w:type="pct"/>
            <w:vAlign w:val="center"/>
          </w:tcPr>
          <w:p w14:paraId="01F68D25" w14:textId="77777777" w:rsidR="00A53EA0" w:rsidRPr="006B1E10" w:rsidRDefault="00A53EA0" w:rsidP="00A53EA0">
            <w:pPr>
              <w:rPr>
                <w:rFonts w:ascii="Calibri" w:hAnsi="Calibri"/>
                <w:sz w:val="18"/>
                <w:szCs w:val="18"/>
                <w:lang w:val="en-US" w:eastAsia="en-US"/>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shd w:val="clear" w:color="auto" w:fill="auto"/>
            <w:noWrap/>
            <w:vAlign w:val="center"/>
          </w:tcPr>
          <w:p w14:paraId="6A916615"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vAlign w:val="center"/>
          </w:tcPr>
          <w:p w14:paraId="670622D3"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shd w:val="clear" w:color="auto" w:fill="auto"/>
            <w:noWrap/>
            <w:vAlign w:val="center"/>
          </w:tcPr>
          <w:p w14:paraId="7172D868"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vAlign w:val="center"/>
          </w:tcPr>
          <w:p w14:paraId="5DE5133A" w14:textId="77777777" w:rsidR="00A53EA0" w:rsidRPr="006B1E10" w:rsidRDefault="00A53EA0" w:rsidP="00A53EA0">
            <w:pPr>
              <w:rPr>
                <w:rFonts w:ascii="Calibri" w:hAnsi="Calibri"/>
                <w:sz w:val="18"/>
                <w:szCs w:val="18"/>
                <w:lang w:val="en-US" w:eastAsia="en-US"/>
              </w:rPr>
            </w:pPr>
          </w:p>
        </w:tc>
        <w:tc>
          <w:tcPr>
            <w:tcW w:w="249" w:type="pct"/>
            <w:shd w:val="clear" w:color="auto" w:fill="auto"/>
            <w:noWrap/>
            <w:vAlign w:val="center"/>
          </w:tcPr>
          <w:p w14:paraId="381F853E"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shd w:val="clear" w:color="auto" w:fill="auto"/>
            <w:noWrap/>
            <w:vAlign w:val="center"/>
          </w:tcPr>
          <w:p w14:paraId="2C4767F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A6BB99B"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8" w:type="pct"/>
            <w:shd w:val="clear" w:color="auto" w:fill="auto"/>
            <w:noWrap/>
            <w:vAlign w:val="center"/>
          </w:tcPr>
          <w:p w14:paraId="21BC5178"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w:t>
            </w:r>
          </w:p>
        </w:tc>
        <w:tc>
          <w:tcPr>
            <w:tcW w:w="249" w:type="pct"/>
            <w:shd w:val="clear" w:color="auto" w:fill="auto"/>
            <w:noWrap/>
            <w:vAlign w:val="center"/>
          </w:tcPr>
          <w:p w14:paraId="508E1A1F"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9" w:type="pct"/>
            <w:shd w:val="clear" w:color="auto" w:fill="auto"/>
            <w:noWrap/>
            <w:vAlign w:val="center"/>
          </w:tcPr>
          <w:p w14:paraId="768CF392" w14:textId="77777777" w:rsidR="00A53EA0" w:rsidRPr="006B1E10" w:rsidRDefault="00A53EA0" w:rsidP="00A53EA0">
            <w:pPr>
              <w:spacing w:after="200" w:line="276" w:lineRule="auto"/>
              <w:rPr>
                <w:rFonts w:ascii="Calibri" w:hAnsi="Calibri"/>
                <w:color w:val="FF0000"/>
                <w:sz w:val="18"/>
                <w:szCs w:val="18"/>
                <w:lang w:val="en-US" w:eastAsia="en-US"/>
              </w:rPr>
            </w:pPr>
          </w:p>
        </w:tc>
        <w:tc>
          <w:tcPr>
            <w:tcW w:w="249" w:type="pct"/>
            <w:shd w:val="clear" w:color="auto" w:fill="auto"/>
            <w:noWrap/>
            <w:vAlign w:val="center"/>
          </w:tcPr>
          <w:p w14:paraId="18691FD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F7B2C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9177A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7A8C7F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10D3230" w14:textId="77777777" w:rsidR="00A53EA0" w:rsidRPr="006B1E10" w:rsidRDefault="00A53EA0" w:rsidP="00A53EA0">
            <w:pPr>
              <w:ind w:hanging="31"/>
              <w:rPr>
                <w:rFonts w:ascii="Calibri" w:hAnsi="Calibri"/>
                <w:color w:val="000000"/>
                <w:sz w:val="18"/>
                <w:szCs w:val="18"/>
              </w:rPr>
            </w:pPr>
          </w:p>
        </w:tc>
      </w:tr>
      <w:tr w:rsidR="00A53EA0" w:rsidRPr="006B1E10" w14:paraId="5EBA476A" w14:textId="77777777" w:rsidTr="00006C46">
        <w:trPr>
          <w:trHeight w:val="454"/>
          <w:tblHeader/>
        </w:trPr>
        <w:tc>
          <w:tcPr>
            <w:tcW w:w="771" w:type="pct"/>
            <w:shd w:val="clear" w:color="auto" w:fill="auto"/>
            <w:noWrap/>
            <w:vAlign w:val="center"/>
          </w:tcPr>
          <w:p w14:paraId="3E5287F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apixaban</w:t>
            </w:r>
          </w:p>
        </w:tc>
        <w:tc>
          <w:tcPr>
            <w:tcW w:w="249" w:type="pct"/>
            <w:shd w:val="clear" w:color="auto" w:fill="auto"/>
            <w:noWrap/>
            <w:vAlign w:val="center"/>
          </w:tcPr>
          <w:p w14:paraId="7F379520" w14:textId="77777777" w:rsidR="00A53EA0" w:rsidRPr="006B1E10" w:rsidRDefault="00A53EA0" w:rsidP="00A53EA0">
            <w:pPr>
              <w:rPr>
                <w:rFonts w:ascii="Calibri" w:hAnsi="Calibri"/>
                <w:color w:val="000000"/>
                <w:sz w:val="18"/>
                <w:szCs w:val="18"/>
              </w:rPr>
            </w:pPr>
          </w:p>
        </w:tc>
        <w:tc>
          <w:tcPr>
            <w:tcW w:w="250" w:type="pct"/>
            <w:vAlign w:val="center"/>
          </w:tcPr>
          <w:p w14:paraId="1260F0E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C058BC8" w14:textId="77777777" w:rsidR="00A53EA0" w:rsidRPr="006B1E10" w:rsidRDefault="00A53EA0" w:rsidP="00A53EA0">
            <w:pPr>
              <w:rPr>
                <w:rFonts w:ascii="Calibri" w:hAnsi="Calibri"/>
                <w:color w:val="000000"/>
                <w:sz w:val="18"/>
                <w:szCs w:val="18"/>
              </w:rPr>
            </w:pPr>
          </w:p>
        </w:tc>
        <w:tc>
          <w:tcPr>
            <w:tcW w:w="249" w:type="pct"/>
            <w:vAlign w:val="center"/>
          </w:tcPr>
          <w:p w14:paraId="6BD0394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E32D095" w14:textId="77777777" w:rsidR="00A53EA0" w:rsidRPr="006B1E10" w:rsidRDefault="00A53EA0" w:rsidP="00A53EA0">
            <w:pPr>
              <w:rPr>
                <w:rFonts w:ascii="Calibri" w:hAnsi="Calibri"/>
                <w:strike/>
                <w:sz w:val="18"/>
                <w:szCs w:val="18"/>
                <w:vertAlign w:val="superscript"/>
                <w:lang w:eastAsia="en-US"/>
              </w:rPr>
            </w:pPr>
            <w:r w:rsidRPr="0027562B">
              <w:rPr>
                <w:rFonts w:ascii="Calibri" w:hAnsi="Calibri"/>
                <w:strike/>
                <w:color w:val="FF0000"/>
                <w:sz w:val="18"/>
                <w:szCs w:val="18"/>
                <w:highlight w:val="red"/>
                <w:lang w:val="en-US" w:eastAsia="en-US"/>
              </w:rPr>
              <w:t>X</w:t>
            </w:r>
            <w:r w:rsidRPr="0027562B">
              <w:rPr>
                <w:rFonts w:ascii="Calibri" w:hAnsi="Calibri"/>
                <w:strike/>
                <w:sz w:val="18"/>
                <w:szCs w:val="18"/>
                <w:highlight w:val="red"/>
                <w:lang w:val="en-US" w:eastAsia="en-US"/>
              </w:rPr>
              <w:t xml:space="preserve"> NR</w:t>
            </w:r>
            <w:r w:rsidRPr="0027562B">
              <w:rPr>
                <w:rFonts w:ascii="Calibri" w:hAnsi="Calibri"/>
                <w:strike/>
                <w:sz w:val="18"/>
                <w:szCs w:val="18"/>
                <w:highlight w:val="red"/>
                <w:vertAlign w:val="superscript"/>
                <w:lang w:eastAsia="en-US"/>
              </w:rPr>
              <w:t xml:space="preserve"> Z</w:t>
            </w:r>
          </w:p>
          <w:p w14:paraId="6E78B1FA" w14:textId="77777777" w:rsidR="00A53EA0" w:rsidRPr="006B1E10" w:rsidRDefault="00A53EA0" w:rsidP="00A53EA0">
            <w:pPr>
              <w:rPr>
                <w:rFonts w:ascii="Calibri" w:hAnsi="Calibri"/>
                <w:strike/>
                <w:color w:val="000000"/>
                <w:sz w:val="18"/>
                <w:szCs w:val="18"/>
              </w:rPr>
            </w:pPr>
            <w:r w:rsidRPr="006B1E10">
              <w:rPr>
                <w:rFonts w:ascii="Calibri" w:hAnsi="Calibri"/>
                <w:sz w:val="18"/>
                <w:szCs w:val="18"/>
                <w:lang w:val="en-US" w:eastAsia="en-US"/>
              </w:rPr>
              <w:t xml:space="preserve"> </w:t>
            </w: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3</w:t>
            </w:r>
          </w:p>
        </w:tc>
        <w:tc>
          <w:tcPr>
            <w:tcW w:w="249" w:type="pct"/>
            <w:vAlign w:val="center"/>
          </w:tcPr>
          <w:p w14:paraId="2750B97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E79E3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6AE50B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185C66E9" w14:textId="77777777" w:rsidR="00A53EA0" w:rsidRPr="006B1E10" w:rsidRDefault="00A53EA0" w:rsidP="00A53EA0">
            <w:pPr>
              <w:rPr>
                <w:rFonts w:ascii="Calibri" w:hAnsi="Calibri"/>
                <w:strike/>
                <w:sz w:val="18"/>
                <w:szCs w:val="18"/>
                <w:vertAlign w:val="superscript"/>
                <w:lang w:eastAsia="en-US"/>
              </w:rPr>
            </w:pPr>
            <w:r w:rsidRPr="0027562B">
              <w:rPr>
                <w:rFonts w:ascii="Calibri" w:hAnsi="Calibri"/>
                <w:strike/>
                <w:color w:val="FF0000"/>
                <w:sz w:val="18"/>
                <w:szCs w:val="18"/>
                <w:highlight w:val="red"/>
                <w:lang w:val="en-US" w:eastAsia="en-US"/>
              </w:rPr>
              <w:t>X</w:t>
            </w:r>
            <w:r w:rsidRPr="0027562B">
              <w:rPr>
                <w:rFonts w:ascii="Calibri" w:hAnsi="Calibri"/>
                <w:strike/>
                <w:sz w:val="18"/>
                <w:szCs w:val="18"/>
                <w:highlight w:val="red"/>
                <w:lang w:val="en-US" w:eastAsia="en-US"/>
              </w:rPr>
              <w:t xml:space="preserve"> NR</w:t>
            </w:r>
            <w:r w:rsidRPr="0027562B">
              <w:rPr>
                <w:rFonts w:ascii="Calibri" w:hAnsi="Calibri"/>
                <w:strike/>
                <w:sz w:val="18"/>
                <w:szCs w:val="18"/>
                <w:highlight w:val="red"/>
                <w:vertAlign w:val="superscript"/>
                <w:lang w:eastAsia="en-US"/>
              </w:rPr>
              <w:t xml:space="preserve"> Z</w:t>
            </w:r>
          </w:p>
          <w:p w14:paraId="2BE4C30D" w14:textId="77777777" w:rsidR="00A53EA0" w:rsidRPr="006B1E10" w:rsidRDefault="00A53EA0" w:rsidP="00A53EA0">
            <w:pPr>
              <w:rPr>
                <w:rFonts w:ascii="Calibri" w:hAnsi="Calibri"/>
                <w:strike/>
                <w:color w:val="000000"/>
                <w:sz w:val="18"/>
                <w:szCs w:val="18"/>
              </w:rPr>
            </w:pP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3</w:t>
            </w:r>
          </w:p>
        </w:tc>
        <w:tc>
          <w:tcPr>
            <w:tcW w:w="248" w:type="pct"/>
            <w:shd w:val="clear" w:color="auto" w:fill="auto"/>
            <w:noWrap/>
            <w:vAlign w:val="center"/>
          </w:tcPr>
          <w:p w14:paraId="021B8B5D" w14:textId="77777777" w:rsidR="00A53EA0" w:rsidRPr="006B1E10" w:rsidRDefault="00A53EA0" w:rsidP="00A53EA0">
            <w:pPr>
              <w:rPr>
                <w:rFonts w:ascii="Calibri" w:hAnsi="Calibri"/>
                <w:strike/>
                <w:sz w:val="18"/>
                <w:szCs w:val="18"/>
                <w:vertAlign w:val="superscript"/>
                <w:lang w:eastAsia="en-US"/>
              </w:rPr>
            </w:pPr>
            <w:r w:rsidRPr="0027562B">
              <w:rPr>
                <w:rFonts w:ascii="Calibri" w:hAnsi="Calibri"/>
                <w:strike/>
                <w:color w:val="FF0000"/>
                <w:sz w:val="18"/>
                <w:szCs w:val="18"/>
                <w:highlight w:val="red"/>
                <w:lang w:val="en-US" w:eastAsia="en-US"/>
              </w:rPr>
              <w:t>X</w:t>
            </w:r>
            <w:r w:rsidRPr="0027562B">
              <w:rPr>
                <w:rFonts w:ascii="Calibri" w:hAnsi="Calibri"/>
                <w:strike/>
                <w:sz w:val="18"/>
                <w:szCs w:val="18"/>
                <w:highlight w:val="red"/>
                <w:lang w:val="en-US" w:eastAsia="en-US"/>
              </w:rPr>
              <w:t xml:space="preserve"> NR</w:t>
            </w:r>
            <w:r w:rsidRPr="0027562B">
              <w:rPr>
                <w:rFonts w:ascii="Calibri" w:hAnsi="Calibri"/>
                <w:strike/>
                <w:sz w:val="18"/>
                <w:szCs w:val="18"/>
                <w:highlight w:val="red"/>
                <w:vertAlign w:val="superscript"/>
                <w:lang w:eastAsia="en-US"/>
              </w:rPr>
              <w:t xml:space="preserve"> Z</w:t>
            </w:r>
          </w:p>
          <w:p w14:paraId="75BE26C1" w14:textId="77777777" w:rsidR="00A53EA0" w:rsidRPr="006B1E10" w:rsidRDefault="00A53EA0" w:rsidP="00A53EA0">
            <w:pPr>
              <w:rPr>
                <w:rFonts w:ascii="Calibri" w:hAnsi="Calibri"/>
                <w:strike/>
                <w:color w:val="000000"/>
                <w:sz w:val="18"/>
                <w:szCs w:val="18"/>
              </w:rPr>
            </w:pP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3</w:t>
            </w:r>
          </w:p>
        </w:tc>
        <w:tc>
          <w:tcPr>
            <w:tcW w:w="249" w:type="pct"/>
            <w:shd w:val="clear" w:color="auto" w:fill="auto"/>
            <w:noWrap/>
            <w:vAlign w:val="center"/>
          </w:tcPr>
          <w:p w14:paraId="1AE1AE42" w14:textId="77777777" w:rsidR="00A53EA0" w:rsidRPr="006B1E10" w:rsidRDefault="00A53EA0" w:rsidP="00A53EA0">
            <w:pPr>
              <w:rPr>
                <w:rFonts w:ascii="Calibri" w:hAnsi="Calibri"/>
                <w:strike/>
                <w:sz w:val="18"/>
                <w:szCs w:val="18"/>
                <w:vertAlign w:val="superscript"/>
                <w:lang w:eastAsia="en-US"/>
              </w:rPr>
            </w:pPr>
            <w:r w:rsidRPr="0027562B">
              <w:rPr>
                <w:rFonts w:ascii="Calibri" w:hAnsi="Calibri"/>
                <w:strike/>
                <w:color w:val="FF0000"/>
                <w:sz w:val="18"/>
                <w:szCs w:val="18"/>
                <w:highlight w:val="red"/>
                <w:lang w:val="en-US" w:eastAsia="en-US"/>
              </w:rPr>
              <w:t>X</w:t>
            </w:r>
            <w:r w:rsidRPr="0027562B">
              <w:rPr>
                <w:rFonts w:ascii="Calibri" w:hAnsi="Calibri"/>
                <w:strike/>
                <w:sz w:val="18"/>
                <w:szCs w:val="18"/>
                <w:highlight w:val="red"/>
                <w:lang w:val="en-US" w:eastAsia="en-US"/>
              </w:rPr>
              <w:t xml:space="preserve"> NR</w:t>
            </w:r>
            <w:r w:rsidRPr="0027562B">
              <w:rPr>
                <w:rFonts w:ascii="Calibri" w:hAnsi="Calibri"/>
                <w:strike/>
                <w:sz w:val="18"/>
                <w:szCs w:val="18"/>
                <w:highlight w:val="red"/>
                <w:vertAlign w:val="superscript"/>
                <w:lang w:eastAsia="en-US"/>
              </w:rPr>
              <w:t xml:space="preserve"> Z</w:t>
            </w:r>
          </w:p>
          <w:p w14:paraId="5EE6D2FF" w14:textId="77777777" w:rsidR="00A53EA0" w:rsidRPr="006B1E10" w:rsidRDefault="00A53EA0" w:rsidP="00A53EA0">
            <w:pPr>
              <w:rPr>
                <w:rFonts w:ascii="Calibri" w:hAnsi="Calibri"/>
                <w:strike/>
                <w:sz w:val="18"/>
                <w:szCs w:val="18"/>
                <w:lang w:val="en-US" w:eastAsia="en-US"/>
              </w:rPr>
            </w:pP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3</w:t>
            </w:r>
          </w:p>
        </w:tc>
        <w:tc>
          <w:tcPr>
            <w:tcW w:w="249" w:type="pct"/>
            <w:shd w:val="clear" w:color="auto" w:fill="auto"/>
            <w:noWrap/>
            <w:vAlign w:val="center"/>
          </w:tcPr>
          <w:p w14:paraId="5839633E" w14:textId="77777777" w:rsidR="00A53EA0" w:rsidRPr="006B1E10" w:rsidRDefault="00A53EA0" w:rsidP="00A53EA0">
            <w:pPr>
              <w:rPr>
                <w:rFonts w:ascii="Calibri" w:hAnsi="Calibri"/>
                <w:strike/>
                <w:sz w:val="18"/>
                <w:szCs w:val="18"/>
                <w:vertAlign w:val="superscript"/>
                <w:lang w:val="en-US" w:eastAsia="en-US"/>
              </w:rPr>
            </w:pPr>
            <w:r w:rsidRPr="0027562B">
              <w:rPr>
                <w:rFonts w:ascii="Calibri" w:hAnsi="Calibri"/>
                <w:strike/>
                <w:color w:val="FF0000"/>
                <w:sz w:val="18"/>
                <w:szCs w:val="18"/>
                <w:highlight w:val="red"/>
                <w:lang w:val="en-US" w:eastAsia="en-US"/>
              </w:rPr>
              <w:t xml:space="preserve">X </w:t>
            </w:r>
            <w:r w:rsidRPr="0027562B">
              <w:rPr>
                <w:rFonts w:ascii="Calibri" w:hAnsi="Calibri"/>
                <w:strike/>
                <w:sz w:val="18"/>
                <w:szCs w:val="18"/>
                <w:highlight w:val="red"/>
                <w:lang w:val="en-US" w:eastAsia="en-US"/>
              </w:rPr>
              <w:t xml:space="preserve">NR </w:t>
            </w:r>
            <w:r w:rsidRPr="0027562B">
              <w:rPr>
                <w:rFonts w:ascii="Calibri" w:hAnsi="Calibri"/>
                <w:strike/>
                <w:sz w:val="18"/>
                <w:szCs w:val="18"/>
                <w:highlight w:val="red"/>
                <w:vertAlign w:val="superscript"/>
                <w:lang w:val="en-US" w:eastAsia="en-US"/>
              </w:rPr>
              <w:t>Z</w:t>
            </w:r>
          </w:p>
          <w:p w14:paraId="2CA11CDD" w14:textId="77777777" w:rsidR="00A53EA0" w:rsidRPr="006B1E10" w:rsidRDefault="00A53EA0" w:rsidP="00A53EA0">
            <w:pPr>
              <w:rPr>
                <w:rFonts w:ascii="Calibri" w:hAnsi="Calibri"/>
                <w:strike/>
                <w:color w:val="FF0000"/>
                <w:sz w:val="18"/>
                <w:szCs w:val="18"/>
                <w:lang w:val="en-US" w:eastAsia="en-US"/>
              </w:rPr>
            </w:pPr>
            <w:r w:rsidRPr="006B1E10">
              <w:rPr>
                <w:rFonts w:ascii="Calibri" w:hAnsi="Calibri"/>
                <w:sz w:val="18"/>
                <w:szCs w:val="18"/>
                <w:highlight w:val="yellow"/>
                <w:lang w:val="en-US" w:eastAsia="en-US"/>
              </w:rPr>
              <w:sym w:font="Symbol" w:char="F0AD"/>
            </w:r>
            <w:r w:rsidRPr="006B1E10">
              <w:rPr>
                <w:rFonts w:ascii="Calibri" w:hAnsi="Calibri"/>
                <w:sz w:val="18"/>
                <w:szCs w:val="18"/>
                <w:highlight w:val="yellow"/>
                <w:lang w:val="en-US" w:eastAsia="en-US"/>
              </w:rPr>
              <w:t>FCO</w:t>
            </w:r>
            <w:r>
              <w:rPr>
                <w:rFonts w:ascii="Calibri" w:hAnsi="Calibri"/>
                <w:sz w:val="18"/>
                <w:szCs w:val="18"/>
                <w:vertAlign w:val="superscript"/>
                <w:lang w:val="en-US" w:eastAsia="en-US"/>
              </w:rPr>
              <w:t>3</w:t>
            </w:r>
          </w:p>
        </w:tc>
        <w:tc>
          <w:tcPr>
            <w:tcW w:w="249" w:type="pct"/>
            <w:shd w:val="clear" w:color="auto" w:fill="auto"/>
            <w:noWrap/>
            <w:vAlign w:val="center"/>
          </w:tcPr>
          <w:p w14:paraId="3BDD0DD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69F7B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E50B07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88EE401"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CCDD03B" w14:textId="77777777" w:rsidR="00A53EA0" w:rsidRPr="006B1E10" w:rsidRDefault="00A53EA0" w:rsidP="00A53EA0">
            <w:pPr>
              <w:ind w:hanging="31"/>
              <w:rPr>
                <w:rFonts w:ascii="Calibri" w:hAnsi="Calibri"/>
                <w:color w:val="000000"/>
                <w:sz w:val="18"/>
                <w:szCs w:val="18"/>
              </w:rPr>
            </w:pPr>
          </w:p>
        </w:tc>
      </w:tr>
      <w:tr w:rsidR="00A53EA0" w:rsidRPr="006B1E10" w14:paraId="3D57B71C" w14:textId="77777777" w:rsidTr="00006C46">
        <w:trPr>
          <w:trHeight w:val="454"/>
          <w:tblHeader/>
        </w:trPr>
        <w:tc>
          <w:tcPr>
            <w:tcW w:w="771" w:type="pct"/>
            <w:shd w:val="clear" w:color="auto" w:fill="auto"/>
            <w:noWrap/>
            <w:vAlign w:val="center"/>
          </w:tcPr>
          <w:p w14:paraId="2B52A18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atazanavir/ cobi </w:t>
            </w:r>
          </w:p>
        </w:tc>
        <w:tc>
          <w:tcPr>
            <w:tcW w:w="249" w:type="pct"/>
            <w:shd w:val="clear" w:color="auto" w:fill="auto"/>
            <w:noWrap/>
            <w:vAlign w:val="center"/>
          </w:tcPr>
          <w:p w14:paraId="1C0A65DF" w14:textId="77777777" w:rsidR="00A53EA0" w:rsidRPr="006B1E10" w:rsidRDefault="00A53EA0" w:rsidP="00A53EA0">
            <w:pPr>
              <w:rPr>
                <w:rFonts w:ascii="Calibri" w:hAnsi="Calibri"/>
                <w:color w:val="000000"/>
                <w:sz w:val="18"/>
                <w:szCs w:val="18"/>
              </w:rPr>
            </w:pPr>
          </w:p>
        </w:tc>
        <w:tc>
          <w:tcPr>
            <w:tcW w:w="250" w:type="pct"/>
            <w:vAlign w:val="center"/>
          </w:tcPr>
          <w:p w14:paraId="55F2E29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1EBBF1A" w14:textId="77777777" w:rsidR="00A53EA0" w:rsidRPr="006B1E10" w:rsidRDefault="00A53EA0" w:rsidP="00A53EA0">
            <w:pPr>
              <w:rPr>
                <w:rFonts w:ascii="Calibri" w:hAnsi="Calibri"/>
                <w:color w:val="000000"/>
                <w:sz w:val="18"/>
                <w:szCs w:val="18"/>
              </w:rPr>
            </w:pPr>
          </w:p>
        </w:tc>
        <w:tc>
          <w:tcPr>
            <w:tcW w:w="249" w:type="pct"/>
            <w:vAlign w:val="center"/>
          </w:tcPr>
          <w:p w14:paraId="2C0F3924" w14:textId="77777777" w:rsidR="00A53EA0" w:rsidRPr="006B1E10" w:rsidRDefault="00A53EA0" w:rsidP="00A53EA0">
            <w:pPr>
              <w:rPr>
                <w:rFonts w:ascii="Calibri" w:hAnsi="Calibri"/>
                <w:strike/>
                <w:color w:val="FF0000"/>
                <w:sz w:val="18"/>
                <w:szCs w:val="18"/>
                <w:lang w:val="en-US" w:eastAsia="en-US"/>
              </w:rPr>
            </w:pPr>
          </w:p>
        </w:tc>
        <w:tc>
          <w:tcPr>
            <w:tcW w:w="249" w:type="pct"/>
            <w:shd w:val="clear" w:color="auto" w:fill="BFBFBF"/>
            <w:noWrap/>
            <w:vAlign w:val="center"/>
          </w:tcPr>
          <w:p w14:paraId="5F0FD4BF" w14:textId="77777777" w:rsidR="00A53EA0" w:rsidRPr="006B1E10" w:rsidRDefault="00A53EA0" w:rsidP="00A53EA0">
            <w:pPr>
              <w:rPr>
                <w:rFonts w:ascii="Calibri" w:hAnsi="Calibri"/>
                <w:color w:val="000000"/>
                <w:sz w:val="18"/>
                <w:szCs w:val="18"/>
              </w:rPr>
            </w:pPr>
          </w:p>
        </w:tc>
        <w:tc>
          <w:tcPr>
            <w:tcW w:w="249" w:type="pct"/>
            <w:vAlign w:val="center"/>
          </w:tcPr>
          <w:p w14:paraId="7D6185D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587CD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BB42E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noWrap/>
            <w:vAlign w:val="center"/>
          </w:tcPr>
          <w:p w14:paraId="5D02E4EC"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53150A60"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693BDA24"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382C8C0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054A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5FD70C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6DD719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85B9721"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4CC1AEB2" w14:textId="77777777" w:rsidR="00A53EA0" w:rsidRPr="006B1E10" w:rsidRDefault="00A53EA0" w:rsidP="00A53EA0">
            <w:pPr>
              <w:ind w:hanging="31"/>
              <w:rPr>
                <w:rFonts w:ascii="Calibri" w:hAnsi="Calibri"/>
                <w:color w:val="000000"/>
                <w:sz w:val="18"/>
                <w:szCs w:val="18"/>
              </w:rPr>
            </w:pPr>
          </w:p>
        </w:tc>
      </w:tr>
      <w:tr w:rsidR="00A53EA0" w:rsidRPr="006B1E10" w14:paraId="00A8DA00" w14:textId="77777777" w:rsidTr="00006C46">
        <w:trPr>
          <w:trHeight w:val="454"/>
          <w:tblHeader/>
        </w:trPr>
        <w:tc>
          <w:tcPr>
            <w:tcW w:w="771" w:type="pct"/>
            <w:shd w:val="clear" w:color="auto" w:fill="auto"/>
            <w:noWrap/>
            <w:vAlign w:val="center"/>
          </w:tcPr>
          <w:p w14:paraId="69187BD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atazanavir/ rito</w:t>
            </w:r>
          </w:p>
        </w:tc>
        <w:tc>
          <w:tcPr>
            <w:tcW w:w="249" w:type="pct"/>
            <w:shd w:val="clear" w:color="auto" w:fill="auto"/>
            <w:noWrap/>
            <w:vAlign w:val="center"/>
          </w:tcPr>
          <w:p w14:paraId="6B540307" w14:textId="77777777" w:rsidR="00A53EA0" w:rsidRPr="006B1E10" w:rsidRDefault="00A53EA0" w:rsidP="00A53EA0">
            <w:pPr>
              <w:rPr>
                <w:rFonts w:ascii="Calibri" w:hAnsi="Calibri"/>
                <w:color w:val="000000"/>
                <w:sz w:val="18"/>
                <w:szCs w:val="18"/>
              </w:rPr>
            </w:pPr>
          </w:p>
        </w:tc>
        <w:tc>
          <w:tcPr>
            <w:tcW w:w="250" w:type="pct"/>
            <w:vAlign w:val="center"/>
          </w:tcPr>
          <w:p w14:paraId="1105238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vertAlign w:val="superscript"/>
                <w:lang w:val="en-US" w:eastAsia="en-US"/>
              </w:rPr>
              <w:t>4</w:t>
            </w:r>
          </w:p>
        </w:tc>
        <w:tc>
          <w:tcPr>
            <w:tcW w:w="249" w:type="pct"/>
            <w:shd w:val="clear" w:color="auto" w:fill="auto"/>
            <w:noWrap/>
            <w:vAlign w:val="center"/>
          </w:tcPr>
          <w:p w14:paraId="0D308873" w14:textId="77777777" w:rsidR="00A53EA0" w:rsidRPr="006B1E10" w:rsidRDefault="00A53EA0" w:rsidP="00A53EA0">
            <w:pPr>
              <w:rPr>
                <w:rFonts w:ascii="Calibri" w:hAnsi="Calibri"/>
                <w:color w:val="000000"/>
                <w:sz w:val="18"/>
                <w:szCs w:val="18"/>
              </w:rPr>
            </w:pPr>
          </w:p>
        </w:tc>
        <w:tc>
          <w:tcPr>
            <w:tcW w:w="249" w:type="pct"/>
            <w:vAlign w:val="center"/>
          </w:tcPr>
          <w:p w14:paraId="19EF632B" w14:textId="77777777" w:rsidR="00A53EA0" w:rsidRPr="006B1E10" w:rsidRDefault="00A53EA0" w:rsidP="00A53EA0">
            <w:pPr>
              <w:rPr>
                <w:rFonts w:ascii="Calibri" w:hAnsi="Calibri"/>
                <w:strike/>
                <w:color w:val="FF0000"/>
                <w:sz w:val="18"/>
                <w:szCs w:val="18"/>
                <w:lang w:val="en-US" w:eastAsia="en-US"/>
              </w:rPr>
            </w:pPr>
          </w:p>
        </w:tc>
        <w:tc>
          <w:tcPr>
            <w:tcW w:w="249" w:type="pct"/>
            <w:shd w:val="clear" w:color="auto" w:fill="BFBFBF"/>
            <w:noWrap/>
            <w:vAlign w:val="center"/>
          </w:tcPr>
          <w:p w14:paraId="0FBC35BA" w14:textId="77777777" w:rsidR="00A53EA0" w:rsidRPr="006B1E10" w:rsidRDefault="00A53EA0" w:rsidP="00A53EA0">
            <w:pPr>
              <w:rPr>
                <w:rFonts w:ascii="Calibri" w:hAnsi="Calibri"/>
                <w:color w:val="000000"/>
                <w:sz w:val="18"/>
                <w:szCs w:val="18"/>
              </w:rPr>
            </w:pPr>
          </w:p>
        </w:tc>
        <w:tc>
          <w:tcPr>
            <w:tcW w:w="249" w:type="pct"/>
            <w:vAlign w:val="center"/>
          </w:tcPr>
          <w:p w14:paraId="4265D08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FD88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5B756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5</w:t>
            </w:r>
          </w:p>
        </w:tc>
        <w:tc>
          <w:tcPr>
            <w:tcW w:w="249" w:type="pct"/>
            <w:shd w:val="clear" w:color="auto" w:fill="BFBFBF"/>
            <w:noWrap/>
            <w:vAlign w:val="center"/>
          </w:tcPr>
          <w:p w14:paraId="6AB5064D"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3DBFB627"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7EBBCB82"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57B362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2D9872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22CF3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87447F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F9F0E1" w14:textId="77777777" w:rsidR="00A53EA0" w:rsidRPr="006B1E10" w:rsidRDefault="00A53EA0" w:rsidP="00A53EA0">
            <w:pPr>
              <w:ind w:right="-73"/>
              <w:rPr>
                <w:rFonts w:ascii="Calibri" w:hAnsi="Calibri"/>
                <w:color w:val="000000"/>
                <w:sz w:val="18"/>
                <w:szCs w:val="18"/>
              </w:rPr>
            </w:pPr>
          </w:p>
        </w:tc>
        <w:tc>
          <w:tcPr>
            <w:tcW w:w="245" w:type="pct"/>
            <w:shd w:val="clear" w:color="auto" w:fill="auto"/>
            <w:noWrap/>
            <w:vAlign w:val="center"/>
          </w:tcPr>
          <w:p w14:paraId="029A9DEA" w14:textId="77777777" w:rsidR="00A53EA0" w:rsidRPr="006B1E10" w:rsidRDefault="00A53EA0" w:rsidP="00A53EA0">
            <w:pPr>
              <w:ind w:hanging="31"/>
              <w:rPr>
                <w:rFonts w:ascii="Calibri" w:hAnsi="Calibri"/>
                <w:color w:val="000000"/>
                <w:sz w:val="18"/>
                <w:szCs w:val="18"/>
              </w:rPr>
            </w:pPr>
          </w:p>
        </w:tc>
      </w:tr>
    </w:tbl>
    <w:p w14:paraId="68BFEA1F"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6B1E10" w14:paraId="24765EBE"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58599F9"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170AFB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11B32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113D24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72DE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72912F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A81D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CE3568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87BD2A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14C7D4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E6EB9E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8DE93E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DDC0B1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DA2177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E6C281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64A189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9D97B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FD333C8" w14:textId="77777777" w:rsidR="00A53EA0" w:rsidRPr="00392159" w:rsidRDefault="00A53EA0" w:rsidP="00A53EA0">
            <w:pPr>
              <w:ind w:hanging="31"/>
              <w:rPr>
                <w:rFonts w:ascii="Calibri" w:hAnsi="Calibri"/>
                <w:b/>
                <w:color w:val="006600"/>
                <w:sz w:val="18"/>
                <w:szCs w:val="18"/>
              </w:rPr>
            </w:pPr>
            <w:r w:rsidRPr="00392159">
              <w:rPr>
                <w:rFonts w:ascii="Calibri" w:hAnsi="Calibri"/>
                <w:b/>
                <w:color w:val="006600"/>
                <w:sz w:val="18"/>
                <w:szCs w:val="18"/>
              </w:rPr>
              <w:t>TAF</w:t>
            </w:r>
          </w:p>
        </w:tc>
      </w:tr>
      <w:tr w:rsidR="00A53EA0" w:rsidRPr="006B1E10" w14:paraId="1DF2C15C" w14:textId="77777777" w:rsidTr="00A53EA0">
        <w:trPr>
          <w:trHeight w:val="454"/>
          <w:tblHeader/>
        </w:trPr>
        <w:tc>
          <w:tcPr>
            <w:tcW w:w="771" w:type="pct"/>
            <w:shd w:val="clear" w:color="auto" w:fill="auto"/>
            <w:noWrap/>
            <w:vAlign w:val="center"/>
          </w:tcPr>
          <w:p w14:paraId="6C1D65C1" w14:textId="77777777" w:rsidR="00A53EA0" w:rsidRPr="006B1E10" w:rsidRDefault="00A53EA0" w:rsidP="00A53EA0">
            <w:pPr>
              <w:rPr>
                <w:rFonts w:ascii="Calibri" w:hAnsi="Calibri"/>
                <w:color w:val="000000"/>
                <w:sz w:val="18"/>
                <w:szCs w:val="18"/>
              </w:rPr>
            </w:pPr>
            <w:r>
              <w:rPr>
                <w:rFonts w:ascii="Calibri" w:hAnsi="Calibri"/>
                <w:color w:val="000000"/>
                <w:sz w:val="18"/>
                <w:szCs w:val="18"/>
              </w:rPr>
              <w:t>a</w:t>
            </w:r>
            <w:r w:rsidRPr="006B1E10">
              <w:rPr>
                <w:rFonts w:ascii="Calibri" w:hAnsi="Calibri"/>
                <w:color w:val="000000"/>
                <w:sz w:val="18"/>
                <w:szCs w:val="18"/>
              </w:rPr>
              <w:t>torvastatina</w:t>
            </w:r>
          </w:p>
        </w:tc>
        <w:tc>
          <w:tcPr>
            <w:tcW w:w="249" w:type="pct"/>
            <w:shd w:val="clear" w:color="auto" w:fill="auto"/>
            <w:noWrap/>
            <w:vAlign w:val="center"/>
          </w:tcPr>
          <w:p w14:paraId="3ED588EF" w14:textId="77777777" w:rsidR="00A53EA0" w:rsidRPr="006B1E10" w:rsidRDefault="00A53EA0" w:rsidP="00A53EA0">
            <w:pPr>
              <w:rPr>
                <w:rFonts w:ascii="Calibri" w:hAnsi="Calibri"/>
                <w:color w:val="000000"/>
                <w:sz w:val="18"/>
                <w:szCs w:val="18"/>
              </w:rPr>
            </w:pPr>
          </w:p>
        </w:tc>
        <w:tc>
          <w:tcPr>
            <w:tcW w:w="250" w:type="pct"/>
            <w:vAlign w:val="center"/>
          </w:tcPr>
          <w:p w14:paraId="20F3215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533C15" w14:textId="77777777" w:rsidR="00A53EA0" w:rsidRPr="006B1E10" w:rsidRDefault="00A53EA0" w:rsidP="00A53EA0">
            <w:pPr>
              <w:rPr>
                <w:rFonts w:ascii="Calibri" w:hAnsi="Calibri"/>
                <w:color w:val="000000"/>
                <w:sz w:val="18"/>
                <w:szCs w:val="18"/>
              </w:rPr>
            </w:pPr>
          </w:p>
        </w:tc>
        <w:tc>
          <w:tcPr>
            <w:tcW w:w="249" w:type="pct"/>
            <w:vAlign w:val="center"/>
          </w:tcPr>
          <w:p w14:paraId="5634C8EB" w14:textId="77777777" w:rsidR="00A53EA0" w:rsidRPr="006B1E10" w:rsidRDefault="00A53EA0" w:rsidP="00A53EA0">
            <w:pPr>
              <w:rPr>
                <w:rFonts w:ascii="Calibri" w:hAnsi="Calibri"/>
                <w:strike/>
                <w:color w:val="FF0000"/>
                <w:sz w:val="18"/>
                <w:szCs w:val="18"/>
                <w:lang w:val="en-US" w:eastAsia="en-US"/>
              </w:rPr>
            </w:pPr>
          </w:p>
        </w:tc>
        <w:tc>
          <w:tcPr>
            <w:tcW w:w="249" w:type="pct"/>
            <w:shd w:val="clear" w:color="auto" w:fill="auto"/>
            <w:noWrap/>
            <w:vAlign w:val="center"/>
          </w:tcPr>
          <w:p w14:paraId="420CD0AA" w14:textId="77777777" w:rsidR="00A53EA0" w:rsidRPr="006B1E10" w:rsidRDefault="00A53EA0" w:rsidP="00A53EA0">
            <w:pPr>
              <w:rPr>
                <w:rFonts w:ascii="Calibri" w:hAnsi="Calibri"/>
                <w:strike/>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vAlign w:val="center"/>
          </w:tcPr>
          <w:p w14:paraId="00ADD5D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7F04E0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EF191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17A39BC9" w14:textId="77777777" w:rsidR="00A53EA0" w:rsidRPr="006B1E10" w:rsidRDefault="00A53EA0" w:rsidP="00A53EA0">
            <w:pPr>
              <w:rPr>
                <w:rFonts w:ascii="Calibri" w:hAnsi="Calibri"/>
                <w:strike/>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8" w:type="pct"/>
            <w:shd w:val="clear" w:color="auto" w:fill="auto"/>
            <w:noWrap/>
            <w:vAlign w:val="center"/>
          </w:tcPr>
          <w:p w14:paraId="7A9C1DD2" w14:textId="77777777" w:rsidR="00A53EA0" w:rsidRPr="006B1E10" w:rsidRDefault="00A53EA0" w:rsidP="00A53EA0">
            <w:pPr>
              <w:rPr>
                <w:rFonts w:ascii="Calibri" w:hAnsi="Calibri"/>
                <w:strike/>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FFFFFF"/>
            <w:noWrap/>
            <w:vAlign w:val="center"/>
          </w:tcPr>
          <w:p w14:paraId="5230FD25"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3C6C5806"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2379A10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C22F13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8BBD5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EC8D74"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17FB4780" w14:textId="77777777" w:rsidR="00A53EA0" w:rsidRPr="006B1E10" w:rsidRDefault="00A53EA0" w:rsidP="00A53EA0">
            <w:pPr>
              <w:ind w:hanging="31"/>
              <w:rPr>
                <w:rFonts w:ascii="Calibri" w:hAnsi="Calibri"/>
                <w:color w:val="000000"/>
                <w:sz w:val="18"/>
                <w:szCs w:val="18"/>
              </w:rPr>
            </w:pPr>
          </w:p>
        </w:tc>
      </w:tr>
      <w:tr w:rsidR="00A53EA0" w:rsidRPr="006B1E10" w14:paraId="38F1A542" w14:textId="77777777" w:rsidTr="00A53EA0">
        <w:trPr>
          <w:trHeight w:val="454"/>
          <w:tblHeader/>
        </w:trPr>
        <w:tc>
          <w:tcPr>
            <w:tcW w:w="771" w:type="pct"/>
            <w:shd w:val="clear" w:color="auto" w:fill="auto"/>
            <w:noWrap/>
            <w:vAlign w:val="center"/>
          </w:tcPr>
          <w:p w14:paraId="04F0A15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avanafilo</w:t>
            </w:r>
          </w:p>
        </w:tc>
        <w:tc>
          <w:tcPr>
            <w:tcW w:w="249" w:type="pct"/>
            <w:shd w:val="clear" w:color="auto" w:fill="auto"/>
            <w:noWrap/>
            <w:vAlign w:val="center"/>
          </w:tcPr>
          <w:p w14:paraId="1E69716D" w14:textId="77777777" w:rsidR="00A53EA0" w:rsidRPr="006B1E10" w:rsidRDefault="00A53EA0" w:rsidP="00A53EA0">
            <w:pPr>
              <w:rPr>
                <w:rFonts w:ascii="Calibri" w:hAnsi="Calibri"/>
                <w:color w:val="000000"/>
                <w:sz w:val="18"/>
                <w:szCs w:val="18"/>
              </w:rPr>
            </w:pPr>
          </w:p>
        </w:tc>
        <w:tc>
          <w:tcPr>
            <w:tcW w:w="250" w:type="pct"/>
            <w:vAlign w:val="center"/>
          </w:tcPr>
          <w:p w14:paraId="4E3123A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30F12A" w14:textId="77777777" w:rsidR="00A53EA0" w:rsidRPr="006B1E10" w:rsidRDefault="00A53EA0" w:rsidP="00A53EA0">
            <w:pPr>
              <w:rPr>
                <w:rFonts w:ascii="Calibri" w:hAnsi="Calibri"/>
                <w:color w:val="000000"/>
                <w:sz w:val="18"/>
                <w:szCs w:val="18"/>
              </w:rPr>
            </w:pPr>
          </w:p>
        </w:tc>
        <w:tc>
          <w:tcPr>
            <w:tcW w:w="249" w:type="pct"/>
            <w:vAlign w:val="center"/>
          </w:tcPr>
          <w:p w14:paraId="46A0C70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0FF36A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79E13EF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13AA6A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187C2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Pr>
                <w:rFonts w:ascii="Calibri" w:hAnsi="Calibri"/>
                <w:sz w:val="18"/>
                <w:szCs w:val="18"/>
                <w:lang w:val="en-US" w:eastAsia="en-US"/>
              </w:rPr>
              <w:t>FCO</w:t>
            </w:r>
          </w:p>
        </w:tc>
        <w:tc>
          <w:tcPr>
            <w:tcW w:w="249" w:type="pct"/>
            <w:shd w:val="clear" w:color="auto" w:fill="auto"/>
            <w:noWrap/>
            <w:vAlign w:val="center"/>
          </w:tcPr>
          <w:p w14:paraId="105EFCE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271991A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1AF6463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4F0271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C193E6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7CD3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2BBA82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2E7E83"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16B85716" w14:textId="77777777" w:rsidR="00A53EA0" w:rsidRPr="006B1E10" w:rsidRDefault="00A53EA0" w:rsidP="00A53EA0">
            <w:pPr>
              <w:ind w:hanging="31"/>
              <w:rPr>
                <w:rFonts w:ascii="Calibri" w:hAnsi="Calibri"/>
                <w:color w:val="000000"/>
                <w:sz w:val="18"/>
                <w:szCs w:val="18"/>
              </w:rPr>
            </w:pPr>
          </w:p>
        </w:tc>
      </w:tr>
      <w:tr w:rsidR="00A53EA0" w:rsidRPr="006B1E10" w14:paraId="56CFF86F" w14:textId="77777777" w:rsidTr="00A53EA0">
        <w:trPr>
          <w:trHeight w:val="454"/>
          <w:tblHeader/>
        </w:trPr>
        <w:tc>
          <w:tcPr>
            <w:tcW w:w="771" w:type="pct"/>
            <w:shd w:val="clear" w:color="auto" w:fill="auto"/>
            <w:noWrap/>
            <w:vAlign w:val="center"/>
          </w:tcPr>
          <w:p w14:paraId="295DACA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bedaquilina </w:t>
            </w:r>
          </w:p>
        </w:tc>
        <w:tc>
          <w:tcPr>
            <w:tcW w:w="249" w:type="pct"/>
            <w:shd w:val="clear" w:color="auto" w:fill="auto"/>
            <w:noWrap/>
            <w:vAlign w:val="center"/>
          </w:tcPr>
          <w:p w14:paraId="09B4FD5A" w14:textId="77777777" w:rsidR="00A53EA0" w:rsidRPr="006B1E10" w:rsidRDefault="00A53EA0" w:rsidP="00A53EA0">
            <w:pPr>
              <w:rPr>
                <w:rFonts w:ascii="Calibri" w:hAnsi="Calibri"/>
                <w:color w:val="000000"/>
                <w:sz w:val="18"/>
                <w:szCs w:val="18"/>
              </w:rPr>
            </w:pPr>
          </w:p>
        </w:tc>
        <w:tc>
          <w:tcPr>
            <w:tcW w:w="250" w:type="pct"/>
            <w:vAlign w:val="center"/>
          </w:tcPr>
          <w:p w14:paraId="7F681D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832D7CD" w14:textId="77777777" w:rsidR="00A53EA0" w:rsidRPr="006B1E10" w:rsidRDefault="00A53EA0" w:rsidP="00A53EA0">
            <w:pPr>
              <w:rPr>
                <w:rFonts w:ascii="Calibri" w:hAnsi="Calibri"/>
                <w:color w:val="000000"/>
                <w:sz w:val="18"/>
                <w:szCs w:val="18"/>
              </w:rPr>
            </w:pPr>
          </w:p>
        </w:tc>
        <w:tc>
          <w:tcPr>
            <w:tcW w:w="249" w:type="pct"/>
            <w:vAlign w:val="center"/>
          </w:tcPr>
          <w:p w14:paraId="318DB8B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4F39414" w14:textId="77777777" w:rsidR="00A53EA0" w:rsidRPr="006B1E10" w:rsidRDefault="00A53EA0" w:rsidP="00A53EA0">
            <w:pPr>
              <w:rPr>
                <w:rFonts w:ascii="Calibri" w:hAnsi="Calibri"/>
                <w:color w:val="000000"/>
                <w:sz w:val="18"/>
                <w:szCs w:val="18"/>
              </w:rPr>
            </w:pPr>
          </w:p>
        </w:tc>
        <w:tc>
          <w:tcPr>
            <w:tcW w:w="249" w:type="pct"/>
            <w:vAlign w:val="center"/>
          </w:tcPr>
          <w:p w14:paraId="2F84901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B97BCF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39DD1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000000" w:fill="FFFFFF"/>
            <w:noWrap/>
            <w:vAlign w:val="center"/>
          </w:tcPr>
          <w:p w14:paraId="61E3E1D8"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7E5C0C8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C59C14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58B50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824DD0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93F299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2B182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49DCD8"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4BAA140C" w14:textId="77777777" w:rsidR="00A53EA0" w:rsidRPr="006B1E10" w:rsidRDefault="00A53EA0" w:rsidP="00A53EA0">
            <w:pPr>
              <w:ind w:hanging="31"/>
              <w:rPr>
                <w:rFonts w:ascii="Calibri" w:hAnsi="Calibri"/>
                <w:color w:val="000000"/>
                <w:sz w:val="18"/>
                <w:szCs w:val="18"/>
              </w:rPr>
            </w:pPr>
          </w:p>
        </w:tc>
      </w:tr>
      <w:tr w:rsidR="00A53EA0" w:rsidRPr="006B1E10" w14:paraId="7703650D" w14:textId="77777777" w:rsidTr="00A53EA0">
        <w:trPr>
          <w:trHeight w:val="454"/>
          <w:tblHeader/>
        </w:trPr>
        <w:tc>
          <w:tcPr>
            <w:tcW w:w="771" w:type="pct"/>
            <w:shd w:val="clear" w:color="auto" w:fill="auto"/>
            <w:noWrap/>
            <w:vAlign w:val="center"/>
          </w:tcPr>
          <w:p w14:paraId="037A9FA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betametasona</w:t>
            </w:r>
          </w:p>
        </w:tc>
        <w:tc>
          <w:tcPr>
            <w:tcW w:w="249" w:type="pct"/>
            <w:shd w:val="clear" w:color="auto" w:fill="FFFFFF"/>
            <w:noWrap/>
            <w:vAlign w:val="center"/>
          </w:tcPr>
          <w:p w14:paraId="124AAD25" w14:textId="77777777" w:rsidR="00A53EA0" w:rsidRPr="006B1E10" w:rsidRDefault="00A53EA0" w:rsidP="00A53EA0">
            <w:pPr>
              <w:rPr>
                <w:rFonts w:ascii="Calibri" w:hAnsi="Calibri"/>
                <w:strike/>
                <w:color w:val="000000"/>
                <w:sz w:val="18"/>
                <w:szCs w:val="18"/>
              </w:rPr>
            </w:pPr>
          </w:p>
        </w:tc>
        <w:tc>
          <w:tcPr>
            <w:tcW w:w="250" w:type="pct"/>
            <w:vAlign w:val="center"/>
          </w:tcPr>
          <w:p w14:paraId="55E12D1F"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3A8CDF72" w14:textId="77777777" w:rsidR="00A53EA0" w:rsidRPr="006B1E10" w:rsidRDefault="00A53EA0" w:rsidP="00A53EA0">
            <w:pPr>
              <w:rPr>
                <w:rFonts w:ascii="Calibri" w:hAnsi="Calibri"/>
                <w:strike/>
                <w:color w:val="000000"/>
                <w:sz w:val="18"/>
                <w:szCs w:val="18"/>
              </w:rPr>
            </w:pPr>
          </w:p>
        </w:tc>
        <w:tc>
          <w:tcPr>
            <w:tcW w:w="249" w:type="pct"/>
            <w:vAlign w:val="center"/>
          </w:tcPr>
          <w:p w14:paraId="4964E271" w14:textId="77777777" w:rsidR="00A53EA0" w:rsidRPr="006B1E10" w:rsidRDefault="00A53EA0" w:rsidP="00A53EA0">
            <w:pPr>
              <w:rPr>
                <w:rFonts w:ascii="Calibri" w:hAnsi="Calibri"/>
                <w:strike/>
                <w:color w:val="FF0000"/>
                <w:sz w:val="18"/>
                <w:szCs w:val="18"/>
                <w:lang w:val="en-US" w:eastAsia="en-US"/>
              </w:rPr>
            </w:pPr>
          </w:p>
        </w:tc>
        <w:tc>
          <w:tcPr>
            <w:tcW w:w="249" w:type="pct"/>
            <w:shd w:val="clear" w:color="auto" w:fill="auto"/>
            <w:noWrap/>
            <w:vAlign w:val="center"/>
          </w:tcPr>
          <w:p w14:paraId="3E4FF493" w14:textId="77777777" w:rsidR="00A53EA0" w:rsidRPr="006B1E10" w:rsidRDefault="00A53EA0" w:rsidP="00A53EA0">
            <w:pPr>
              <w:rPr>
                <w:rFonts w:ascii="Calibri" w:hAnsi="Calibri"/>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vAlign w:val="center"/>
          </w:tcPr>
          <w:p w14:paraId="1C6677FB"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2215A417"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3344B9E8"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6E9CD1EB" w14:textId="77777777" w:rsidR="00A53EA0" w:rsidRPr="006B1E10" w:rsidRDefault="00A53EA0" w:rsidP="00A53EA0">
            <w:pPr>
              <w:rPr>
                <w:rFonts w:ascii="Calibri" w:hAnsi="Calibri"/>
                <w:strike/>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8" w:type="pct"/>
            <w:shd w:val="clear" w:color="auto" w:fill="auto"/>
            <w:noWrap/>
            <w:vAlign w:val="center"/>
          </w:tcPr>
          <w:p w14:paraId="112E2002" w14:textId="77777777" w:rsidR="00A53EA0" w:rsidRPr="006B1E10" w:rsidRDefault="00A53EA0" w:rsidP="00A53EA0">
            <w:pPr>
              <w:rPr>
                <w:rFonts w:ascii="Calibri" w:hAnsi="Calibri"/>
                <w:strike/>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318E951D" w14:textId="77777777" w:rsidR="00A53EA0" w:rsidRPr="006B1E10" w:rsidRDefault="00A53EA0" w:rsidP="00A53EA0">
            <w:pPr>
              <w:rPr>
                <w:rFonts w:ascii="Calibri" w:hAnsi="Calibri"/>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45FB4FB4" w14:textId="77777777" w:rsidR="00A53EA0" w:rsidRPr="006B1E10" w:rsidRDefault="00A53EA0" w:rsidP="00A53EA0">
            <w:pPr>
              <w:rPr>
                <w:rFonts w:ascii="Calibri" w:hAnsi="Calibri"/>
                <w:strike/>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552D81E2"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4DDC9E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3BD828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845C6F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7EFD676" w14:textId="77777777" w:rsidR="00A53EA0" w:rsidRPr="006B1E10" w:rsidRDefault="00A53EA0" w:rsidP="00A53EA0">
            <w:pPr>
              <w:ind w:hanging="31"/>
              <w:rPr>
                <w:rFonts w:ascii="Calibri" w:hAnsi="Calibri"/>
                <w:color w:val="000000"/>
                <w:sz w:val="18"/>
                <w:szCs w:val="18"/>
              </w:rPr>
            </w:pPr>
          </w:p>
        </w:tc>
      </w:tr>
      <w:tr w:rsidR="00A53EA0" w:rsidRPr="006B1E10" w14:paraId="356955AD" w14:textId="77777777" w:rsidTr="00A53EA0">
        <w:trPr>
          <w:trHeight w:val="454"/>
          <w:tblHeader/>
        </w:trPr>
        <w:tc>
          <w:tcPr>
            <w:tcW w:w="771" w:type="pct"/>
            <w:shd w:val="clear" w:color="auto" w:fill="auto"/>
            <w:noWrap/>
            <w:vAlign w:val="center"/>
          </w:tcPr>
          <w:p w14:paraId="58488B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bexaroteno</w:t>
            </w:r>
          </w:p>
        </w:tc>
        <w:tc>
          <w:tcPr>
            <w:tcW w:w="249" w:type="pct"/>
            <w:shd w:val="clear" w:color="000000" w:fill="auto"/>
            <w:noWrap/>
            <w:vAlign w:val="center"/>
          </w:tcPr>
          <w:p w14:paraId="720B37C7" w14:textId="77777777" w:rsidR="00A53EA0" w:rsidRPr="006B1E10" w:rsidRDefault="00A53EA0" w:rsidP="00A53EA0">
            <w:pPr>
              <w:rPr>
                <w:rFonts w:ascii="Calibri" w:hAnsi="Calibri"/>
                <w:color w:val="000000"/>
                <w:sz w:val="18"/>
                <w:szCs w:val="18"/>
              </w:rPr>
            </w:pPr>
          </w:p>
        </w:tc>
        <w:tc>
          <w:tcPr>
            <w:tcW w:w="250" w:type="pct"/>
            <w:vAlign w:val="center"/>
          </w:tcPr>
          <w:p w14:paraId="3367C72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4EFDF4" w14:textId="77777777" w:rsidR="00A53EA0" w:rsidRPr="006B1E10" w:rsidRDefault="00A53EA0" w:rsidP="00A53EA0">
            <w:pPr>
              <w:rPr>
                <w:rFonts w:ascii="Calibri" w:hAnsi="Calibri"/>
                <w:color w:val="000000"/>
                <w:sz w:val="18"/>
                <w:szCs w:val="18"/>
              </w:rPr>
            </w:pPr>
          </w:p>
        </w:tc>
        <w:tc>
          <w:tcPr>
            <w:tcW w:w="249" w:type="pct"/>
            <w:vAlign w:val="center"/>
          </w:tcPr>
          <w:p w14:paraId="04713FA1" w14:textId="77777777" w:rsidR="00A53EA0" w:rsidRPr="006B1E10" w:rsidRDefault="00A53EA0" w:rsidP="00A53EA0">
            <w:pPr>
              <w:rPr>
                <w:rFonts w:ascii="Calibri" w:hAnsi="Calibri"/>
                <w:color w:val="FF0000"/>
                <w:sz w:val="18"/>
                <w:szCs w:val="18"/>
                <w:lang w:val="en-US" w:eastAsia="en-US"/>
              </w:rPr>
            </w:pPr>
          </w:p>
        </w:tc>
        <w:tc>
          <w:tcPr>
            <w:tcW w:w="249" w:type="pct"/>
            <w:shd w:val="clear" w:color="000000" w:fill="auto"/>
            <w:noWrap/>
            <w:vAlign w:val="center"/>
          </w:tcPr>
          <w:p w14:paraId="07A2A9A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vAlign w:val="center"/>
          </w:tcPr>
          <w:p w14:paraId="06524A6D" w14:textId="77777777" w:rsidR="00A53EA0" w:rsidRPr="006B1E10" w:rsidRDefault="00A53EA0" w:rsidP="00A53EA0">
            <w:pPr>
              <w:rPr>
                <w:rFonts w:ascii="Calibri" w:hAnsi="Calibri"/>
                <w:color w:val="FF0000"/>
                <w:sz w:val="18"/>
                <w:szCs w:val="18"/>
                <w:lang w:val="en-US" w:eastAsia="en-US"/>
              </w:rPr>
            </w:pPr>
          </w:p>
        </w:tc>
        <w:tc>
          <w:tcPr>
            <w:tcW w:w="249" w:type="pct"/>
            <w:shd w:val="clear" w:color="000000" w:fill="auto"/>
            <w:noWrap/>
            <w:vAlign w:val="center"/>
          </w:tcPr>
          <w:p w14:paraId="1DFDEF4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noWrap/>
            <w:vAlign w:val="center"/>
          </w:tcPr>
          <w:p w14:paraId="31D1025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noWrap/>
            <w:vAlign w:val="center"/>
          </w:tcPr>
          <w:p w14:paraId="3A534FAB"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8" w:type="pct"/>
            <w:shd w:val="clear" w:color="auto" w:fill="auto"/>
            <w:noWrap/>
            <w:vAlign w:val="center"/>
          </w:tcPr>
          <w:p w14:paraId="2924365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noWrap/>
            <w:vAlign w:val="center"/>
          </w:tcPr>
          <w:p w14:paraId="6D44FADF"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0A592C5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1A0775E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42E66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8DBB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6BBFFC"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8B0E5B5" w14:textId="77777777" w:rsidR="00A53EA0" w:rsidRPr="006B1E10" w:rsidRDefault="00A53EA0" w:rsidP="00A53EA0">
            <w:pPr>
              <w:ind w:hanging="31"/>
              <w:rPr>
                <w:rFonts w:ascii="Calibri" w:hAnsi="Calibri"/>
                <w:color w:val="000000"/>
                <w:sz w:val="18"/>
                <w:szCs w:val="18"/>
              </w:rPr>
            </w:pPr>
          </w:p>
        </w:tc>
      </w:tr>
      <w:tr w:rsidR="00A53EA0" w:rsidRPr="006B1E10" w14:paraId="2D6759E2" w14:textId="77777777" w:rsidTr="00A53EA0">
        <w:trPr>
          <w:trHeight w:val="454"/>
          <w:tblHeader/>
        </w:trPr>
        <w:tc>
          <w:tcPr>
            <w:tcW w:w="771" w:type="pct"/>
            <w:shd w:val="clear" w:color="auto" w:fill="auto"/>
            <w:noWrap/>
            <w:vAlign w:val="center"/>
          </w:tcPr>
          <w:p w14:paraId="2508B0A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bictegravir</w:t>
            </w:r>
          </w:p>
        </w:tc>
        <w:tc>
          <w:tcPr>
            <w:tcW w:w="249" w:type="pct"/>
            <w:shd w:val="clear" w:color="auto" w:fill="D0CECE" w:themeFill="background2" w:themeFillShade="E6"/>
            <w:noWrap/>
            <w:vAlign w:val="center"/>
          </w:tcPr>
          <w:p w14:paraId="596ECD17" w14:textId="77777777" w:rsidR="00A53EA0" w:rsidRPr="006B1E10" w:rsidRDefault="00A53EA0" w:rsidP="00A53EA0">
            <w:pPr>
              <w:rPr>
                <w:rFonts w:ascii="Calibri" w:hAnsi="Calibri"/>
                <w:color w:val="000000"/>
                <w:sz w:val="18"/>
                <w:szCs w:val="18"/>
              </w:rPr>
            </w:pPr>
          </w:p>
        </w:tc>
        <w:tc>
          <w:tcPr>
            <w:tcW w:w="250" w:type="pct"/>
            <w:shd w:val="clear" w:color="auto" w:fill="D0CECE" w:themeFill="background2" w:themeFillShade="E6"/>
            <w:vAlign w:val="center"/>
          </w:tcPr>
          <w:p w14:paraId="0ABEC8F2" w14:textId="77777777" w:rsidR="00A53EA0" w:rsidRPr="006B1E10" w:rsidRDefault="00A53EA0" w:rsidP="00A53EA0">
            <w:pPr>
              <w:rPr>
                <w:rFonts w:ascii="Calibri" w:hAnsi="Calibri"/>
                <w:color w:val="000000"/>
                <w:sz w:val="18"/>
                <w:szCs w:val="18"/>
              </w:rPr>
            </w:pPr>
          </w:p>
        </w:tc>
        <w:tc>
          <w:tcPr>
            <w:tcW w:w="249" w:type="pct"/>
            <w:shd w:val="clear" w:color="auto" w:fill="D0CECE" w:themeFill="background2" w:themeFillShade="E6"/>
            <w:noWrap/>
            <w:vAlign w:val="center"/>
          </w:tcPr>
          <w:p w14:paraId="542F9A5E" w14:textId="77777777" w:rsidR="00A53EA0" w:rsidRPr="006B1E10" w:rsidRDefault="00A53EA0" w:rsidP="00A53EA0">
            <w:pPr>
              <w:rPr>
                <w:rFonts w:ascii="Calibri" w:hAnsi="Calibri"/>
                <w:color w:val="000000"/>
                <w:sz w:val="18"/>
                <w:szCs w:val="18"/>
              </w:rPr>
            </w:pPr>
          </w:p>
        </w:tc>
        <w:tc>
          <w:tcPr>
            <w:tcW w:w="249" w:type="pct"/>
            <w:shd w:val="clear" w:color="auto" w:fill="D0CECE" w:themeFill="background2" w:themeFillShade="E6"/>
            <w:vAlign w:val="center"/>
          </w:tcPr>
          <w:p w14:paraId="4141F9A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D0CECE" w:themeFill="background2" w:themeFillShade="E6"/>
            <w:noWrap/>
            <w:vAlign w:val="center"/>
          </w:tcPr>
          <w:p w14:paraId="1B13CFB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vAlign w:val="center"/>
          </w:tcPr>
          <w:p w14:paraId="62147AF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6BE4D9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DB471DB" w14:textId="77777777" w:rsidR="00A53EA0" w:rsidRPr="006B1E10" w:rsidRDefault="00A53EA0" w:rsidP="00A53EA0">
            <w:pPr>
              <w:ind w:left="708" w:hanging="708"/>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000000" w:fill="FFFFFF"/>
            <w:noWrap/>
            <w:vAlign w:val="center"/>
          </w:tcPr>
          <w:p w14:paraId="5E808EA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4</w:t>
            </w:r>
          </w:p>
        </w:tc>
        <w:tc>
          <w:tcPr>
            <w:tcW w:w="248" w:type="pct"/>
            <w:shd w:val="clear" w:color="auto" w:fill="auto"/>
            <w:noWrap/>
            <w:vAlign w:val="center"/>
          </w:tcPr>
          <w:p w14:paraId="04EDDAC4"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shd w:val="clear" w:color="auto" w:fill="auto"/>
            <w:noWrap/>
            <w:vAlign w:val="center"/>
          </w:tcPr>
          <w:p w14:paraId="33EE3DD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5C804A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5674B7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6C6008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0FD44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B4E697B"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A313912" w14:textId="77777777" w:rsidR="00A53EA0" w:rsidRPr="006B1E10" w:rsidRDefault="00A53EA0" w:rsidP="00A53EA0">
            <w:pPr>
              <w:ind w:hanging="31"/>
              <w:rPr>
                <w:rFonts w:ascii="Calibri" w:hAnsi="Calibri"/>
                <w:color w:val="000000"/>
                <w:sz w:val="18"/>
                <w:szCs w:val="18"/>
              </w:rPr>
            </w:pPr>
          </w:p>
        </w:tc>
      </w:tr>
      <w:tr w:rsidR="00A53EA0" w:rsidRPr="006B1E10" w14:paraId="7C0C9865" w14:textId="77777777" w:rsidTr="00A53EA0">
        <w:trPr>
          <w:trHeight w:val="454"/>
          <w:tblHeader/>
        </w:trPr>
        <w:tc>
          <w:tcPr>
            <w:tcW w:w="771" w:type="pct"/>
            <w:shd w:val="clear" w:color="auto" w:fill="auto"/>
            <w:noWrap/>
            <w:vAlign w:val="center"/>
          </w:tcPr>
          <w:p w14:paraId="70EFED9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bosentan</w:t>
            </w:r>
          </w:p>
        </w:tc>
        <w:tc>
          <w:tcPr>
            <w:tcW w:w="249" w:type="pct"/>
            <w:shd w:val="clear" w:color="auto" w:fill="auto"/>
            <w:noWrap/>
            <w:vAlign w:val="center"/>
          </w:tcPr>
          <w:p w14:paraId="3F7BC148" w14:textId="77777777" w:rsidR="00A53EA0" w:rsidRPr="006B1E10" w:rsidRDefault="00A53EA0" w:rsidP="00A53EA0">
            <w:pPr>
              <w:rPr>
                <w:rFonts w:ascii="Calibri" w:hAnsi="Calibri"/>
                <w:color w:val="000000"/>
                <w:sz w:val="18"/>
                <w:szCs w:val="18"/>
              </w:rPr>
            </w:pPr>
          </w:p>
        </w:tc>
        <w:tc>
          <w:tcPr>
            <w:tcW w:w="250" w:type="pct"/>
            <w:vAlign w:val="center"/>
          </w:tcPr>
          <w:p w14:paraId="09B2BCC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901CF8D" w14:textId="77777777" w:rsidR="00A53EA0" w:rsidRPr="006B1E10" w:rsidRDefault="00A53EA0" w:rsidP="00A53EA0">
            <w:pPr>
              <w:rPr>
                <w:rFonts w:ascii="Calibri" w:hAnsi="Calibri"/>
                <w:color w:val="000000"/>
                <w:sz w:val="18"/>
                <w:szCs w:val="18"/>
              </w:rPr>
            </w:pPr>
          </w:p>
        </w:tc>
        <w:tc>
          <w:tcPr>
            <w:tcW w:w="249" w:type="pct"/>
            <w:vAlign w:val="center"/>
          </w:tcPr>
          <w:p w14:paraId="45842E36"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AEDAD3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0B1B5B39"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eastAsia="en-US"/>
              </w:rPr>
              <w:t>X</w:t>
            </w:r>
            <w:r w:rsidRPr="006B1E10">
              <w:rPr>
                <w:rFonts w:ascii="Calibri" w:hAnsi="Calibri"/>
                <w:sz w:val="18"/>
                <w:szCs w:val="18"/>
                <w:lang w:eastAsia="en-US"/>
              </w:rPr>
              <w:t xml:space="preserve"> NR</w:t>
            </w:r>
            <w:r>
              <w:rPr>
                <w:rFonts w:ascii="Calibri" w:hAnsi="Calibri"/>
                <w:sz w:val="18"/>
                <w:szCs w:val="18"/>
                <w:vertAlign w:val="superscript"/>
                <w:lang w:eastAsia="en-US"/>
              </w:rPr>
              <w:t>6</w:t>
            </w:r>
          </w:p>
        </w:tc>
        <w:tc>
          <w:tcPr>
            <w:tcW w:w="249" w:type="pct"/>
            <w:shd w:val="clear" w:color="auto" w:fill="FFFFFF"/>
            <w:noWrap/>
            <w:vAlign w:val="center"/>
          </w:tcPr>
          <w:p w14:paraId="3387426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670AE85E"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28814986"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02EE585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CBF15F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B94AF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47EC29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DFBDAA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003F5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89C98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7066990" w14:textId="77777777" w:rsidR="00A53EA0" w:rsidRPr="006B1E10" w:rsidRDefault="00A53EA0" w:rsidP="00A53EA0">
            <w:pPr>
              <w:ind w:hanging="31"/>
              <w:rPr>
                <w:rFonts w:ascii="Calibri" w:hAnsi="Calibri"/>
                <w:color w:val="000000"/>
                <w:sz w:val="18"/>
                <w:szCs w:val="18"/>
              </w:rPr>
            </w:pPr>
          </w:p>
        </w:tc>
      </w:tr>
      <w:tr w:rsidR="00A53EA0" w:rsidRPr="006B1E10" w14:paraId="33F63F21" w14:textId="77777777" w:rsidTr="00A53EA0">
        <w:trPr>
          <w:trHeight w:val="454"/>
          <w:tblHeader/>
        </w:trPr>
        <w:tc>
          <w:tcPr>
            <w:tcW w:w="771" w:type="pct"/>
            <w:shd w:val="clear" w:color="auto" w:fill="auto"/>
            <w:noWrap/>
            <w:vAlign w:val="center"/>
          </w:tcPr>
          <w:p w14:paraId="0A3F47CA" w14:textId="77777777" w:rsidR="00A53EA0" w:rsidRPr="006C092A" w:rsidRDefault="00A53EA0" w:rsidP="00A53EA0">
            <w:pPr>
              <w:rPr>
                <w:rFonts w:ascii="Calibri" w:hAnsi="Calibri"/>
                <w:color w:val="000000"/>
                <w:sz w:val="18"/>
                <w:szCs w:val="18"/>
                <w:highlight w:val="yellow"/>
              </w:rPr>
            </w:pPr>
            <w:r w:rsidRPr="006C092A">
              <w:rPr>
                <w:sz w:val="18"/>
                <w:szCs w:val="18"/>
                <w:highlight w:val="yellow"/>
              </w:rPr>
              <w:br w:type="page"/>
            </w:r>
            <w:r w:rsidRPr="006C092A">
              <w:rPr>
                <w:rFonts w:ascii="Calibri" w:hAnsi="Calibri"/>
                <w:color w:val="000000"/>
                <w:sz w:val="18"/>
                <w:szCs w:val="18"/>
                <w:highlight w:val="yellow"/>
              </w:rPr>
              <w:t>bosutinib</w:t>
            </w:r>
          </w:p>
        </w:tc>
        <w:tc>
          <w:tcPr>
            <w:tcW w:w="249" w:type="pct"/>
            <w:shd w:val="clear" w:color="auto" w:fill="auto"/>
            <w:noWrap/>
            <w:vAlign w:val="center"/>
          </w:tcPr>
          <w:p w14:paraId="38B1D5D8" w14:textId="77777777" w:rsidR="00A53EA0" w:rsidRPr="006C092A" w:rsidRDefault="00A53EA0" w:rsidP="00A53EA0">
            <w:pPr>
              <w:rPr>
                <w:rFonts w:ascii="Calibri" w:hAnsi="Calibri"/>
                <w:color w:val="000000"/>
                <w:sz w:val="18"/>
                <w:szCs w:val="18"/>
                <w:highlight w:val="yellow"/>
              </w:rPr>
            </w:pPr>
          </w:p>
        </w:tc>
        <w:tc>
          <w:tcPr>
            <w:tcW w:w="250" w:type="pct"/>
            <w:vAlign w:val="center"/>
          </w:tcPr>
          <w:p w14:paraId="1965818F" w14:textId="77777777" w:rsidR="00A53EA0" w:rsidRPr="006C092A" w:rsidRDefault="00A53EA0" w:rsidP="00A53EA0">
            <w:pPr>
              <w:rPr>
                <w:rFonts w:ascii="Calibri" w:hAnsi="Calibri"/>
                <w:color w:val="000000"/>
                <w:sz w:val="18"/>
                <w:szCs w:val="18"/>
                <w:highlight w:val="yellow"/>
              </w:rPr>
            </w:pPr>
          </w:p>
        </w:tc>
        <w:tc>
          <w:tcPr>
            <w:tcW w:w="249" w:type="pct"/>
            <w:shd w:val="clear" w:color="auto" w:fill="auto"/>
            <w:noWrap/>
            <w:vAlign w:val="center"/>
          </w:tcPr>
          <w:p w14:paraId="6628065E" w14:textId="77777777" w:rsidR="00A53EA0" w:rsidRPr="006C092A" w:rsidRDefault="00A53EA0" w:rsidP="00A53EA0">
            <w:pPr>
              <w:rPr>
                <w:rFonts w:ascii="Calibri" w:hAnsi="Calibri"/>
                <w:color w:val="000000"/>
                <w:sz w:val="18"/>
                <w:szCs w:val="18"/>
                <w:highlight w:val="yellow"/>
              </w:rPr>
            </w:pPr>
          </w:p>
        </w:tc>
        <w:tc>
          <w:tcPr>
            <w:tcW w:w="249" w:type="pct"/>
            <w:vAlign w:val="center"/>
          </w:tcPr>
          <w:p w14:paraId="28891F90" w14:textId="77777777" w:rsidR="00A53EA0" w:rsidRPr="006C092A" w:rsidRDefault="00A53EA0" w:rsidP="00A53EA0">
            <w:pPr>
              <w:rPr>
                <w:rFonts w:ascii="Calibri" w:hAnsi="Calibri"/>
                <w:color w:val="FF0000"/>
                <w:sz w:val="18"/>
                <w:szCs w:val="18"/>
                <w:highlight w:val="yellow"/>
                <w:lang w:val="en-US" w:eastAsia="en-US"/>
              </w:rPr>
            </w:pPr>
          </w:p>
        </w:tc>
        <w:tc>
          <w:tcPr>
            <w:tcW w:w="249" w:type="pct"/>
            <w:shd w:val="clear" w:color="auto" w:fill="FFFFFF"/>
            <w:noWrap/>
            <w:vAlign w:val="center"/>
          </w:tcPr>
          <w:p w14:paraId="2F8CA1DE" w14:textId="77777777" w:rsidR="00A53EA0" w:rsidRPr="006C092A" w:rsidRDefault="00A53EA0" w:rsidP="00A53EA0">
            <w:pPr>
              <w:rPr>
                <w:rFonts w:ascii="Calibri" w:hAnsi="Calibri"/>
                <w:color w:val="FF0000"/>
                <w:sz w:val="18"/>
                <w:szCs w:val="18"/>
                <w:highlight w:val="yellow"/>
                <w:lang w:val="en-US" w:eastAsia="en-US"/>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9" w:type="pct"/>
            <w:vAlign w:val="center"/>
          </w:tcPr>
          <w:p w14:paraId="412A9139" w14:textId="77777777" w:rsidR="00A53EA0" w:rsidRPr="006C092A" w:rsidRDefault="00A53EA0" w:rsidP="00A53EA0">
            <w:pPr>
              <w:rPr>
                <w:rFonts w:ascii="Calibri" w:hAnsi="Calibri"/>
                <w:color w:val="000000"/>
                <w:sz w:val="18"/>
                <w:szCs w:val="18"/>
                <w:highlight w:val="yellow"/>
              </w:rPr>
            </w:pPr>
          </w:p>
        </w:tc>
        <w:tc>
          <w:tcPr>
            <w:tcW w:w="249" w:type="pct"/>
            <w:shd w:val="clear" w:color="auto" w:fill="auto"/>
            <w:noWrap/>
            <w:vAlign w:val="center"/>
          </w:tcPr>
          <w:p w14:paraId="19120DCD" w14:textId="77777777" w:rsidR="00A53EA0" w:rsidRPr="006C092A" w:rsidRDefault="00A53EA0" w:rsidP="00A53EA0">
            <w:pPr>
              <w:rPr>
                <w:rFonts w:ascii="Calibri" w:hAnsi="Calibri"/>
                <w:color w:val="000000"/>
                <w:sz w:val="18"/>
                <w:szCs w:val="18"/>
                <w:highlight w:val="yellow"/>
              </w:rPr>
            </w:pPr>
          </w:p>
        </w:tc>
        <w:tc>
          <w:tcPr>
            <w:tcW w:w="249" w:type="pct"/>
            <w:shd w:val="clear" w:color="auto" w:fill="auto"/>
            <w:noWrap/>
            <w:vAlign w:val="center"/>
          </w:tcPr>
          <w:p w14:paraId="64A83FFF" w14:textId="77777777" w:rsidR="00A53EA0" w:rsidRPr="006C092A" w:rsidRDefault="00A53EA0" w:rsidP="00A53EA0">
            <w:pPr>
              <w:rPr>
                <w:sz w:val="18"/>
                <w:szCs w:val="18"/>
                <w:highlight w:val="yellow"/>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9" w:type="pct"/>
            <w:shd w:val="clear" w:color="auto" w:fill="auto"/>
            <w:noWrap/>
            <w:vAlign w:val="center"/>
          </w:tcPr>
          <w:p w14:paraId="25AC0144" w14:textId="77777777" w:rsidR="00A53EA0" w:rsidRPr="006C092A" w:rsidRDefault="00A53EA0" w:rsidP="00A53EA0">
            <w:pPr>
              <w:rPr>
                <w:sz w:val="18"/>
                <w:szCs w:val="18"/>
                <w:highlight w:val="yellow"/>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8" w:type="pct"/>
            <w:shd w:val="clear" w:color="auto" w:fill="FFFFFF"/>
            <w:noWrap/>
            <w:vAlign w:val="center"/>
          </w:tcPr>
          <w:p w14:paraId="52B94932" w14:textId="77777777" w:rsidR="00A53EA0" w:rsidRPr="006C092A" w:rsidRDefault="00A53EA0" w:rsidP="00A53EA0">
            <w:pPr>
              <w:rPr>
                <w:sz w:val="18"/>
                <w:szCs w:val="18"/>
                <w:highlight w:val="yellow"/>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9" w:type="pct"/>
            <w:shd w:val="clear" w:color="auto" w:fill="FFFFFF"/>
            <w:noWrap/>
            <w:vAlign w:val="center"/>
          </w:tcPr>
          <w:p w14:paraId="2939E58C" w14:textId="77777777" w:rsidR="00A53EA0" w:rsidRPr="006C092A" w:rsidRDefault="00A53EA0" w:rsidP="00A53EA0">
            <w:pPr>
              <w:rPr>
                <w:sz w:val="18"/>
                <w:szCs w:val="18"/>
                <w:highlight w:val="yellow"/>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9" w:type="pct"/>
            <w:shd w:val="clear" w:color="auto" w:fill="FFFFFF"/>
            <w:noWrap/>
            <w:vAlign w:val="center"/>
          </w:tcPr>
          <w:p w14:paraId="2D27F24B" w14:textId="77777777" w:rsidR="00A53EA0" w:rsidRPr="006C092A" w:rsidRDefault="00A53EA0" w:rsidP="00A53EA0">
            <w:pPr>
              <w:rPr>
                <w:sz w:val="18"/>
                <w:szCs w:val="18"/>
                <w:highlight w:val="yellow"/>
              </w:rPr>
            </w:pPr>
            <w:r w:rsidRPr="006C092A">
              <w:rPr>
                <w:rFonts w:ascii="Calibri" w:hAnsi="Calibri"/>
                <w:color w:val="FF0000"/>
                <w:sz w:val="18"/>
                <w:szCs w:val="18"/>
                <w:highlight w:val="yellow"/>
                <w:lang w:val="en-US" w:eastAsia="en-US"/>
              </w:rPr>
              <w:t xml:space="preserve">X </w:t>
            </w:r>
            <w:r w:rsidRPr="006C092A">
              <w:rPr>
                <w:rFonts w:ascii="Calibri" w:hAnsi="Calibri"/>
                <w:sz w:val="18"/>
                <w:szCs w:val="18"/>
                <w:highlight w:val="yellow"/>
                <w:lang w:val="en-US" w:eastAsia="en-US"/>
              </w:rPr>
              <w:t>NR</w:t>
            </w:r>
            <w:r w:rsidRPr="006C092A">
              <w:rPr>
                <w:rFonts w:ascii="Calibri" w:hAnsi="Calibri"/>
                <w:sz w:val="18"/>
                <w:szCs w:val="18"/>
                <w:highlight w:val="yellow"/>
                <w:vertAlign w:val="superscript"/>
                <w:lang w:val="en-US" w:eastAsia="en-US"/>
              </w:rPr>
              <w:t>7</w:t>
            </w:r>
          </w:p>
        </w:tc>
        <w:tc>
          <w:tcPr>
            <w:tcW w:w="249" w:type="pct"/>
            <w:shd w:val="clear" w:color="auto" w:fill="auto"/>
            <w:noWrap/>
            <w:vAlign w:val="center"/>
          </w:tcPr>
          <w:p w14:paraId="7086F731" w14:textId="77777777" w:rsidR="00A53EA0" w:rsidRPr="006C092A" w:rsidRDefault="00A53EA0" w:rsidP="00A53EA0">
            <w:pPr>
              <w:rPr>
                <w:rFonts w:ascii="Calibri" w:hAnsi="Calibri"/>
                <w:color w:val="000000"/>
                <w:sz w:val="18"/>
                <w:szCs w:val="18"/>
                <w:highlight w:val="yellow"/>
              </w:rPr>
            </w:pPr>
          </w:p>
        </w:tc>
        <w:tc>
          <w:tcPr>
            <w:tcW w:w="249" w:type="pct"/>
            <w:shd w:val="clear" w:color="auto" w:fill="auto"/>
            <w:noWrap/>
            <w:vAlign w:val="center"/>
          </w:tcPr>
          <w:p w14:paraId="04C60BB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BD0BB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B77D602"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F59D2BB" w14:textId="77777777" w:rsidR="00A53EA0" w:rsidRPr="006B1E10" w:rsidRDefault="00A53EA0" w:rsidP="00A53EA0">
            <w:pPr>
              <w:rPr>
                <w:rFonts w:ascii="Calibri" w:hAnsi="Calibri"/>
                <w:color w:val="000000"/>
                <w:sz w:val="18"/>
                <w:szCs w:val="18"/>
              </w:rPr>
            </w:pPr>
          </w:p>
        </w:tc>
      </w:tr>
      <w:tr w:rsidR="00A53EA0" w:rsidRPr="006B1E10" w14:paraId="59BEB840" w14:textId="77777777" w:rsidTr="00A53EA0">
        <w:trPr>
          <w:trHeight w:val="454"/>
          <w:tblHeader/>
        </w:trPr>
        <w:tc>
          <w:tcPr>
            <w:tcW w:w="771" w:type="pct"/>
            <w:shd w:val="clear" w:color="auto" w:fill="auto"/>
            <w:noWrap/>
            <w:vAlign w:val="center"/>
          </w:tcPr>
          <w:p w14:paraId="08E09D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budesonida</w:t>
            </w:r>
          </w:p>
        </w:tc>
        <w:tc>
          <w:tcPr>
            <w:tcW w:w="249" w:type="pct"/>
            <w:shd w:val="clear" w:color="auto" w:fill="auto"/>
            <w:noWrap/>
            <w:vAlign w:val="center"/>
          </w:tcPr>
          <w:p w14:paraId="2C106A2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CC6064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3EAD78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35A85A6"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2C5E89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vAlign w:val="center"/>
          </w:tcPr>
          <w:p w14:paraId="3D7937B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5BEE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7D2ED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1FB75D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8</w:t>
            </w:r>
          </w:p>
        </w:tc>
        <w:tc>
          <w:tcPr>
            <w:tcW w:w="248" w:type="pct"/>
            <w:shd w:val="clear" w:color="auto" w:fill="FFFFFF"/>
            <w:noWrap/>
            <w:vAlign w:val="center"/>
          </w:tcPr>
          <w:p w14:paraId="36E5D64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FFFFFF"/>
            <w:noWrap/>
            <w:vAlign w:val="center"/>
          </w:tcPr>
          <w:p w14:paraId="2A59918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8</w:t>
            </w:r>
          </w:p>
        </w:tc>
        <w:tc>
          <w:tcPr>
            <w:tcW w:w="249" w:type="pct"/>
            <w:shd w:val="clear" w:color="auto" w:fill="FFFFFF"/>
            <w:noWrap/>
            <w:vAlign w:val="center"/>
          </w:tcPr>
          <w:p w14:paraId="49316D1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0833054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85DC9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107745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606DC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0409C7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B07DBD8" w14:textId="77777777" w:rsidTr="00A53EA0">
        <w:trPr>
          <w:trHeight w:val="454"/>
          <w:tblHeader/>
        </w:trPr>
        <w:tc>
          <w:tcPr>
            <w:tcW w:w="771" w:type="pct"/>
            <w:shd w:val="clear" w:color="auto" w:fill="auto"/>
            <w:noWrap/>
            <w:vAlign w:val="center"/>
          </w:tcPr>
          <w:p w14:paraId="04AF4C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highlight w:val="yellow"/>
              </w:rPr>
              <w:t>cabozantinib</w:t>
            </w:r>
          </w:p>
        </w:tc>
        <w:tc>
          <w:tcPr>
            <w:tcW w:w="249" w:type="pct"/>
            <w:shd w:val="clear" w:color="auto" w:fill="auto"/>
            <w:noWrap/>
            <w:vAlign w:val="center"/>
          </w:tcPr>
          <w:p w14:paraId="540C8398" w14:textId="77777777" w:rsidR="00A53EA0" w:rsidRPr="006B1E10" w:rsidRDefault="00A53EA0" w:rsidP="00A53EA0">
            <w:pPr>
              <w:rPr>
                <w:rFonts w:ascii="Calibri" w:hAnsi="Calibri"/>
                <w:color w:val="FF0000"/>
                <w:sz w:val="18"/>
                <w:szCs w:val="18"/>
                <w:lang w:val="en-US" w:eastAsia="en-US"/>
              </w:rPr>
            </w:pPr>
          </w:p>
        </w:tc>
        <w:tc>
          <w:tcPr>
            <w:tcW w:w="250" w:type="pct"/>
            <w:vAlign w:val="center"/>
          </w:tcPr>
          <w:p w14:paraId="7F214A56"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3B2DC991" w14:textId="77777777" w:rsidR="00A53EA0" w:rsidRPr="006B1E10" w:rsidRDefault="00A53EA0" w:rsidP="00A53EA0">
            <w:pPr>
              <w:rPr>
                <w:rFonts w:ascii="Calibri" w:hAnsi="Calibri"/>
                <w:color w:val="000000"/>
                <w:sz w:val="18"/>
                <w:szCs w:val="18"/>
              </w:rPr>
            </w:pPr>
          </w:p>
        </w:tc>
        <w:tc>
          <w:tcPr>
            <w:tcW w:w="249" w:type="pct"/>
            <w:vAlign w:val="center"/>
          </w:tcPr>
          <w:p w14:paraId="669A911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2BE3D1C" w14:textId="77777777" w:rsidR="00A53EA0" w:rsidRPr="00EE66A2" w:rsidRDefault="00A53EA0" w:rsidP="00A53EA0">
            <w:pPr>
              <w:rPr>
                <w:rFonts w:ascii="Calibri" w:hAnsi="Calibri"/>
                <w:sz w:val="18"/>
                <w:szCs w:val="18"/>
                <w:lang w:val="en-US" w:eastAsia="en-US"/>
              </w:rPr>
            </w:pPr>
            <w:r w:rsidRPr="00EE66A2">
              <w:rPr>
                <w:rFonts w:ascii="Calibri" w:hAnsi="Calibri"/>
                <w:sz w:val="18"/>
                <w:szCs w:val="18"/>
                <w:lang w:val="en-US" w:eastAsia="en-US"/>
              </w:rPr>
              <w:sym w:font="Symbol" w:char="F0AD"/>
            </w:r>
            <w:r w:rsidRPr="00EE66A2">
              <w:rPr>
                <w:rFonts w:ascii="Calibri" w:hAnsi="Calibri"/>
                <w:sz w:val="18"/>
                <w:szCs w:val="18"/>
                <w:lang w:val="en-US" w:eastAsia="en-US"/>
              </w:rPr>
              <w:t xml:space="preserve"> FCO</w:t>
            </w:r>
            <w:r w:rsidRPr="00EE66A2">
              <w:rPr>
                <w:rFonts w:ascii="Calibri" w:hAnsi="Calibri"/>
                <w:sz w:val="18"/>
                <w:szCs w:val="18"/>
                <w:vertAlign w:val="superscript"/>
                <w:lang w:val="en-US" w:eastAsia="en-US"/>
              </w:rPr>
              <w:t>43</w:t>
            </w:r>
          </w:p>
        </w:tc>
        <w:tc>
          <w:tcPr>
            <w:tcW w:w="249" w:type="pct"/>
            <w:shd w:val="clear" w:color="auto" w:fill="FFFFFF"/>
            <w:vAlign w:val="center"/>
          </w:tcPr>
          <w:p w14:paraId="673B35C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658A4477" w14:textId="77777777" w:rsidR="00A53EA0" w:rsidRPr="00EE66A2" w:rsidRDefault="00A53EA0" w:rsidP="00A53EA0">
            <w:pPr>
              <w:rPr>
                <w:rFonts w:ascii="Calibri" w:hAnsi="Calibri"/>
                <w:sz w:val="18"/>
                <w:szCs w:val="18"/>
                <w:lang w:val="en-US" w:eastAsia="en-US"/>
              </w:rPr>
            </w:pPr>
            <w:r w:rsidRPr="00EE66A2">
              <w:rPr>
                <w:rFonts w:ascii="Calibri" w:hAnsi="Calibri"/>
                <w:sz w:val="18"/>
                <w:szCs w:val="18"/>
                <w:lang w:val="en-US" w:eastAsia="en-US"/>
              </w:rPr>
              <w:sym w:font="Symbol" w:char="F0AD"/>
            </w:r>
            <w:r>
              <w:rPr>
                <w:rFonts w:ascii="Calibri" w:hAnsi="Calibri"/>
                <w:sz w:val="18"/>
                <w:szCs w:val="18"/>
                <w:lang w:val="en-US" w:eastAsia="en-US"/>
              </w:rPr>
              <w:t>TOX</w:t>
            </w:r>
            <w:r w:rsidRPr="00EE66A2">
              <w:rPr>
                <w:rFonts w:ascii="Calibri" w:hAnsi="Calibri"/>
                <w:sz w:val="18"/>
                <w:szCs w:val="18"/>
                <w:vertAlign w:val="superscript"/>
                <w:lang w:val="en-US" w:eastAsia="en-US"/>
              </w:rPr>
              <w:t>17</w:t>
            </w:r>
          </w:p>
        </w:tc>
        <w:tc>
          <w:tcPr>
            <w:tcW w:w="249" w:type="pct"/>
            <w:shd w:val="clear" w:color="000000" w:fill="auto"/>
            <w:noWrap/>
            <w:vAlign w:val="center"/>
          </w:tcPr>
          <w:p w14:paraId="04718624" w14:textId="77777777" w:rsidR="00A53EA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EE66A2">
              <w:rPr>
                <w:rFonts w:ascii="Calibri" w:hAnsi="Calibri"/>
                <w:sz w:val="18"/>
                <w:szCs w:val="18"/>
                <w:lang w:val="en-US" w:eastAsia="en-US"/>
              </w:rPr>
              <w:sym w:font="Symbol" w:char="F0AD"/>
            </w:r>
          </w:p>
          <w:p w14:paraId="1233BEB1"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t>FCO</w:t>
            </w:r>
            <w:r w:rsidRPr="00EE66A2">
              <w:rPr>
                <w:rFonts w:ascii="Calibri" w:hAnsi="Calibri"/>
                <w:sz w:val="18"/>
                <w:szCs w:val="18"/>
                <w:vertAlign w:val="superscript"/>
                <w:lang w:val="en-US" w:eastAsia="en-US"/>
              </w:rPr>
              <w:t>42</w:t>
            </w:r>
          </w:p>
        </w:tc>
        <w:tc>
          <w:tcPr>
            <w:tcW w:w="249" w:type="pct"/>
            <w:shd w:val="clear" w:color="auto" w:fill="FFFFFF"/>
            <w:noWrap/>
            <w:vAlign w:val="center"/>
          </w:tcPr>
          <w:p w14:paraId="662734D6" w14:textId="77777777" w:rsidR="00A53EA0" w:rsidRPr="006B1E10" w:rsidRDefault="00A53EA0" w:rsidP="00A53EA0">
            <w:pPr>
              <w:rPr>
                <w:rFonts w:ascii="Calibri" w:hAnsi="Calibri"/>
                <w:color w:val="000000"/>
                <w:sz w:val="18"/>
                <w:szCs w:val="18"/>
              </w:rPr>
            </w:pPr>
            <w:r w:rsidRPr="00EE66A2">
              <w:rPr>
                <w:rFonts w:ascii="Calibri" w:hAnsi="Calibri"/>
                <w:color w:val="000000"/>
                <w:sz w:val="18"/>
                <w:szCs w:val="18"/>
                <w:lang w:val="en-US"/>
              </w:rPr>
              <w:sym w:font="Symbol" w:char="F0AD"/>
            </w:r>
            <w:r w:rsidRPr="00EE66A2">
              <w:rPr>
                <w:rFonts w:ascii="Calibri" w:hAnsi="Calibri"/>
                <w:color w:val="000000"/>
                <w:sz w:val="18"/>
                <w:szCs w:val="18"/>
                <w:lang w:val="en-US"/>
              </w:rPr>
              <w:t xml:space="preserve"> FCO</w:t>
            </w:r>
            <w:r w:rsidRPr="00EE66A2">
              <w:rPr>
                <w:rFonts w:ascii="Calibri" w:hAnsi="Calibri"/>
                <w:color w:val="000000"/>
                <w:sz w:val="18"/>
                <w:szCs w:val="18"/>
                <w:vertAlign w:val="superscript"/>
                <w:lang w:val="en-US"/>
              </w:rPr>
              <w:t xml:space="preserve"> </w:t>
            </w:r>
            <w:r>
              <w:rPr>
                <w:rFonts w:ascii="Calibri" w:hAnsi="Calibri"/>
                <w:color w:val="000000"/>
                <w:sz w:val="18"/>
                <w:szCs w:val="18"/>
                <w:vertAlign w:val="superscript"/>
                <w:lang w:val="en-US"/>
              </w:rPr>
              <w:t>43,</w:t>
            </w:r>
            <w:r w:rsidRPr="00EE66A2">
              <w:rPr>
                <w:rFonts w:ascii="Calibri" w:hAnsi="Calibri"/>
                <w:color w:val="000000"/>
                <w:sz w:val="18"/>
                <w:szCs w:val="18"/>
                <w:vertAlign w:val="superscript"/>
                <w:lang w:val="en-US"/>
              </w:rPr>
              <w:t>17</w:t>
            </w:r>
          </w:p>
        </w:tc>
        <w:tc>
          <w:tcPr>
            <w:tcW w:w="248" w:type="pct"/>
            <w:shd w:val="clear" w:color="auto" w:fill="FFFFFF"/>
            <w:noWrap/>
            <w:vAlign w:val="center"/>
          </w:tcPr>
          <w:p w14:paraId="0922D9DA" w14:textId="77777777" w:rsidR="00A53EA0" w:rsidRDefault="00A53EA0" w:rsidP="00A53EA0">
            <w:pPr>
              <w:rPr>
                <w:rFonts w:ascii="Calibri" w:hAnsi="Calibri"/>
                <w:color w:val="000000"/>
                <w:sz w:val="18"/>
                <w:szCs w:val="18"/>
                <w:lang w:val="en-US"/>
              </w:rPr>
            </w:pPr>
            <w:r w:rsidRPr="00EE66A2">
              <w:rPr>
                <w:rFonts w:ascii="Calibri" w:hAnsi="Calibri"/>
                <w:color w:val="000000"/>
                <w:sz w:val="18"/>
                <w:szCs w:val="18"/>
                <w:lang w:val="en-US"/>
              </w:rPr>
              <w:sym w:font="Symbol" w:char="F0AD"/>
            </w:r>
            <w:r>
              <w:rPr>
                <w:rFonts w:ascii="Calibri" w:hAnsi="Calibri"/>
                <w:color w:val="000000"/>
                <w:sz w:val="18"/>
                <w:szCs w:val="18"/>
                <w:lang w:val="en-US"/>
              </w:rPr>
              <w:t>FCO</w:t>
            </w:r>
          </w:p>
          <w:p w14:paraId="190C2716" w14:textId="77777777" w:rsidR="00A53EA0" w:rsidRPr="006B1E10" w:rsidRDefault="00A53EA0" w:rsidP="00A53EA0">
            <w:pPr>
              <w:rPr>
                <w:rFonts w:ascii="Calibri" w:hAnsi="Calibri"/>
                <w:color w:val="000000"/>
                <w:sz w:val="18"/>
                <w:szCs w:val="18"/>
              </w:rPr>
            </w:pPr>
            <w:r w:rsidRPr="00EE66A2">
              <w:rPr>
                <w:rFonts w:ascii="Calibri" w:hAnsi="Calibri"/>
                <w:color w:val="000000"/>
                <w:sz w:val="18"/>
                <w:szCs w:val="18"/>
                <w:vertAlign w:val="superscript"/>
                <w:lang w:val="en-US"/>
              </w:rPr>
              <w:t>43,17</w:t>
            </w:r>
          </w:p>
        </w:tc>
        <w:tc>
          <w:tcPr>
            <w:tcW w:w="249" w:type="pct"/>
            <w:shd w:val="clear" w:color="auto" w:fill="auto"/>
            <w:noWrap/>
            <w:vAlign w:val="center"/>
          </w:tcPr>
          <w:p w14:paraId="024434E3" w14:textId="77777777" w:rsidR="00A53EA0" w:rsidRPr="006B1E10" w:rsidRDefault="00A53EA0" w:rsidP="00A53EA0">
            <w:pPr>
              <w:rPr>
                <w:rFonts w:ascii="Calibri" w:hAnsi="Calibri"/>
                <w:color w:val="000000"/>
                <w:sz w:val="18"/>
                <w:szCs w:val="18"/>
              </w:rPr>
            </w:pPr>
            <w:r w:rsidRPr="00EE66A2">
              <w:rPr>
                <w:rFonts w:ascii="Calibri" w:hAnsi="Calibri"/>
                <w:color w:val="000000"/>
                <w:sz w:val="18"/>
                <w:szCs w:val="18"/>
                <w:lang w:val="en-US"/>
              </w:rPr>
              <w:sym w:font="Symbol" w:char="F0AD"/>
            </w:r>
            <w:r w:rsidRPr="00EE66A2">
              <w:rPr>
                <w:rFonts w:ascii="Calibri" w:hAnsi="Calibri"/>
                <w:color w:val="000000"/>
                <w:sz w:val="18"/>
                <w:szCs w:val="18"/>
                <w:lang w:val="en-US"/>
              </w:rPr>
              <w:t xml:space="preserve"> FCO</w:t>
            </w:r>
            <w:r w:rsidRPr="00EE66A2">
              <w:rPr>
                <w:rFonts w:ascii="Calibri" w:hAnsi="Calibri"/>
                <w:color w:val="000000"/>
                <w:sz w:val="18"/>
                <w:szCs w:val="18"/>
                <w:vertAlign w:val="superscript"/>
                <w:lang w:val="en-US"/>
              </w:rPr>
              <w:t>43</w:t>
            </w:r>
          </w:p>
        </w:tc>
        <w:tc>
          <w:tcPr>
            <w:tcW w:w="249" w:type="pct"/>
            <w:shd w:val="clear" w:color="auto" w:fill="FFFFFF"/>
            <w:noWrap/>
            <w:vAlign w:val="center"/>
          </w:tcPr>
          <w:p w14:paraId="0DAD9D4B" w14:textId="77777777" w:rsidR="00A53EA0" w:rsidRPr="006B1E10" w:rsidRDefault="00A53EA0" w:rsidP="00A53EA0">
            <w:pPr>
              <w:rPr>
                <w:rFonts w:ascii="Calibri" w:hAnsi="Calibri"/>
                <w:color w:val="000000"/>
                <w:sz w:val="18"/>
                <w:szCs w:val="18"/>
              </w:rPr>
            </w:pPr>
            <w:r w:rsidRPr="00EE66A2">
              <w:rPr>
                <w:rFonts w:ascii="Calibri" w:hAnsi="Calibri"/>
                <w:color w:val="000000"/>
                <w:sz w:val="18"/>
                <w:szCs w:val="18"/>
                <w:lang w:val="en-US"/>
              </w:rPr>
              <w:sym w:font="Symbol" w:char="F0AD"/>
            </w:r>
            <w:r w:rsidRPr="00EE66A2">
              <w:rPr>
                <w:rFonts w:ascii="Calibri" w:hAnsi="Calibri"/>
                <w:color w:val="000000"/>
                <w:sz w:val="18"/>
                <w:szCs w:val="18"/>
                <w:lang w:val="en-US"/>
              </w:rPr>
              <w:t xml:space="preserve"> FCO</w:t>
            </w:r>
            <w:r w:rsidRPr="00EE66A2">
              <w:rPr>
                <w:rFonts w:ascii="Calibri" w:hAnsi="Calibri"/>
                <w:color w:val="000000"/>
                <w:sz w:val="18"/>
                <w:szCs w:val="18"/>
                <w:vertAlign w:val="superscript"/>
                <w:lang w:val="en-US"/>
              </w:rPr>
              <w:t>43</w:t>
            </w:r>
          </w:p>
        </w:tc>
        <w:tc>
          <w:tcPr>
            <w:tcW w:w="249" w:type="pct"/>
            <w:shd w:val="clear" w:color="auto" w:fill="auto"/>
            <w:noWrap/>
            <w:vAlign w:val="center"/>
          </w:tcPr>
          <w:p w14:paraId="5877FBE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07732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D8AB4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2EB686" w14:textId="77777777" w:rsidR="00A53EA0" w:rsidRPr="006B1E10" w:rsidRDefault="00A53EA0" w:rsidP="00A53EA0">
            <w:pPr>
              <w:rPr>
                <w:rFonts w:ascii="Calibri" w:hAnsi="Calibri"/>
                <w:color w:val="000000"/>
                <w:sz w:val="18"/>
                <w:szCs w:val="18"/>
              </w:rPr>
            </w:pPr>
          </w:p>
        </w:tc>
        <w:tc>
          <w:tcPr>
            <w:tcW w:w="245" w:type="pct"/>
            <w:shd w:val="clear" w:color="auto" w:fill="FFFFFF"/>
            <w:noWrap/>
            <w:vAlign w:val="center"/>
          </w:tcPr>
          <w:p w14:paraId="401D31AF" w14:textId="77777777" w:rsidR="00A53EA0" w:rsidRPr="006B1E10" w:rsidRDefault="00A53EA0" w:rsidP="00A53EA0">
            <w:pPr>
              <w:rPr>
                <w:rFonts w:ascii="Calibri" w:hAnsi="Calibri"/>
                <w:color w:val="FF0000"/>
                <w:sz w:val="18"/>
                <w:szCs w:val="18"/>
                <w:lang w:val="en-US" w:eastAsia="en-US"/>
              </w:rPr>
            </w:pPr>
          </w:p>
        </w:tc>
      </w:tr>
      <w:tr w:rsidR="00A53EA0" w:rsidRPr="006B1E10" w14:paraId="0C3D0743" w14:textId="77777777" w:rsidTr="00A53EA0">
        <w:trPr>
          <w:trHeight w:val="454"/>
          <w:tblHeader/>
        </w:trPr>
        <w:tc>
          <w:tcPr>
            <w:tcW w:w="771" w:type="pct"/>
            <w:shd w:val="clear" w:color="auto" w:fill="auto"/>
            <w:noWrap/>
            <w:vAlign w:val="center"/>
          </w:tcPr>
          <w:p w14:paraId="3789BC1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carbamacepina</w:t>
            </w:r>
          </w:p>
        </w:tc>
        <w:tc>
          <w:tcPr>
            <w:tcW w:w="249" w:type="pct"/>
            <w:shd w:val="clear" w:color="auto" w:fill="auto"/>
            <w:noWrap/>
            <w:vAlign w:val="center"/>
          </w:tcPr>
          <w:p w14:paraId="3A00C6C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9</w:t>
            </w:r>
          </w:p>
        </w:tc>
        <w:tc>
          <w:tcPr>
            <w:tcW w:w="250" w:type="pct"/>
            <w:vAlign w:val="center"/>
          </w:tcPr>
          <w:p w14:paraId="4AD6514D" w14:textId="77777777" w:rsidR="00A53EA0" w:rsidRPr="006B1E10" w:rsidRDefault="00A53EA0" w:rsidP="00A53EA0">
            <w:pPr>
              <w:rPr>
                <w:rFonts w:ascii="Calibri" w:hAnsi="Calibri"/>
                <w:color w:val="FF0000"/>
                <w:sz w:val="18"/>
                <w:szCs w:val="18"/>
                <w:lang w:val="en-US" w:eastAsia="en-US"/>
              </w:rPr>
            </w:pPr>
          </w:p>
          <w:p w14:paraId="1AF9D9B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E229DD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10E492E" w14:textId="77777777" w:rsidR="00A53EA0" w:rsidRPr="006B1E10" w:rsidRDefault="00A53EA0" w:rsidP="00A53EA0">
            <w:pPr>
              <w:rPr>
                <w:rFonts w:ascii="Calibri" w:hAnsi="Calibri"/>
                <w:color w:val="FF0000"/>
                <w:sz w:val="18"/>
                <w:szCs w:val="18"/>
                <w:lang w:val="en-US" w:eastAsia="en-US"/>
              </w:rPr>
            </w:pPr>
          </w:p>
          <w:p w14:paraId="6C1A17CA"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400F956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30E41F96"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 X </w:t>
            </w:r>
            <w:r w:rsidRPr="006B1E10">
              <w:rPr>
                <w:rFonts w:ascii="Calibri" w:hAnsi="Calibri"/>
                <w:sz w:val="18"/>
                <w:szCs w:val="18"/>
                <w:lang w:val="en-US" w:eastAsia="en-US"/>
              </w:rPr>
              <w:t>C</w:t>
            </w:r>
          </w:p>
        </w:tc>
        <w:tc>
          <w:tcPr>
            <w:tcW w:w="249" w:type="pct"/>
            <w:shd w:val="clear" w:color="auto" w:fill="FFFFFF"/>
            <w:noWrap/>
            <w:vAlign w:val="center"/>
          </w:tcPr>
          <w:p w14:paraId="3A9C7EA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20B4B41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FFFFFF"/>
            <w:noWrap/>
            <w:vAlign w:val="center"/>
          </w:tcPr>
          <w:p w14:paraId="4F6E099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FFFFFF"/>
            <w:noWrap/>
            <w:vAlign w:val="center"/>
          </w:tcPr>
          <w:p w14:paraId="4B72858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37A45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4D07E7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4D90ECB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BD696A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25F556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E5BE8C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FFFFFF"/>
            <w:noWrap/>
            <w:vAlign w:val="center"/>
          </w:tcPr>
          <w:p w14:paraId="46FDA8A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0D22D72E" w14:textId="77777777" w:rsidTr="00A53EA0">
        <w:trPr>
          <w:trHeight w:val="454"/>
          <w:tblHeader/>
        </w:trPr>
        <w:tc>
          <w:tcPr>
            <w:tcW w:w="771" w:type="pct"/>
            <w:shd w:val="clear" w:color="auto" w:fill="auto"/>
            <w:noWrap/>
            <w:vAlign w:val="center"/>
          </w:tcPr>
          <w:p w14:paraId="1C4C45F9"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carbón activo</w:t>
            </w:r>
          </w:p>
        </w:tc>
        <w:tc>
          <w:tcPr>
            <w:tcW w:w="249" w:type="pct"/>
            <w:shd w:val="clear" w:color="auto" w:fill="auto"/>
            <w:noWrap/>
            <w:vAlign w:val="center"/>
          </w:tcPr>
          <w:p w14:paraId="35251083" w14:textId="77777777" w:rsidR="00A53EA0" w:rsidRPr="006B1E10" w:rsidRDefault="00A53EA0" w:rsidP="00A53EA0">
            <w:pPr>
              <w:rPr>
                <w:rFonts w:asciiTheme="minorHAnsi" w:hAnsiTheme="minorHAnsi"/>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50" w:type="pct"/>
            <w:vAlign w:val="center"/>
          </w:tcPr>
          <w:p w14:paraId="69F74E20" w14:textId="77777777" w:rsidR="00A53EA0" w:rsidRDefault="00A53EA0" w:rsidP="00A53EA0">
            <w:pPr>
              <w:rPr>
                <w:rFonts w:ascii="Calibri" w:hAnsi="Calibri"/>
                <w:sz w:val="18"/>
                <w:szCs w:val="18"/>
                <w:vertAlign w:val="superscript"/>
                <w:lang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p>
          <w:p w14:paraId="4F7D07FA"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AA7E04F" w14:textId="77777777" w:rsidR="00A53EA0" w:rsidRDefault="00A53EA0" w:rsidP="00A53EA0">
            <w:pPr>
              <w:rPr>
                <w:rFonts w:ascii="Calibri" w:hAnsi="Calibri"/>
                <w:sz w:val="18"/>
                <w:szCs w:val="18"/>
                <w:vertAlign w:val="superscript"/>
                <w:lang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p>
          <w:p w14:paraId="6554EC0C" w14:textId="77777777" w:rsidR="00A53EA0" w:rsidRPr="006B1E10" w:rsidRDefault="00A53EA0" w:rsidP="00A53EA0">
            <w:pPr>
              <w:rPr>
                <w:rFonts w:ascii="Calibri" w:hAnsi="Calibri"/>
                <w:color w:val="000000"/>
                <w:sz w:val="18"/>
                <w:szCs w:val="18"/>
                <w:highlight w:val="yellow"/>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vAlign w:val="center"/>
          </w:tcPr>
          <w:p w14:paraId="05F06ECA" w14:textId="77777777" w:rsidR="00A53EA0" w:rsidRDefault="00A53EA0" w:rsidP="00A53EA0">
            <w:pPr>
              <w:rPr>
                <w:rFonts w:ascii="Calibri" w:hAnsi="Calibri"/>
                <w:sz w:val="18"/>
                <w:szCs w:val="18"/>
                <w:vertAlign w:val="superscript"/>
                <w:lang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p>
          <w:p w14:paraId="73D6FA78" w14:textId="77777777" w:rsidR="00A53EA0" w:rsidRPr="006B1E10" w:rsidRDefault="00A53EA0" w:rsidP="00A53EA0">
            <w:pPr>
              <w:rPr>
                <w:rFonts w:ascii="Calibri" w:hAnsi="Calibri"/>
                <w:color w:val="000000"/>
                <w:sz w:val="18"/>
                <w:szCs w:val="18"/>
                <w:highlight w:val="yellow"/>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1953CB8D"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vAlign w:val="center"/>
          </w:tcPr>
          <w:p w14:paraId="3EB4A0BC" w14:textId="77777777" w:rsidR="00A53EA0" w:rsidRPr="006B1E10" w:rsidRDefault="00A53EA0" w:rsidP="00A53EA0">
            <w:pPr>
              <w:rPr>
                <w:rFonts w:ascii="Calibri" w:hAnsi="Calibr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32873533" w14:textId="77777777" w:rsidR="00A53EA0" w:rsidRPr="006B1E10" w:rsidRDefault="00A53EA0" w:rsidP="00A53EA0">
            <w:pPr>
              <w:rPr>
                <w:rFonts w:ascii="Calibri" w:hAnsi="Calibr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810A465" w14:textId="77777777" w:rsidR="00A53EA0" w:rsidRPr="006B1E10" w:rsidRDefault="00A53EA0" w:rsidP="00A53EA0">
            <w:pPr>
              <w:rPr>
                <w:rFonts w:ascii="Calibri" w:hAnsi="Calibr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17F7962"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8" w:type="pct"/>
            <w:shd w:val="clear" w:color="auto" w:fill="auto"/>
            <w:noWrap/>
            <w:vAlign w:val="center"/>
          </w:tcPr>
          <w:p w14:paraId="12604B0B"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132B9F72"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B908B1B" w14:textId="77777777" w:rsidR="00A53EA0" w:rsidRPr="006B1E10" w:rsidRDefault="00A53EA0" w:rsidP="00A53EA0">
            <w:pPr>
              <w:rPr>
                <w:rFonts w:ascii="Calibri" w:hAnsi="Calibri"/>
                <w:color w:val="FF0000"/>
                <w:sz w:val="18"/>
                <w:szCs w:val="18"/>
                <w:highlight w:val="yellow"/>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43354CDC" w14:textId="77777777" w:rsidR="00A53EA0" w:rsidRPr="006B1E10" w:rsidRDefault="00A53EA0" w:rsidP="00A53EA0">
            <w:pPr>
              <w:rPr>
                <w:rFonts w:ascii="Calibri" w:hAnsi="Calibr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6ED25F09" w14:textId="77777777" w:rsidR="00A53EA0" w:rsidRPr="006B1E10" w:rsidRDefault="00A53EA0" w:rsidP="00A53EA0">
            <w:pPr>
              <w:rPr>
                <w:rFonts w:ascii="Calibri" w:hAnsi="Calibr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1794CCF7" w14:textId="77777777" w:rsidR="00A53EA0" w:rsidRPr="006B1E10" w:rsidRDefault="00A53EA0" w:rsidP="00A53EA0">
            <w:pPr>
              <w:rPr>
                <w:rFonts w:ascii="Calibri" w:hAnsi="Calibr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4287DA66" w14:textId="77777777" w:rsidR="00A53EA0" w:rsidRPr="006B1E10" w:rsidRDefault="00A53EA0" w:rsidP="00A53EA0">
            <w:pPr>
              <w:rPr>
                <w:rFonts w:ascii="Calibri" w:hAnsi="Calibri"/>
                <w:color w:val="FF0000"/>
                <w:sz w:val="18"/>
                <w:szCs w:val="18"/>
                <w:lang w:val="en-US"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5" w:type="pct"/>
            <w:shd w:val="clear" w:color="000000" w:fill="auto"/>
            <w:noWrap/>
            <w:vAlign w:val="center"/>
          </w:tcPr>
          <w:p w14:paraId="70D25D82" w14:textId="77777777" w:rsidR="00A53EA0" w:rsidRDefault="00A53EA0" w:rsidP="00A53EA0">
            <w:pPr>
              <w:rPr>
                <w:rFonts w:ascii="Calibri" w:hAnsi="Calibri"/>
                <w:sz w:val="18"/>
                <w:szCs w:val="18"/>
                <w:vertAlign w:val="superscript"/>
                <w:lang w:eastAsia="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Calibri" w:hAnsi="Calibri"/>
                <w:sz w:val="18"/>
                <w:szCs w:val="18"/>
                <w:vertAlign w:val="superscript"/>
                <w:lang w:eastAsia="en-US"/>
              </w:rPr>
              <w:t>10</w:t>
            </w:r>
          </w:p>
          <w:p w14:paraId="515A37FD" w14:textId="77777777" w:rsidR="00A53EA0" w:rsidRPr="006B1E10" w:rsidRDefault="00A53EA0" w:rsidP="00A53EA0">
            <w:pPr>
              <w:rPr>
                <w:rFonts w:ascii="Calibri" w:hAnsi="Calibri"/>
                <w:color w:val="000000"/>
                <w:sz w:val="18"/>
                <w:szCs w:val="18"/>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r>
      <w:tr w:rsidR="00A53EA0" w:rsidRPr="006B1E10" w14:paraId="517C8305" w14:textId="77777777" w:rsidTr="00A53EA0">
        <w:trPr>
          <w:trHeight w:val="454"/>
          <w:tblHeader/>
        </w:trPr>
        <w:tc>
          <w:tcPr>
            <w:tcW w:w="771" w:type="pct"/>
            <w:shd w:val="clear" w:color="auto" w:fill="auto"/>
            <w:noWrap/>
            <w:vAlign w:val="center"/>
          </w:tcPr>
          <w:p w14:paraId="0CA5B344" w14:textId="77777777" w:rsidR="00A53EA0" w:rsidRPr="006B1E10" w:rsidRDefault="00A53EA0" w:rsidP="00A53EA0">
            <w:pPr>
              <w:rPr>
                <w:rFonts w:asciiTheme="minorHAnsi" w:hAnsiTheme="minorHAnsi"/>
                <w:sz w:val="18"/>
                <w:szCs w:val="18"/>
              </w:rPr>
            </w:pPr>
            <w:r w:rsidRPr="006B1E10">
              <w:rPr>
                <w:rFonts w:asciiTheme="minorHAnsi" w:hAnsiTheme="minorHAnsi"/>
                <w:sz w:val="18"/>
                <w:szCs w:val="18"/>
                <w:highlight w:val="yellow"/>
              </w:rPr>
              <w:t>ceritinib</w:t>
            </w:r>
          </w:p>
        </w:tc>
        <w:tc>
          <w:tcPr>
            <w:tcW w:w="249" w:type="pct"/>
            <w:shd w:val="clear" w:color="auto" w:fill="auto"/>
            <w:noWrap/>
            <w:vAlign w:val="center"/>
          </w:tcPr>
          <w:p w14:paraId="4BDAE9FB" w14:textId="77777777" w:rsidR="00A53EA0" w:rsidRPr="006B1E10" w:rsidRDefault="00A53EA0" w:rsidP="00A53EA0">
            <w:pPr>
              <w:rPr>
                <w:rFonts w:asciiTheme="minorHAnsi" w:hAnsiTheme="minorHAnsi"/>
                <w:sz w:val="18"/>
                <w:szCs w:val="18"/>
                <w:lang w:val="en-US"/>
              </w:rPr>
            </w:pPr>
          </w:p>
        </w:tc>
        <w:tc>
          <w:tcPr>
            <w:tcW w:w="250" w:type="pct"/>
            <w:vAlign w:val="center"/>
          </w:tcPr>
          <w:p w14:paraId="284F1774" w14:textId="77777777" w:rsidR="00A53EA0" w:rsidRPr="006B1E10" w:rsidRDefault="00A53EA0" w:rsidP="00A53EA0">
            <w:pPr>
              <w:rPr>
                <w:rFonts w:asciiTheme="minorHAnsi" w:hAnsiTheme="minorHAnsi"/>
                <w:color w:val="FF0000"/>
                <w:sz w:val="18"/>
                <w:szCs w:val="18"/>
                <w:highlight w:val="yellow"/>
                <w:lang w:val="en-US"/>
              </w:rPr>
            </w:pPr>
          </w:p>
        </w:tc>
        <w:tc>
          <w:tcPr>
            <w:tcW w:w="249" w:type="pct"/>
            <w:shd w:val="clear" w:color="auto" w:fill="auto"/>
            <w:noWrap/>
            <w:vAlign w:val="center"/>
          </w:tcPr>
          <w:p w14:paraId="7D438BBD" w14:textId="77777777" w:rsidR="00A53EA0" w:rsidRPr="006B1E10" w:rsidRDefault="00A53EA0" w:rsidP="00A53EA0">
            <w:pPr>
              <w:rPr>
                <w:rFonts w:asciiTheme="minorHAnsi" w:hAnsiTheme="minorHAnsi"/>
                <w:sz w:val="18"/>
                <w:szCs w:val="18"/>
              </w:rPr>
            </w:pPr>
          </w:p>
        </w:tc>
        <w:tc>
          <w:tcPr>
            <w:tcW w:w="249" w:type="pct"/>
            <w:vAlign w:val="center"/>
          </w:tcPr>
          <w:p w14:paraId="2354C042" w14:textId="77777777" w:rsidR="00A53EA0" w:rsidRPr="006B1E10" w:rsidRDefault="00A53EA0" w:rsidP="00A53EA0">
            <w:pPr>
              <w:rPr>
                <w:rFonts w:asciiTheme="minorHAnsi" w:hAnsiTheme="minorHAnsi"/>
                <w:sz w:val="18"/>
                <w:szCs w:val="18"/>
                <w:lang w:val="en-US"/>
              </w:rPr>
            </w:pPr>
          </w:p>
        </w:tc>
        <w:tc>
          <w:tcPr>
            <w:tcW w:w="249" w:type="pct"/>
            <w:shd w:val="clear" w:color="auto" w:fill="auto"/>
            <w:noWrap/>
            <w:vAlign w:val="center"/>
          </w:tcPr>
          <w:p w14:paraId="05605B5A" w14:textId="77777777" w:rsidR="00A53EA0" w:rsidRPr="006B1E10" w:rsidRDefault="00A53EA0" w:rsidP="00A53EA0">
            <w:pPr>
              <w:rPr>
                <w:rFonts w:asciiTheme="minorHAnsi" w:hAnsiTheme="minorHAnsi"/>
                <w:sz w:val="18"/>
                <w:szCs w:val="18"/>
                <w:lang w:val="en-US"/>
              </w:rPr>
            </w:pPr>
          </w:p>
        </w:tc>
        <w:tc>
          <w:tcPr>
            <w:tcW w:w="249" w:type="pct"/>
            <w:vAlign w:val="center"/>
          </w:tcPr>
          <w:p w14:paraId="5C9D4816"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18E35D45"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ARV</w:t>
            </w:r>
            <w:r>
              <w:rPr>
                <w:rFonts w:asciiTheme="minorHAnsi" w:hAnsiTheme="minorHAnsi"/>
                <w:sz w:val="18"/>
                <w:szCs w:val="18"/>
                <w:highlight w:val="yellow"/>
                <w:vertAlign w:val="superscript"/>
                <w:lang w:val="en-US"/>
              </w:rPr>
              <w:t>11</w:t>
            </w:r>
          </w:p>
          <w:p w14:paraId="657DDB68" w14:textId="77777777" w:rsidR="00A53EA0" w:rsidRPr="006B1E10" w:rsidRDefault="00A53EA0" w:rsidP="00A53EA0">
            <w:pPr>
              <w:rPr>
                <w:rFonts w:asciiTheme="minorHAnsi" w:hAnsiTheme="minorHAnsi"/>
                <w:color w:val="FF0000"/>
                <w:sz w:val="18"/>
                <w:szCs w:val="18"/>
                <w:vertAlign w:val="superscript"/>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rPr>
              <w:t>TOX</w:t>
            </w:r>
            <w:r w:rsidRPr="006B1E10">
              <w:rPr>
                <w:rFonts w:asciiTheme="minorHAnsi" w:hAnsiTheme="minorHAnsi"/>
                <w:sz w:val="18"/>
                <w:szCs w:val="18"/>
                <w:highlight w:val="yellow"/>
                <w:vertAlign w:val="superscript"/>
                <w:lang w:val="en-US"/>
              </w:rPr>
              <w:t xml:space="preserve"> </w:t>
            </w:r>
          </w:p>
        </w:tc>
        <w:tc>
          <w:tcPr>
            <w:tcW w:w="249" w:type="pct"/>
            <w:shd w:val="clear" w:color="auto" w:fill="auto"/>
            <w:noWrap/>
            <w:vAlign w:val="center"/>
          </w:tcPr>
          <w:p w14:paraId="28571F97"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w:t>
            </w:r>
            <w:r w:rsidRPr="006B1E10">
              <w:rPr>
                <w:rFonts w:asciiTheme="minorHAnsi" w:hAnsiTheme="minorHAnsi"/>
                <w:sz w:val="18"/>
                <w:szCs w:val="18"/>
                <w:lang w:val="en-US"/>
              </w:rPr>
              <w:t>NR</w:t>
            </w:r>
          </w:p>
        </w:tc>
        <w:tc>
          <w:tcPr>
            <w:tcW w:w="249" w:type="pct"/>
            <w:shd w:val="clear" w:color="auto" w:fill="auto"/>
            <w:noWrap/>
            <w:vAlign w:val="center"/>
          </w:tcPr>
          <w:p w14:paraId="3163B288" w14:textId="77777777" w:rsidR="00A53EA0" w:rsidRPr="006B1E10" w:rsidRDefault="00A53EA0" w:rsidP="00A53EA0">
            <w:pPr>
              <w:rPr>
                <w:rFonts w:asciiTheme="minorHAnsi" w:hAnsiTheme="minorHAnsi"/>
                <w:sz w:val="18"/>
                <w:szCs w:val="18"/>
                <w:vertAlign w:val="superscript"/>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12</w:t>
            </w:r>
          </w:p>
          <w:p w14:paraId="58C4DA9B"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p>
        </w:tc>
        <w:tc>
          <w:tcPr>
            <w:tcW w:w="248" w:type="pct"/>
            <w:shd w:val="clear" w:color="auto" w:fill="auto"/>
            <w:noWrap/>
            <w:vAlign w:val="center"/>
          </w:tcPr>
          <w:p w14:paraId="130345ED" w14:textId="77777777" w:rsidR="00A53EA0" w:rsidRPr="006B1E10" w:rsidRDefault="00A53EA0" w:rsidP="00A53EA0">
            <w:pPr>
              <w:rPr>
                <w:rFonts w:asciiTheme="minorHAnsi" w:hAnsiTheme="minorHAnsi"/>
                <w:sz w:val="18"/>
                <w:szCs w:val="18"/>
                <w:vertAlign w:val="superscript"/>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12</w:t>
            </w:r>
          </w:p>
          <w:p w14:paraId="7F9E51DC" w14:textId="77777777" w:rsidR="00A53EA0" w:rsidRPr="006B1E10" w:rsidRDefault="00A53EA0" w:rsidP="00A53EA0">
            <w:pPr>
              <w:rPr>
                <w:rFonts w:asciiTheme="minorHAnsi" w:hAnsiTheme="minorHAnsi"/>
                <w:sz w:val="18"/>
                <w:szCs w:val="18"/>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p>
        </w:tc>
        <w:tc>
          <w:tcPr>
            <w:tcW w:w="249" w:type="pct"/>
            <w:shd w:val="clear" w:color="auto" w:fill="auto"/>
            <w:noWrap/>
            <w:vAlign w:val="center"/>
          </w:tcPr>
          <w:p w14:paraId="77B77109" w14:textId="77777777" w:rsidR="00A53EA0" w:rsidRPr="006B1E10" w:rsidRDefault="00A53EA0" w:rsidP="00A53EA0">
            <w:pPr>
              <w:rPr>
                <w:rFonts w:asciiTheme="minorHAnsi" w:hAnsiTheme="minorHAnsi"/>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12</w:t>
            </w:r>
          </w:p>
        </w:tc>
        <w:tc>
          <w:tcPr>
            <w:tcW w:w="249" w:type="pct"/>
            <w:shd w:val="clear" w:color="auto" w:fill="auto"/>
            <w:noWrap/>
            <w:vAlign w:val="center"/>
          </w:tcPr>
          <w:p w14:paraId="537859E2" w14:textId="77777777" w:rsidR="00A53EA0" w:rsidRPr="006B1E10" w:rsidRDefault="00A53EA0" w:rsidP="00A53EA0">
            <w:pPr>
              <w:rPr>
                <w:rFonts w:asciiTheme="minorHAnsi" w:hAnsiTheme="minorHAnsi"/>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12</w:t>
            </w:r>
          </w:p>
        </w:tc>
        <w:tc>
          <w:tcPr>
            <w:tcW w:w="249" w:type="pct"/>
            <w:shd w:val="clear" w:color="auto" w:fill="auto"/>
            <w:noWrap/>
            <w:vAlign w:val="center"/>
          </w:tcPr>
          <w:p w14:paraId="4B1D176E"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3618B91E"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6D828BC9"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4439A0B2" w14:textId="77777777" w:rsidR="00A53EA0" w:rsidRPr="006B1E10" w:rsidRDefault="00A53EA0" w:rsidP="00A53EA0">
            <w:pPr>
              <w:rPr>
                <w:rFonts w:asciiTheme="minorHAnsi" w:hAnsiTheme="minorHAnsi"/>
                <w:color w:val="000000"/>
                <w:sz w:val="18"/>
                <w:szCs w:val="18"/>
              </w:rPr>
            </w:pPr>
          </w:p>
        </w:tc>
        <w:tc>
          <w:tcPr>
            <w:tcW w:w="245" w:type="pct"/>
            <w:shd w:val="clear" w:color="000000" w:fill="auto"/>
            <w:noWrap/>
            <w:vAlign w:val="center"/>
          </w:tcPr>
          <w:p w14:paraId="71D69E1C" w14:textId="77777777" w:rsidR="00A53EA0" w:rsidRPr="006B1E10" w:rsidRDefault="00A53EA0" w:rsidP="00A53EA0">
            <w:pPr>
              <w:rPr>
                <w:rFonts w:asciiTheme="minorHAnsi" w:hAnsiTheme="minorHAnsi"/>
                <w:sz w:val="18"/>
                <w:szCs w:val="18"/>
                <w:lang w:val="en-US"/>
              </w:rPr>
            </w:pPr>
          </w:p>
        </w:tc>
      </w:tr>
      <w:tr w:rsidR="00A53EA0" w:rsidRPr="006B1E10" w14:paraId="2540DFD3" w14:textId="77777777" w:rsidTr="00A53EA0">
        <w:trPr>
          <w:trHeight w:val="454"/>
          <w:tblHeader/>
        </w:trPr>
        <w:tc>
          <w:tcPr>
            <w:tcW w:w="771" w:type="pct"/>
            <w:shd w:val="clear" w:color="auto" w:fill="auto"/>
            <w:noWrap/>
            <w:vAlign w:val="center"/>
          </w:tcPr>
          <w:p w14:paraId="30BB318E"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000000"/>
                <w:sz w:val="18"/>
                <w:szCs w:val="18"/>
                <w:highlight w:val="yellow"/>
              </w:rPr>
              <w:t>ciclesonida</w:t>
            </w:r>
          </w:p>
        </w:tc>
        <w:tc>
          <w:tcPr>
            <w:tcW w:w="249" w:type="pct"/>
            <w:shd w:val="clear" w:color="auto" w:fill="auto"/>
            <w:noWrap/>
            <w:vAlign w:val="center"/>
          </w:tcPr>
          <w:p w14:paraId="1868ED27" w14:textId="77777777" w:rsidR="00A53EA0" w:rsidRPr="006B1E10" w:rsidRDefault="00A53EA0" w:rsidP="00A53EA0">
            <w:pPr>
              <w:rPr>
                <w:rFonts w:ascii="Calibri" w:hAnsi="Calibri"/>
                <w:color w:val="000000"/>
                <w:sz w:val="18"/>
                <w:szCs w:val="18"/>
                <w:highlight w:val="yellow"/>
              </w:rPr>
            </w:pPr>
          </w:p>
        </w:tc>
        <w:tc>
          <w:tcPr>
            <w:tcW w:w="250" w:type="pct"/>
            <w:vAlign w:val="center"/>
          </w:tcPr>
          <w:p w14:paraId="0C5EBF79" w14:textId="77777777" w:rsidR="00A53EA0" w:rsidRPr="006B1E10" w:rsidRDefault="00A53EA0" w:rsidP="00A53EA0">
            <w:pPr>
              <w:rPr>
                <w:rFonts w:ascii="Calibri" w:hAnsi="Calibri"/>
                <w:color w:val="FF0000"/>
                <w:sz w:val="18"/>
                <w:szCs w:val="18"/>
                <w:highlight w:val="yellow"/>
                <w:lang w:val="en-US" w:eastAsia="en-US"/>
              </w:rPr>
            </w:pPr>
          </w:p>
        </w:tc>
        <w:tc>
          <w:tcPr>
            <w:tcW w:w="249" w:type="pct"/>
            <w:shd w:val="clear" w:color="auto" w:fill="auto"/>
            <w:noWrap/>
            <w:vAlign w:val="center"/>
          </w:tcPr>
          <w:p w14:paraId="29E43151" w14:textId="77777777" w:rsidR="00A53EA0" w:rsidRPr="006B1E10" w:rsidRDefault="00A53EA0" w:rsidP="00A53EA0">
            <w:pPr>
              <w:rPr>
                <w:rFonts w:ascii="Calibri" w:hAnsi="Calibri"/>
                <w:color w:val="000000"/>
                <w:sz w:val="18"/>
                <w:szCs w:val="18"/>
                <w:highlight w:val="yellow"/>
              </w:rPr>
            </w:pPr>
          </w:p>
        </w:tc>
        <w:tc>
          <w:tcPr>
            <w:tcW w:w="249" w:type="pct"/>
            <w:vAlign w:val="center"/>
          </w:tcPr>
          <w:p w14:paraId="3244B848" w14:textId="77777777" w:rsidR="00A53EA0" w:rsidRPr="006B1E10" w:rsidRDefault="00A53EA0" w:rsidP="00A53EA0">
            <w:pPr>
              <w:rPr>
                <w:rFonts w:ascii="Calibri" w:hAnsi="Calibri"/>
                <w:color w:val="000000"/>
                <w:sz w:val="18"/>
                <w:szCs w:val="18"/>
                <w:highlight w:val="yellow"/>
              </w:rPr>
            </w:pPr>
          </w:p>
        </w:tc>
        <w:tc>
          <w:tcPr>
            <w:tcW w:w="249" w:type="pct"/>
            <w:shd w:val="clear" w:color="auto" w:fill="auto"/>
            <w:noWrap/>
            <w:vAlign w:val="center"/>
          </w:tcPr>
          <w:p w14:paraId="115E836B"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r>
              <w:rPr>
                <w:rFonts w:ascii="Calibri" w:hAnsi="Calibri"/>
                <w:sz w:val="18"/>
                <w:szCs w:val="18"/>
                <w:highlight w:val="yellow"/>
                <w:vertAlign w:val="superscript"/>
                <w:lang w:val="en-US" w:eastAsia="en-US"/>
              </w:rPr>
              <w:t>8</w:t>
            </w:r>
          </w:p>
        </w:tc>
        <w:tc>
          <w:tcPr>
            <w:tcW w:w="249" w:type="pct"/>
            <w:vAlign w:val="center"/>
          </w:tcPr>
          <w:p w14:paraId="71E44A81" w14:textId="77777777" w:rsidR="00A53EA0" w:rsidRPr="006B1E10" w:rsidRDefault="00A53EA0" w:rsidP="00A53EA0">
            <w:pPr>
              <w:rPr>
                <w:rFonts w:ascii="Calibri" w:hAnsi="Calibri"/>
                <w:color w:val="000000"/>
                <w:sz w:val="18"/>
                <w:szCs w:val="18"/>
                <w:highlight w:val="yellow"/>
              </w:rPr>
            </w:pPr>
          </w:p>
        </w:tc>
        <w:tc>
          <w:tcPr>
            <w:tcW w:w="249" w:type="pct"/>
            <w:shd w:val="clear" w:color="auto" w:fill="auto"/>
            <w:noWrap/>
            <w:vAlign w:val="center"/>
          </w:tcPr>
          <w:p w14:paraId="5E0B1E43" w14:textId="77777777" w:rsidR="00A53EA0" w:rsidRPr="006B1E10" w:rsidRDefault="00A53EA0" w:rsidP="00A53EA0">
            <w:pPr>
              <w:rPr>
                <w:rFonts w:ascii="Calibri" w:hAnsi="Calibri"/>
                <w:color w:val="000000"/>
                <w:sz w:val="18"/>
                <w:szCs w:val="18"/>
                <w:highlight w:val="yellow"/>
              </w:rPr>
            </w:pPr>
          </w:p>
        </w:tc>
        <w:tc>
          <w:tcPr>
            <w:tcW w:w="249" w:type="pct"/>
            <w:shd w:val="clear" w:color="auto" w:fill="auto"/>
            <w:noWrap/>
            <w:vAlign w:val="center"/>
          </w:tcPr>
          <w:p w14:paraId="6B94E3A7" w14:textId="77777777" w:rsidR="00A53EA0" w:rsidRPr="006B1E10" w:rsidRDefault="00A53EA0" w:rsidP="00A53EA0">
            <w:pPr>
              <w:rPr>
                <w:rFonts w:ascii="Calibri" w:hAnsi="Calibri"/>
                <w:color w:val="000000"/>
                <w:sz w:val="18"/>
                <w:szCs w:val="18"/>
                <w:highlight w:val="yellow"/>
              </w:rPr>
            </w:pPr>
          </w:p>
        </w:tc>
        <w:tc>
          <w:tcPr>
            <w:tcW w:w="249" w:type="pct"/>
            <w:shd w:val="clear" w:color="auto" w:fill="auto"/>
            <w:noWrap/>
            <w:vAlign w:val="center"/>
          </w:tcPr>
          <w:p w14:paraId="49EE6C69"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r>
              <w:rPr>
                <w:rFonts w:ascii="Calibri" w:hAnsi="Calibri"/>
                <w:sz w:val="18"/>
                <w:szCs w:val="18"/>
                <w:highlight w:val="yellow"/>
                <w:vertAlign w:val="superscript"/>
                <w:lang w:val="en-US" w:eastAsia="en-US"/>
              </w:rPr>
              <w:t>8</w:t>
            </w:r>
          </w:p>
        </w:tc>
        <w:tc>
          <w:tcPr>
            <w:tcW w:w="248" w:type="pct"/>
            <w:shd w:val="clear" w:color="auto" w:fill="auto"/>
            <w:noWrap/>
            <w:vAlign w:val="center"/>
          </w:tcPr>
          <w:p w14:paraId="5AC1E3F7"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r>
              <w:rPr>
                <w:rFonts w:ascii="Calibri" w:hAnsi="Calibri"/>
                <w:sz w:val="18"/>
                <w:szCs w:val="18"/>
                <w:highlight w:val="yellow"/>
                <w:vertAlign w:val="superscript"/>
                <w:lang w:val="en-US" w:eastAsia="en-US"/>
              </w:rPr>
              <w:t>8</w:t>
            </w:r>
          </w:p>
        </w:tc>
        <w:tc>
          <w:tcPr>
            <w:tcW w:w="249" w:type="pct"/>
            <w:shd w:val="clear" w:color="auto" w:fill="auto"/>
            <w:noWrap/>
            <w:vAlign w:val="center"/>
          </w:tcPr>
          <w:p w14:paraId="5B53632E"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r>
              <w:rPr>
                <w:rFonts w:ascii="Calibri" w:hAnsi="Calibri"/>
                <w:sz w:val="18"/>
                <w:szCs w:val="18"/>
                <w:highlight w:val="yellow"/>
                <w:vertAlign w:val="superscript"/>
                <w:lang w:val="en-US" w:eastAsia="en-US"/>
              </w:rPr>
              <w:t>8</w:t>
            </w:r>
          </w:p>
        </w:tc>
        <w:tc>
          <w:tcPr>
            <w:tcW w:w="249" w:type="pct"/>
            <w:shd w:val="clear" w:color="auto" w:fill="auto"/>
            <w:noWrap/>
            <w:vAlign w:val="center"/>
          </w:tcPr>
          <w:p w14:paraId="2910BD7E" w14:textId="77777777" w:rsidR="00A53EA0" w:rsidRPr="006B1E10" w:rsidRDefault="00A53EA0" w:rsidP="00A53EA0">
            <w:pPr>
              <w:rPr>
                <w:rFonts w:ascii="Calibri" w:hAnsi="Calibri"/>
                <w:color w:val="000000"/>
                <w:sz w:val="18"/>
                <w:szCs w:val="18"/>
                <w:highlight w:val="yellow"/>
              </w:rPr>
            </w:pPr>
            <w:r w:rsidRPr="006B1E10">
              <w:rPr>
                <w:rFonts w:ascii="Calibri" w:hAnsi="Calibri"/>
                <w:color w:val="FF0000"/>
                <w:sz w:val="18"/>
                <w:szCs w:val="18"/>
                <w:highlight w:val="yellow"/>
                <w:lang w:val="en-US" w:eastAsia="en-US"/>
              </w:rPr>
              <w:t>X</w:t>
            </w:r>
            <w:r w:rsidRPr="006B1E10">
              <w:rPr>
                <w:rFonts w:ascii="Calibri" w:hAnsi="Calibri"/>
                <w:sz w:val="18"/>
                <w:szCs w:val="18"/>
                <w:highlight w:val="yellow"/>
                <w:lang w:val="en-US" w:eastAsia="en-US"/>
              </w:rPr>
              <w:t xml:space="preserve"> NR</w:t>
            </w:r>
            <w:r>
              <w:rPr>
                <w:rFonts w:ascii="Calibri" w:hAnsi="Calibri"/>
                <w:sz w:val="18"/>
                <w:szCs w:val="18"/>
                <w:highlight w:val="yellow"/>
                <w:vertAlign w:val="superscript"/>
                <w:lang w:val="en-US" w:eastAsia="en-US"/>
              </w:rPr>
              <w:t>8</w:t>
            </w:r>
          </w:p>
        </w:tc>
        <w:tc>
          <w:tcPr>
            <w:tcW w:w="249" w:type="pct"/>
            <w:shd w:val="clear" w:color="auto" w:fill="auto"/>
            <w:noWrap/>
            <w:vAlign w:val="center"/>
          </w:tcPr>
          <w:p w14:paraId="0242663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5709F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2724D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BD85ED" w14:textId="77777777" w:rsidR="00A53EA0" w:rsidRPr="006B1E10" w:rsidRDefault="00A53EA0" w:rsidP="00A53EA0">
            <w:pPr>
              <w:rPr>
                <w:rFonts w:ascii="Calibri" w:hAnsi="Calibri"/>
                <w:color w:val="FF0000"/>
                <w:sz w:val="18"/>
                <w:szCs w:val="18"/>
                <w:lang w:val="en-US" w:eastAsia="en-US"/>
              </w:rPr>
            </w:pPr>
          </w:p>
        </w:tc>
        <w:tc>
          <w:tcPr>
            <w:tcW w:w="245" w:type="pct"/>
            <w:shd w:val="clear" w:color="000000" w:fill="auto"/>
            <w:noWrap/>
            <w:vAlign w:val="center"/>
          </w:tcPr>
          <w:p w14:paraId="57C7C0EB" w14:textId="77777777" w:rsidR="00A53EA0" w:rsidRPr="006B1E10" w:rsidRDefault="00A53EA0" w:rsidP="00A53EA0">
            <w:pPr>
              <w:rPr>
                <w:rFonts w:ascii="Calibri" w:hAnsi="Calibri"/>
                <w:color w:val="000000"/>
                <w:sz w:val="18"/>
                <w:szCs w:val="18"/>
              </w:rPr>
            </w:pPr>
          </w:p>
        </w:tc>
      </w:tr>
      <w:tr w:rsidR="00A53EA0" w:rsidRPr="006B1E10" w14:paraId="378CC2FA" w14:textId="77777777" w:rsidTr="00A53EA0">
        <w:trPr>
          <w:trHeight w:val="454"/>
          <w:tblHeader/>
        </w:trPr>
        <w:tc>
          <w:tcPr>
            <w:tcW w:w="771" w:type="pct"/>
            <w:shd w:val="clear" w:color="auto" w:fill="auto"/>
            <w:noWrap/>
            <w:vAlign w:val="center"/>
          </w:tcPr>
          <w:p w14:paraId="44D75D1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ciclosporina</w:t>
            </w:r>
          </w:p>
        </w:tc>
        <w:tc>
          <w:tcPr>
            <w:tcW w:w="249" w:type="pct"/>
            <w:shd w:val="clear" w:color="auto" w:fill="auto"/>
            <w:noWrap/>
            <w:vAlign w:val="center"/>
          </w:tcPr>
          <w:p w14:paraId="151A56F4" w14:textId="77777777" w:rsidR="00A53EA0" w:rsidRPr="006B1E10" w:rsidRDefault="00A53EA0" w:rsidP="00A53EA0">
            <w:pPr>
              <w:rPr>
                <w:rFonts w:ascii="Calibri" w:hAnsi="Calibri"/>
                <w:color w:val="000000"/>
                <w:sz w:val="18"/>
                <w:szCs w:val="18"/>
              </w:rPr>
            </w:pPr>
          </w:p>
        </w:tc>
        <w:tc>
          <w:tcPr>
            <w:tcW w:w="250" w:type="pct"/>
            <w:vAlign w:val="center"/>
          </w:tcPr>
          <w:p w14:paraId="2E86993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CAFE2BC" w14:textId="77777777" w:rsidR="00A53EA0" w:rsidRPr="006B1E10" w:rsidRDefault="00A53EA0" w:rsidP="00A53EA0">
            <w:pPr>
              <w:rPr>
                <w:rFonts w:ascii="Calibri" w:hAnsi="Calibri"/>
                <w:color w:val="000000"/>
                <w:sz w:val="18"/>
                <w:szCs w:val="18"/>
              </w:rPr>
            </w:pPr>
          </w:p>
        </w:tc>
        <w:tc>
          <w:tcPr>
            <w:tcW w:w="249" w:type="pct"/>
            <w:vAlign w:val="center"/>
          </w:tcPr>
          <w:p w14:paraId="029A42C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FFB4B6" w14:textId="77777777" w:rsidR="00A53EA0" w:rsidRPr="006B1E10" w:rsidRDefault="00A53EA0" w:rsidP="00A53EA0">
            <w:pPr>
              <w:rPr>
                <w:rFonts w:ascii="Calibri" w:hAnsi="Calibri"/>
                <w:color w:val="000000"/>
                <w:sz w:val="18"/>
                <w:szCs w:val="18"/>
              </w:rPr>
            </w:pPr>
          </w:p>
        </w:tc>
        <w:tc>
          <w:tcPr>
            <w:tcW w:w="249" w:type="pct"/>
            <w:vAlign w:val="center"/>
          </w:tcPr>
          <w:p w14:paraId="56C498B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2372E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DFCF51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C5465E1"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1CD5246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7E18D8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300652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34E6C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5862BD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74BF4B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7F84A75" w14:textId="77777777" w:rsidR="00A53EA0" w:rsidRPr="006B1E10" w:rsidRDefault="00A53EA0" w:rsidP="00A53EA0">
            <w:pPr>
              <w:rPr>
                <w:rFonts w:ascii="Calibri" w:hAnsi="Calibri"/>
                <w:color w:val="FF0000"/>
                <w:sz w:val="18"/>
                <w:szCs w:val="18"/>
                <w:lang w:val="en-US" w:eastAsia="en-US"/>
              </w:rPr>
            </w:pPr>
          </w:p>
        </w:tc>
        <w:tc>
          <w:tcPr>
            <w:tcW w:w="245" w:type="pct"/>
            <w:shd w:val="clear" w:color="000000" w:fill="auto"/>
            <w:noWrap/>
            <w:vAlign w:val="center"/>
          </w:tcPr>
          <w:p w14:paraId="5B4D1789" w14:textId="77777777" w:rsidR="00A53EA0" w:rsidRPr="006B1E10" w:rsidRDefault="00A53EA0" w:rsidP="00A53EA0">
            <w:pPr>
              <w:rPr>
                <w:rFonts w:ascii="Calibri" w:hAnsi="Calibri"/>
                <w:color w:val="000000"/>
                <w:sz w:val="18"/>
                <w:szCs w:val="18"/>
              </w:rPr>
            </w:pPr>
          </w:p>
        </w:tc>
      </w:tr>
    </w:tbl>
    <w:p w14:paraId="2E20D35A"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3735127B"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C58F811"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C316BE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04906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D25587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C0009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CE434D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CB0F1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E0EC50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7A9E8C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C52D89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14C776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D8D234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A90111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3EBC00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633646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C9F874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F16848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DE78DB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1537B6C3" w14:textId="77777777" w:rsidTr="00A53EA0">
        <w:trPr>
          <w:trHeight w:val="454"/>
          <w:tblHeader/>
        </w:trPr>
        <w:tc>
          <w:tcPr>
            <w:tcW w:w="771" w:type="pct"/>
            <w:shd w:val="clear" w:color="auto" w:fill="auto"/>
            <w:noWrap/>
            <w:vAlign w:val="center"/>
          </w:tcPr>
          <w:p w14:paraId="0A12C08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cidofovir (M.E.)</w:t>
            </w:r>
          </w:p>
        </w:tc>
        <w:tc>
          <w:tcPr>
            <w:tcW w:w="249" w:type="pct"/>
            <w:shd w:val="clear" w:color="auto" w:fill="auto"/>
            <w:noWrap/>
            <w:vAlign w:val="center"/>
          </w:tcPr>
          <w:p w14:paraId="0C714F65" w14:textId="77777777" w:rsidR="00A53EA0" w:rsidRPr="006B1E10" w:rsidRDefault="00A53EA0" w:rsidP="00A53EA0">
            <w:pPr>
              <w:rPr>
                <w:rFonts w:ascii="Calibri" w:hAnsi="Calibri"/>
                <w:color w:val="000000"/>
                <w:sz w:val="18"/>
                <w:szCs w:val="18"/>
              </w:rPr>
            </w:pPr>
          </w:p>
        </w:tc>
        <w:tc>
          <w:tcPr>
            <w:tcW w:w="250" w:type="pct"/>
            <w:vAlign w:val="center"/>
          </w:tcPr>
          <w:p w14:paraId="71FF805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1EAD78D" w14:textId="77777777" w:rsidR="00A53EA0" w:rsidRPr="006B1E10" w:rsidRDefault="00A53EA0" w:rsidP="00A53EA0">
            <w:pPr>
              <w:rPr>
                <w:rFonts w:ascii="Calibri" w:hAnsi="Calibri"/>
                <w:color w:val="000000"/>
                <w:sz w:val="18"/>
                <w:szCs w:val="18"/>
              </w:rPr>
            </w:pPr>
          </w:p>
        </w:tc>
        <w:tc>
          <w:tcPr>
            <w:tcW w:w="249" w:type="pct"/>
            <w:vAlign w:val="center"/>
          </w:tcPr>
          <w:p w14:paraId="595C2F8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988997" w14:textId="77777777" w:rsidR="00A53EA0" w:rsidRPr="006B1E10" w:rsidRDefault="00A53EA0" w:rsidP="00A53EA0">
            <w:pPr>
              <w:rPr>
                <w:rFonts w:ascii="Calibri" w:hAnsi="Calibri"/>
                <w:color w:val="000000"/>
                <w:sz w:val="18"/>
                <w:szCs w:val="18"/>
              </w:rPr>
            </w:pPr>
          </w:p>
        </w:tc>
        <w:tc>
          <w:tcPr>
            <w:tcW w:w="249" w:type="pct"/>
            <w:vAlign w:val="center"/>
          </w:tcPr>
          <w:p w14:paraId="36E3322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0718B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4D1B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521D560"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2E03A7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3356E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598C46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B3E5B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0802A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FE63B4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7CF88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000000" w:fill="auto"/>
            <w:noWrap/>
            <w:vAlign w:val="center"/>
          </w:tcPr>
          <w:p w14:paraId="1B57DFF7" w14:textId="77777777" w:rsidR="00A53EA0" w:rsidRPr="006B1E10" w:rsidRDefault="00A53EA0" w:rsidP="00A53EA0">
            <w:pPr>
              <w:rPr>
                <w:rFonts w:ascii="Calibri" w:hAnsi="Calibri"/>
                <w:color w:val="000000"/>
                <w:sz w:val="18"/>
                <w:szCs w:val="18"/>
              </w:rPr>
            </w:pPr>
          </w:p>
        </w:tc>
      </w:tr>
      <w:tr w:rsidR="00A53EA0" w:rsidRPr="006B1E10" w14:paraId="645CA7FB" w14:textId="77777777" w:rsidTr="00A53EA0">
        <w:trPr>
          <w:trHeight w:val="454"/>
          <w:tblHeader/>
        </w:trPr>
        <w:tc>
          <w:tcPr>
            <w:tcW w:w="771" w:type="pct"/>
            <w:shd w:val="clear" w:color="auto" w:fill="auto"/>
            <w:noWrap/>
            <w:vAlign w:val="center"/>
          </w:tcPr>
          <w:p w14:paraId="156B1AE1"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br w:type="page"/>
            </w:r>
            <w:r w:rsidRPr="006B1E10">
              <w:rPr>
                <w:rFonts w:ascii="Calibri" w:hAnsi="Calibri"/>
                <w:color w:val="000000"/>
                <w:sz w:val="18"/>
                <w:szCs w:val="18"/>
              </w:rPr>
              <w:t>claritromicina</w:t>
            </w:r>
          </w:p>
        </w:tc>
        <w:tc>
          <w:tcPr>
            <w:tcW w:w="249" w:type="pct"/>
            <w:shd w:val="clear" w:color="auto" w:fill="auto"/>
            <w:noWrap/>
            <w:vAlign w:val="center"/>
          </w:tcPr>
          <w:p w14:paraId="48F2DA8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7B5DD4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6F7F3F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1583E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5DC0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FCO</w:t>
            </w:r>
            <w:r>
              <w:rPr>
                <w:rFonts w:ascii="Calibri" w:hAnsi="Calibri"/>
                <w:color w:val="000000"/>
                <w:sz w:val="18"/>
                <w:szCs w:val="18"/>
                <w:vertAlign w:val="superscript"/>
              </w:rPr>
              <w:t>13</w:t>
            </w:r>
          </w:p>
        </w:tc>
        <w:tc>
          <w:tcPr>
            <w:tcW w:w="249" w:type="pct"/>
            <w:vAlign w:val="center"/>
          </w:tcPr>
          <w:p w14:paraId="64A7BC5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1F22CE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FCO</w:t>
            </w:r>
            <w:r>
              <w:rPr>
                <w:rFonts w:ascii="Calibri" w:hAnsi="Calibri"/>
                <w:color w:val="000000"/>
                <w:sz w:val="18"/>
                <w:szCs w:val="18"/>
                <w:vertAlign w:val="superscript"/>
              </w:rPr>
              <w:t>13</w:t>
            </w:r>
          </w:p>
        </w:tc>
        <w:tc>
          <w:tcPr>
            <w:tcW w:w="249" w:type="pct"/>
            <w:shd w:val="clear" w:color="auto" w:fill="auto"/>
            <w:noWrap/>
            <w:vAlign w:val="center"/>
          </w:tcPr>
          <w:p w14:paraId="12B26494"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D"/>
            </w:r>
            <w:r w:rsidRPr="006B1E10">
              <w:rPr>
                <w:rFonts w:ascii="Calibri" w:hAnsi="Calibri"/>
                <w:sz w:val="18"/>
                <w:szCs w:val="18"/>
                <w:lang w:val="en-US" w:eastAsia="en-US"/>
              </w:rPr>
              <w:t>RA</w:t>
            </w:r>
          </w:p>
          <w:p w14:paraId="60C94B7E"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 xml:space="preserve">FCO </w:t>
            </w:r>
          </w:p>
        </w:tc>
        <w:tc>
          <w:tcPr>
            <w:tcW w:w="249" w:type="pct"/>
            <w:shd w:val="clear" w:color="000000" w:fill="FFFFFF"/>
            <w:noWrap/>
            <w:vAlign w:val="center"/>
          </w:tcPr>
          <w:p w14:paraId="256216C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FCO</w:t>
            </w:r>
            <w:r>
              <w:rPr>
                <w:rFonts w:ascii="Calibri" w:hAnsi="Calibri"/>
                <w:color w:val="000000"/>
                <w:sz w:val="18"/>
                <w:szCs w:val="18"/>
                <w:vertAlign w:val="superscript"/>
              </w:rPr>
              <w:t>13</w:t>
            </w:r>
          </w:p>
        </w:tc>
        <w:tc>
          <w:tcPr>
            <w:tcW w:w="248" w:type="pct"/>
            <w:shd w:val="clear" w:color="auto" w:fill="auto"/>
            <w:noWrap/>
            <w:vAlign w:val="center"/>
          </w:tcPr>
          <w:p w14:paraId="3F10FA1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FCO</w:t>
            </w:r>
            <w:r>
              <w:rPr>
                <w:rFonts w:ascii="Calibri" w:hAnsi="Calibri"/>
                <w:color w:val="000000"/>
                <w:sz w:val="18"/>
                <w:szCs w:val="18"/>
                <w:vertAlign w:val="superscript"/>
              </w:rPr>
              <w:t>13</w:t>
            </w:r>
          </w:p>
        </w:tc>
        <w:tc>
          <w:tcPr>
            <w:tcW w:w="249" w:type="pct"/>
            <w:shd w:val="clear" w:color="auto" w:fill="auto"/>
            <w:noWrap/>
            <w:vAlign w:val="center"/>
          </w:tcPr>
          <w:p w14:paraId="0956C20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FCO</w:t>
            </w:r>
            <w:r>
              <w:rPr>
                <w:rFonts w:ascii="Calibri" w:hAnsi="Calibri"/>
                <w:color w:val="000000"/>
                <w:sz w:val="18"/>
                <w:szCs w:val="18"/>
                <w:vertAlign w:val="superscript"/>
              </w:rPr>
              <w:t>13</w:t>
            </w:r>
          </w:p>
        </w:tc>
        <w:tc>
          <w:tcPr>
            <w:tcW w:w="249" w:type="pct"/>
            <w:shd w:val="clear" w:color="auto" w:fill="auto"/>
            <w:noWrap/>
            <w:vAlign w:val="center"/>
          </w:tcPr>
          <w:p w14:paraId="605E94E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FCO</w:t>
            </w:r>
            <w:r>
              <w:rPr>
                <w:rFonts w:ascii="Calibri" w:hAnsi="Calibri"/>
                <w:color w:val="000000"/>
                <w:sz w:val="18"/>
                <w:szCs w:val="18"/>
                <w:vertAlign w:val="superscript"/>
              </w:rPr>
              <w:t>13</w:t>
            </w:r>
          </w:p>
        </w:tc>
        <w:tc>
          <w:tcPr>
            <w:tcW w:w="249" w:type="pct"/>
            <w:shd w:val="clear" w:color="auto" w:fill="auto"/>
            <w:noWrap/>
            <w:vAlign w:val="center"/>
          </w:tcPr>
          <w:p w14:paraId="2783669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0489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40F4BA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9D62A7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8273D0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1333BCF" w14:textId="77777777" w:rsidTr="00A53EA0">
        <w:trPr>
          <w:trHeight w:val="454"/>
          <w:tblHeader/>
        </w:trPr>
        <w:tc>
          <w:tcPr>
            <w:tcW w:w="771" w:type="pct"/>
            <w:shd w:val="clear" w:color="auto" w:fill="auto"/>
            <w:noWrap/>
            <w:vAlign w:val="center"/>
          </w:tcPr>
          <w:p w14:paraId="51A526B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clozapina</w:t>
            </w:r>
          </w:p>
        </w:tc>
        <w:tc>
          <w:tcPr>
            <w:tcW w:w="249" w:type="pct"/>
            <w:shd w:val="clear" w:color="auto" w:fill="auto"/>
            <w:noWrap/>
            <w:vAlign w:val="center"/>
          </w:tcPr>
          <w:p w14:paraId="47CC29B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E68C0B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B5527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E2A7FE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F7A338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vAlign w:val="center"/>
          </w:tcPr>
          <w:p w14:paraId="7E17EE7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23B04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F2D9ED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0433168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8" w:type="pct"/>
            <w:shd w:val="clear" w:color="auto" w:fill="auto"/>
            <w:noWrap/>
            <w:vAlign w:val="center"/>
          </w:tcPr>
          <w:p w14:paraId="36F478B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5BC7AA0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15D25BB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4215ED9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E47F5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9A896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39292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900727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BAB306E" w14:textId="77777777" w:rsidTr="00A53EA0">
        <w:trPr>
          <w:trHeight w:val="454"/>
          <w:tblHeader/>
        </w:trPr>
        <w:tc>
          <w:tcPr>
            <w:tcW w:w="771" w:type="pct"/>
            <w:shd w:val="clear" w:color="auto" w:fill="auto"/>
            <w:noWrap/>
            <w:vAlign w:val="center"/>
          </w:tcPr>
          <w:p w14:paraId="158A371D" w14:textId="77777777" w:rsidR="00A53EA0" w:rsidRPr="006B1E10" w:rsidRDefault="00A53EA0" w:rsidP="00A53EA0">
            <w:pPr>
              <w:rPr>
                <w:rFonts w:ascii="Calibri" w:hAnsi="Calibri"/>
                <w:color w:val="000000"/>
                <w:sz w:val="18"/>
                <w:szCs w:val="18"/>
              </w:rPr>
            </w:pPr>
            <w:r w:rsidRPr="00CE6DC9">
              <w:rPr>
                <w:rFonts w:ascii="Calibri" w:hAnsi="Calibri"/>
                <w:color w:val="000000"/>
                <w:sz w:val="18"/>
                <w:szCs w:val="18"/>
                <w:highlight w:val="yellow"/>
              </w:rPr>
              <w:t>clopidogrel</w:t>
            </w:r>
          </w:p>
        </w:tc>
        <w:tc>
          <w:tcPr>
            <w:tcW w:w="249" w:type="pct"/>
            <w:shd w:val="clear" w:color="auto" w:fill="auto"/>
            <w:noWrap/>
            <w:vAlign w:val="center"/>
          </w:tcPr>
          <w:p w14:paraId="72710EE0" w14:textId="77777777" w:rsidR="00A53EA0" w:rsidRPr="006B1E10" w:rsidRDefault="00A53EA0" w:rsidP="00A53EA0">
            <w:pPr>
              <w:rPr>
                <w:rFonts w:ascii="Calibri" w:hAnsi="Calibri"/>
                <w:color w:val="000000"/>
                <w:sz w:val="18"/>
                <w:szCs w:val="18"/>
              </w:rPr>
            </w:pPr>
          </w:p>
        </w:tc>
        <w:tc>
          <w:tcPr>
            <w:tcW w:w="250" w:type="pct"/>
            <w:vAlign w:val="center"/>
          </w:tcPr>
          <w:p w14:paraId="7654A22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7DEB3D3" w14:textId="77777777" w:rsidR="00A53EA0" w:rsidRPr="006B1E10" w:rsidRDefault="00A53EA0" w:rsidP="00A53EA0">
            <w:pPr>
              <w:rPr>
                <w:rFonts w:ascii="Calibri" w:hAnsi="Calibri"/>
                <w:color w:val="000000"/>
                <w:sz w:val="18"/>
                <w:szCs w:val="18"/>
              </w:rPr>
            </w:pPr>
          </w:p>
        </w:tc>
        <w:tc>
          <w:tcPr>
            <w:tcW w:w="249" w:type="pct"/>
            <w:vAlign w:val="center"/>
          </w:tcPr>
          <w:p w14:paraId="25A57BE6" w14:textId="77777777" w:rsidR="00A53EA0" w:rsidRPr="00CE6DC9" w:rsidRDefault="00A53EA0" w:rsidP="00A53EA0">
            <w:pPr>
              <w:rPr>
                <w:rFonts w:ascii="Calibri" w:hAnsi="Calibri"/>
                <w:color w:val="000000"/>
                <w:sz w:val="18"/>
                <w:szCs w:val="18"/>
                <w:highlight w:val="yellow"/>
              </w:rPr>
            </w:pPr>
          </w:p>
        </w:tc>
        <w:tc>
          <w:tcPr>
            <w:tcW w:w="249" w:type="pct"/>
            <w:shd w:val="clear" w:color="auto" w:fill="auto"/>
            <w:noWrap/>
            <w:vAlign w:val="center"/>
          </w:tcPr>
          <w:p w14:paraId="588EDCA7" w14:textId="77777777" w:rsidR="00A53EA0" w:rsidRPr="00CE6DC9" w:rsidRDefault="00A53EA0" w:rsidP="00A53EA0">
            <w:pPr>
              <w:rPr>
                <w:rFonts w:ascii="Calibri" w:hAnsi="Calibri"/>
                <w:color w:val="FF0000"/>
                <w:sz w:val="18"/>
                <w:szCs w:val="18"/>
                <w:highlight w:val="yellow"/>
                <w:lang w:val="en-US" w:eastAsia="en-US"/>
              </w:rPr>
            </w:pPr>
            <w:r w:rsidRPr="00CE6DC9">
              <w:rPr>
                <w:rFonts w:ascii="Calibri" w:hAnsi="Calibri"/>
                <w:color w:val="FF0000"/>
                <w:sz w:val="18"/>
                <w:szCs w:val="18"/>
                <w:highlight w:val="yellow"/>
                <w:lang w:val="en-US" w:eastAsia="en-US"/>
              </w:rPr>
              <w:t xml:space="preserve">X </w:t>
            </w:r>
            <w:r w:rsidRPr="00CE6DC9">
              <w:rPr>
                <w:rFonts w:ascii="Calibri" w:hAnsi="Calibri"/>
                <w:sz w:val="18"/>
                <w:szCs w:val="18"/>
                <w:highlight w:val="yellow"/>
                <w:lang w:val="en-US" w:eastAsia="en-US"/>
              </w:rPr>
              <w:sym w:font="Symbol" w:char="F0AF"/>
            </w:r>
            <w:r w:rsidRPr="00CE6DC9">
              <w:rPr>
                <w:rFonts w:ascii="Calibri" w:hAnsi="Calibri"/>
                <w:sz w:val="18"/>
                <w:szCs w:val="18"/>
                <w:highlight w:val="yellow"/>
                <w:lang w:val="en-US" w:eastAsia="en-US"/>
              </w:rPr>
              <w:t>FCO</w:t>
            </w:r>
            <w:r>
              <w:rPr>
                <w:rFonts w:asciiTheme="minorHAnsi" w:hAnsiTheme="minorHAnsi"/>
                <w:sz w:val="20"/>
                <w:szCs w:val="20"/>
                <w:vertAlign w:val="superscript"/>
                <w:lang w:eastAsia="en-US"/>
              </w:rPr>
              <w:t>38</w:t>
            </w:r>
          </w:p>
        </w:tc>
        <w:tc>
          <w:tcPr>
            <w:tcW w:w="249" w:type="pct"/>
            <w:vAlign w:val="center"/>
          </w:tcPr>
          <w:p w14:paraId="7BB3D20C" w14:textId="77777777" w:rsidR="00A53EA0" w:rsidRPr="00CE6DC9" w:rsidRDefault="00A53EA0" w:rsidP="00A53EA0">
            <w:pPr>
              <w:rPr>
                <w:rFonts w:ascii="Calibri" w:hAnsi="Calibri"/>
                <w:color w:val="000000"/>
                <w:sz w:val="18"/>
                <w:szCs w:val="18"/>
                <w:highlight w:val="yellow"/>
              </w:rPr>
            </w:pPr>
          </w:p>
        </w:tc>
        <w:tc>
          <w:tcPr>
            <w:tcW w:w="249" w:type="pct"/>
            <w:shd w:val="clear" w:color="auto" w:fill="auto"/>
            <w:noWrap/>
            <w:vAlign w:val="center"/>
          </w:tcPr>
          <w:p w14:paraId="3C8E1F54" w14:textId="77777777" w:rsidR="00A53EA0" w:rsidRPr="00CE6DC9" w:rsidRDefault="00A53EA0" w:rsidP="00A53EA0">
            <w:pPr>
              <w:rPr>
                <w:rFonts w:ascii="Calibri" w:hAnsi="Calibri"/>
                <w:color w:val="000000"/>
                <w:sz w:val="18"/>
                <w:szCs w:val="18"/>
                <w:highlight w:val="yellow"/>
              </w:rPr>
            </w:pPr>
          </w:p>
        </w:tc>
        <w:tc>
          <w:tcPr>
            <w:tcW w:w="249" w:type="pct"/>
            <w:shd w:val="clear" w:color="auto" w:fill="auto"/>
            <w:noWrap/>
            <w:vAlign w:val="center"/>
          </w:tcPr>
          <w:p w14:paraId="3354B4DB" w14:textId="77777777" w:rsidR="00A53EA0" w:rsidRPr="00814F30" w:rsidRDefault="00A53EA0" w:rsidP="00A53EA0">
            <w:pPr>
              <w:rPr>
                <w:rFonts w:ascii="Calibri" w:hAnsi="Calibri"/>
                <w:color w:val="FF0000"/>
                <w:sz w:val="18"/>
                <w:szCs w:val="18"/>
                <w:highlight w:val="magenta"/>
                <w:lang w:val="en-US" w:eastAsia="en-US"/>
              </w:rPr>
            </w:pPr>
            <w:r w:rsidRPr="00145DBA">
              <w:rPr>
                <w:rFonts w:ascii="Calibri" w:hAnsi="Calibri"/>
                <w:color w:val="FF0000"/>
                <w:sz w:val="18"/>
                <w:szCs w:val="18"/>
                <w:highlight w:val="yellow"/>
                <w:lang w:val="en-US" w:eastAsia="en-US"/>
              </w:rPr>
              <w:t xml:space="preserve">X </w:t>
            </w:r>
            <w:r w:rsidRPr="00145DBA">
              <w:rPr>
                <w:rFonts w:ascii="Calibri" w:hAnsi="Calibri"/>
                <w:sz w:val="18"/>
                <w:szCs w:val="18"/>
                <w:highlight w:val="yellow"/>
                <w:lang w:val="en-US" w:eastAsia="en-US"/>
              </w:rPr>
              <w:sym w:font="Symbol" w:char="F0AF"/>
            </w:r>
            <w:r w:rsidRPr="00145DBA">
              <w:rPr>
                <w:rFonts w:ascii="Calibri" w:hAnsi="Calibri"/>
                <w:sz w:val="18"/>
                <w:szCs w:val="18"/>
                <w:highlight w:val="yellow"/>
                <w:lang w:val="en-US" w:eastAsia="en-US"/>
              </w:rPr>
              <w:t>FCO</w:t>
            </w:r>
            <w:r w:rsidRPr="00145DBA">
              <w:rPr>
                <w:rFonts w:ascii="Calibri" w:hAnsi="Calibri"/>
                <w:sz w:val="18"/>
                <w:szCs w:val="18"/>
                <w:highlight w:val="yellow"/>
                <w:vertAlign w:val="superscript"/>
                <w:lang w:eastAsia="en-US"/>
              </w:rPr>
              <w:t>38</w:t>
            </w:r>
          </w:p>
        </w:tc>
        <w:tc>
          <w:tcPr>
            <w:tcW w:w="249" w:type="pct"/>
            <w:shd w:val="clear" w:color="000000" w:fill="FFFFFF"/>
            <w:noWrap/>
            <w:vAlign w:val="center"/>
          </w:tcPr>
          <w:p w14:paraId="53AAF925" w14:textId="77777777" w:rsidR="00A53EA0" w:rsidRPr="00CE6DC9" w:rsidRDefault="00A53EA0" w:rsidP="00A53EA0">
            <w:pPr>
              <w:rPr>
                <w:rFonts w:ascii="Calibri" w:hAnsi="Calibri"/>
                <w:color w:val="FF0000"/>
                <w:sz w:val="18"/>
                <w:szCs w:val="18"/>
                <w:highlight w:val="yellow"/>
                <w:lang w:val="en-US" w:eastAsia="en-US"/>
              </w:rPr>
            </w:pPr>
            <w:r w:rsidRPr="00CE6DC9">
              <w:rPr>
                <w:rFonts w:ascii="Calibri" w:hAnsi="Calibri"/>
                <w:color w:val="FF0000"/>
                <w:sz w:val="18"/>
                <w:szCs w:val="18"/>
                <w:highlight w:val="yellow"/>
                <w:lang w:val="en-US" w:eastAsia="en-US"/>
              </w:rPr>
              <w:t xml:space="preserve">X </w:t>
            </w:r>
            <w:r w:rsidRPr="00CE6DC9">
              <w:rPr>
                <w:rFonts w:ascii="Calibri" w:hAnsi="Calibri"/>
                <w:sz w:val="18"/>
                <w:szCs w:val="18"/>
                <w:highlight w:val="yellow"/>
                <w:lang w:val="en-US" w:eastAsia="en-US"/>
              </w:rPr>
              <w:sym w:font="Symbol" w:char="F0AF"/>
            </w:r>
            <w:r w:rsidRPr="00CE6DC9">
              <w:rPr>
                <w:rFonts w:ascii="Calibri" w:hAnsi="Calibri"/>
                <w:sz w:val="18"/>
                <w:szCs w:val="18"/>
                <w:highlight w:val="yellow"/>
                <w:lang w:val="en-US" w:eastAsia="en-US"/>
              </w:rPr>
              <w:t>FCO</w:t>
            </w:r>
            <w:r>
              <w:rPr>
                <w:rFonts w:asciiTheme="minorHAnsi" w:hAnsiTheme="minorHAnsi"/>
                <w:sz w:val="20"/>
                <w:szCs w:val="20"/>
                <w:vertAlign w:val="superscript"/>
                <w:lang w:eastAsia="en-US"/>
              </w:rPr>
              <w:t>38</w:t>
            </w:r>
          </w:p>
        </w:tc>
        <w:tc>
          <w:tcPr>
            <w:tcW w:w="248" w:type="pct"/>
            <w:shd w:val="clear" w:color="auto" w:fill="auto"/>
            <w:noWrap/>
            <w:vAlign w:val="center"/>
          </w:tcPr>
          <w:p w14:paraId="6124D422" w14:textId="77777777" w:rsidR="00A53EA0" w:rsidRPr="00CE6DC9" w:rsidRDefault="00A53EA0" w:rsidP="00A53EA0">
            <w:pPr>
              <w:rPr>
                <w:rFonts w:ascii="Calibri" w:hAnsi="Calibri"/>
                <w:color w:val="FF0000"/>
                <w:sz w:val="18"/>
                <w:szCs w:val="18"/>
                <w:highlight w:val="yellow"/>
                <w:lang w:val="en-US" w:eastAsia="en-US"/>
              </w:rPr>
            </w:pPr>
            <w:r w:rsidRPr="00CE6DC9">
              <w:rPr>
                <w:rFonts w:ascii="Calibri" w:hAnsi="Calibri"/>
                <w:color w:val="FF0000"/>
                <w:sz w:val="18"/>
                <w:szCs w:val="18"/>
                <w:highlight w:val="yellow"/>
                <w:lang w:val="en-US" w:eastAsia="en-US"/>
              </w:rPr>
              <w:t xml:space="preserve">X </w:t>
            </w:r>
            <w:r w:rsidRPr="00CE6DC9">
              <w:rPr>
                <w:rFonts w:ascii="Calibri" w:hAnsi="Calibri"/>
                <w:sz w:val="18"/>
                <w:szCs w:val="18"/>
                <w:highlight w:val="yellow"/>
                <w:lang w:val="en-US" w:eastAsia="en-US"/>
              </w:rPr>
              <w:sym w:font="Symbol" w:char="F0AF"/>
            </w:r>
            <w:r w:rsidRPr="00CE6DC9">
              <w:rPr>
                <w:rFonts w:ascii="Calibri" w:hAnsi="Calibri"/>
                <w:sz w:val="18"/>
                <w:szCs w:val="18"/>
                <w:highlight w:val="yellow"/>
                <w:lang w:val="en-US" w:eastAsia="en-US"/>
              </w:rPr>
              <w:t>FCO</w:t>
            </w:r>
            <w:r>
              <w:rPr>
                <w:rFonts w:asciiTheme="minorHAnsi" w:hAnsiTheme="minorHAnsi"/>
                <w:sz w:val="20"/>
                <w:szCs w:val="20"/>
                <w:vertAlign w:val="superscript"/>
                <w:lang w:eastAsia="en-US"/>
              </w:rPr>
              <w:t>38</w:t>
            </w:r>
          </w:p>
        </w:tc>
        <w:tc>
          <w:tcPr>
            <w:tcW w:w="249" w:type="pct"/>
            <w:shd w:val="clear" w:color="auto" w:fill="auto"/>
            <w:noWrap/>
            <w:vAlign w:val="center"/>
          </w:tcPr>
          <w:p w14:paraId="5CEB186E" w14:textId="77777777" w:rsidR="00A53EA0" w:rsidRPr="00CE6DC9" w:rsidRDefault="00A53EA0" w:rsidP="00A53EA0">
            <w:pPr>
              <w:rPr>
                <w:rFonts w:ascii="Calibri" w:hAnsi="Calibri"/>
                <w:color w:val="FF0000"/>
                <w:sz w:val="18"/>
                <w:szCs w:val="18"/>
                <w:highlight w:val="yellow"/>
                <w:lang w:val="en-US" w:eastAsia="en-US"/>
              </w:rPr>
            </w:pPr>
            <w:r w:rsidRPr="00CE6DC9">
              <w:rPr>
                <w:rFonts w:ascii="Calibri" w:hAnsi="Calibri"/>
                <w:color w:val="FF0000"/>
                <w:sz w:val="18"/>
                <w:szCs w:val="18"/>
                <w:highlight w:val="yellow"/>
                <w:lang w:val="en-US" w:eastAsia="en-US"/>
              </w:rPr>
              <w:t xml:space="preserve">X </w:t>
            </w:r>
            <w:r w:rsidRPr="00CE6DC9">
              <w:rPr>
                <w:rFonts w:ascii="Calibri" w:hAnsi="Calibri"/>
                <w:sz w:val="18"/>
                <w:szCs w:val="18"/>
                <w:highlight w:val="yellow"/>
                <w:lang w:val="en-US" w:eastAsia="en-US"/>
              </w:rPr>
              <w:sym w:font="Symbol" w:char="F0AF"/>
            </w:r>
            <w:r w:rsidRPr="00CE6DC9">
              <w:rPr>
                <w:rFonts w:ascii="Calibri" w:hAnsi="Calibri"/>
                <w:sz w:val="18"/>
                <w:szCs w:val="18"/>
                <w:highlight w:val="yellow"/>
                <w:lang w:val="en-US" w:eastAsia="en-US"/>
              </w:rPr>
              <w:t>FCO</w:t>
            </w:r>
            <w:r>
              <w:rPr>
                <w:rFonts w:asciiTheme="minorHAnsi" w:hAnsiTheme="minorHAnsi"/>
                <w:sz w:val="20"/>
                <w:szCs w:val="20"/>
                <w:vertAlign w:val="superscript"/>
                <w:lang w:eastAsia="en-US"/>
              </w:rPr>
              <w:t>38</w:t>
            </w:r>
          </w:p>
        </w:tc>
        <w:tc>
          <w:tcPr>
            <w:tcW w:w="249" w:type="pct"/>
            <w:shd w:val="clear" w:color="auto" w:fill="auto"/>
            <w:noWrap/>
            <w:vAlign w:val="center"/>
          </w:tcPr>
          <w:p w14:paraId="42152C5F" w14:textId="77777777" w:rsidR="00A53EA0" w:rsidRPr="00CE6DC9" w:rsidRDefault="00A53EA0" w:rsidP="00A53EA0">
            <w:pPr>
              <w:rPr>
                <w:rFonts w:ascii="Calibri" w:hAnsi="Calibri"/>
                <w:color w:val="FF0000"/>
                <w:sz w:val="18"/>
                <w:szCs w:val="18"/>
                <w:highlight w:val="yellow"/>
                <w:lang w:val="en-US" w:eastAsia="en-US"/>
              </w:rPr>
            </w:pPr>
            <w:r w:rsidRPr="00CE6DC9">
              <w:rPr>
                <w:rFonts w:ascii="Calibri" w:hAnsi="Calibri"/>
                <w:color w:val="FF0000"/>
                <w:sz w:val="18"/>
                <w:szCs w:val="18"/>
                <w:highlight w:val="yellow"/>
                <w:lang w:val="en-US" w:eastAsia="en-US"/>
              </w:rPr>
              <w:t xml:space="preserve">X </w:t>
            </w:r>
            <w:r w:rsidRPr="00CE6DC9">
              <w:rPr>
                <w:rFonts w:ascii="Calibri" w:hAnsi="Calibri"/>
                <w:sz w:val="18"/>
                <w:szCs w:val="18"/>
                <w:highlight w:val="yellow"/>
                <w:lang w:val="en-US" w:eastAsia="en-US"/>
              </w:rPr>
              <w:sym w:font="Symbol" w:char="F0AF"/>
            </w:r>
            <w:r w:rsidRPr="00CE6DC9">
              <w:rPr>
                <w:rFonts w:ascii="Calibri" w:hAnsi="Calibri"/>
                <w:sz w:val="18"/>
                <w:szCs w:val="18"/>
                <w:highlight w:val="yellow"/>
                <w:lang w:val="en-US" w:eastAsia="en-US"/>
              </w:rPr>
              <w:t>FCO</w:t>
            </w:r>
            <w:r>
              <w:rPr>
                <w:rFonts w:asciiTheme="minorHAnsi" w:hAnsiTheme="minorHAnsi"/>
                <w:sz w:val="20"/>
                <w:szCs w:val="20"/>
                <w:vertAlign w:val="superscript"/>
                <w:lang w:eastAsia="en-US"/>
              </w:rPr>
              <w:t>38</w:t>
            </w:r>
          </w:p>
        </w:tc>
        <w:tc>
          <w:tcPr>
            <w:tcW w:w="249" w:type="pct"/>
            <w:shd w:val="clear" w:color="auto" w:fill="auto"/>
            <w:noWrap/>
            <w:vAlign w:val="center"/>
          </w:tcPr>
          <w:p w14:paraId="41540E61" w14:textId="77777777" w:rsidR="00A53EA0" w:rsidRPr="00CE6DC9" w:rsidRDefault="00A53EA0" w:rsidP="00A53EA0">
            <w:pPr>
              <w:rPr>
                <w:rFonts w:ascii="Calibri" w:hAnsi="Calibri"/>
                <w:color w:val="000000"/>
                <w:sz w:val="18"/>
                <w:szCs w:val="18"/>
                <w:highlight w:val="yellow"/>
              </w:rPr>
            </w:pPr>
          </w:p>
        </w:tc>
        <w:tc>
          <w:tcPr>
            <w:tcW w:w="249" w:type="pct"/>
            <w:shd w:val="clear" w:color="auto" w:fill="auto"/>
            <w:noWrap/>
            <w:vAlign w:val="center"/>
          </w:tcPr>
          <w:p w14:paraId="50B87F3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F57B5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4894C9C"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24CE99E" w14:textId="77777777" w:rsidR="00A53EA0" w:rsidRPr="006B1E10" w:rsidRDefault="00A53EA0" w:rsidP="00A53EA0">
            <w:pPr>
              <w:rPr>
                <w:rFonts w:ascii="Calibri" w:hAnsi="Calibri"/>
                <w:color w:val="000000"/>
                <w:sz w:val="18"/>
                <w:szCs w:val="18"/>
              </w:rPr>
            </w:pPr>
          </w:p>
        </w:tc>
      </w:tr>
      <w:tr w:rsidR="00A53EA0" w:rsidRPr="006B1E10" w14:paraId="390C4299" w14:textId="77777777" w:rsidTr="00A53EA0">
        <w:trPr>
          <w:trHeight w:val="454"/>
          <w:tblHeader/>
        </w:trPr>
        <w:tc>
          <w:tcPr>
            <w:tcW w:w="771" w:type="pct"/>
            <w:shd w:val="clear" w:color="auto" w:fill="auto"/>
            <w:noWrap/>
            <w:vAlign w:val="center"/>
          </w:tcPr>
          <w:p w14:paraId="216DEA9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cobimetinib</w:t>
            </w:r>
          </w:p>
        </w:tc>
        <w:tc>
          <w:tcPr>
            <w:tcW w:w="249" w:type="pct"/>
            <w:shd w:val="clear" w:color="auto" w:fill="auto"/>
            <w:noWrap/>
            <w:vAlign w:val="center"/>
          </w:tcPr>
          <w:p w14:paraId="10CD7BCC" w14:textId="77777777" w:rsidR="00A53EA0" w:rsidRPr="006B1E10" w:rsidRDefault="00A53EA0" w:rsidP="00A53EA0">
            <w:pPr>
              <w:rPr>
                <w:rFonts w:ascii="Calibri" w:hAnsi="Calibri"/>
                <w:color w:val="000000"/>
                <w:sz w:val="18"/>
                <w:szCs w:val="18"/>
              </w:rPr>
            </w:pPr>
          </w:p>
        </w:tc>
        <w:tc>
          <w:tcPr>
            <w:tcW w:w="250" w:type="pct"/>
            <w:vAlign w:val="center"/>
          </w:tcPr>
          <w:p w14:paraId="36130BE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BBE7F2" w14:textId="77777777" w:rsidR="00A53EA0" w:rsidRPr="006B1E10" w:rsidRDefault="00A53EA0" w:rsidP="00A53EA0">
            <w:pPr>
              <w:rPr>
                <w:rFonts w:ascii="Calibri" w:hAnsi="Calibri"/>
                <w:color w:val="000000"/>
                <w:sz w:val="18"/>
                <w:szCs w:val="18"/>
              </w:rPr>
            </w:pPr>
          </w:p>
        </w:tc>
        <w:tc>
          <w:tcPr>
            <w:tcW w:w="249" w:type="pct"/>
            <w:vAlign w:val="center"/>
          </w:tcPr>
          <w:p w14:paraId="2ABDF8A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F8A197"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615BFAE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B5D3C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A8A3AE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000000" w:fill="FFFFFF"/>
            <w:noWrap/>
            <w:vAlign w:val="center"/>
          </w:tcPr>
          <w:p w14:paraId="24039ACC"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395651F6"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F9319A4"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94B892A"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1D9C8E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FD2C0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D8F91F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DE8C43"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2FB7CBA5" w14:textId="77777777" w:rsidR="00A53EA0" w:rsidRPr="006B1E10" w:rsidRDefault="00A53EA0" w:rsidP="00A53EA0">
            <w:pPr>
              <w:rPr>
                <w:rFonts w:ascii="Calibri" w:hAnsi="Calibri"/>
                <w:color w:val="000000"/>
                <w:sz w:val="18"/>
                <w:szCs w:val="18"/>
              </w:rPr>
            </w:pPr>
          </w:p>
        </w:tc>
      </w:tr>
      <w:tr w:rsidR="00A53EA0" w:rsidRPr="006B1E10" w14:paraId="618DA9D3" w14:textId="77777777" w:rsidTr="00A53EA0">
        <w:trPr>
          <w:trHeight w:val="454"/>
          <w:tblHeader/>
        </w:trPr>
        <w:tc>
          <w:tcPr>
            <w:tcW w:w="771" w:type="pct"/>
            <w:shd w:val="clear" w:color="auto" w:fill="auto"/>
            <w:noWrap/>
            <w:vAlign w:val="center"/>
          </w:tcPr>
          <w:p w14:paraId="2663B04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colchicina</w:t>
            </w:r>
          </w:p>
        </w:tc>
        <w:tc>
          <w:tcPr>
            <w:tcW w:w="249" w:type="pct"/>
            <w:shd w:val="clear" w:color="auto" w:fill="auto"/>
            <w:noWrap/>
            <w:vAlign w:val="center"/>
          </w:tcPr>
          <w:p w14:paraId="596DDB8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68B6DB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FCA44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03704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9AF7C6A"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14</w:t>
            </w:r>
          </w:p>
        </w:tc>
        <w:tc>
          <w:tcPr>
            <w:tcW w:w="249" w:type="pct"/>
            <w:vAlign w:val="center"/>
          </w:tcPr>
          <w:p w14:paraId="6C44C86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5C9AF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56CF9B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00B4DD6B"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14</w:t>
            </w:r>
          </w:p>
        </w:tc>
        <w:tc>
          <w:tcPr>
            <w:tcW w:w="248" w:type="pct"/>
            <w:shd w:val="clear" w:color="auto" w:fill="auto"/>
            <w:noWrap/>
            <w:vAlign w:val="center"/>
          </w:tcPr>
          <w:p w14:paraId="359EEF9E"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14</w:t>
            </w:r>
          </w:p>
        </w:tc>
        <w:tc>
          <w:tcPr>
            <w:tcW w:w="249" w:type="pct"/>
            <w:shd w:val="clear" w:color="auto" w:fill="auto"/>
            <w:noWrap/>
            <w:vAlign w:val="center"/>
          </w:tcPr>
          <w:p w14:paraId="2D5B5E8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14</w:t>
            </w:r>
          </w:p>
        </w:tc>
        <w:tc>
          <w:tcPr>
            <w:tcW w:w="249" w:type="pct"/>
            <w:shd w:val="clear" w:color="auto" w:fill="auto"/>
            <w:noWrap/>
            <w:vAlign w:val="center"/>
          </w:tcPr>
          <w:p w14:paraId="25458BED"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14</w:t>
            </w:r>
          </w:p>
        </w:tc>
        <w:tc>
          <w:tcPr>
            <w:tcW w:w="249" w:type="pct"/>
            <w:shd w:val="clear" w:color="auto" w:fill="auto"/>
            <w:noWrap/>
            <w:vAlign w:val="center"/>
          </w:tcPr>
          <w:p w14:paraId="7815CF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CFCB9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9C368B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894A86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A0DE1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FD1A730" w14:textId="77777777" w:rsidTr="00A53EA0">
        <w:trPr>
          <w:trHeight w:val="454"/>
          <w:tblHeader/>
        </w:trPr>
        <w:tc>
          <w:tcPr>
            <w:tcW w:w="771" w:type="pct"/>
            <w:shd w:val="clear" w:color="auto" w:fill="auto"/>
            <w:noWrap/>
            <w:vAlign w:val="center"/>
          </w:tcPr>
          <w:p w14:paraId="12B8E955" w14:textId="77777777" w:rsidR="00A53EA0" w:rsidRPr="006B1E10" w:rsidRDefault="00A53EA0" w:rsidP="00A53EA0">
            <w:pPr>
              <w:rPr>
                <w:rFonts w:asciiTheme="minorHAnsi" w:hAnsiTheme="minorHAnsi"/>
                <w:sz w:val="18"/>
                <w:szCs w:val="18"/>
              </w:rPr>
            </w:pPr>
            <w:r w:rsidRPr="006B1E10">
              <w:rPr>
                <w:rFonts w:asciiTheme="minorHAnsi" w:hAnsiTheme="minorHAnsi"/>
                <w:sz w:val="18"/>
                <w:szCs w:val="18"/>
                <w:highlight w:val="yellow"/>
              </w:rPr>
              <w:t>crizotinib</w:t>
            </w:r>
          </w:p>
        </w:tc>
        <w:tc>
          <w:tcPr>
            <w:tcW w:w="249" w:type="pct"/>
            <w:shd w:val="clear" w:color="auto" w:fill="auto"/>
            <w:noWrap/>
            <w:vAlign w:val="center"/>
          </w:tcPr>
          <w:p w14:paraId="5ADC2803" w14:textId="77777777" w:rsidR="00A53EA0" w:rsidRPr="006B1E10" w:rsidRDefault="00A53EA0" w:rsidP="00A53EA0">
            <w:pPr>
              <w:rPr>
                <w:rFonts w:asciiTheme="minorHAnsi" w:hAnsiTheme="minorHAnsi"/>
                <w:color w:val="000000"/>
                <w:sz w:val="18"/>
                <w:szCs w:val="18"/>
              </w:rPr>
            </w:pPr>
          </w:p>
        </w:tc>
        <w:tc>
          <w:tcPr>
            <w:tcW w:w="250" w:type="pct"/>
            <w:vAlign w:val="center"/>
          </w:tcPr>
          <w:p w14:paraId="4AF7D587" w14:textId="77777777" w:rsidR="00A53EA0" w:rsidRPr="006B1E10" w:rsidRDefault="00A53EA0" w:rsidP="00A53EA0">
            <w:pPr>
              <w:rPr>
                <w:rFonts w:asciiTheme="minorHAnsi" w:hAnsiTheme="minorHAnsi"/>
                <w:color w:val="000000"/>
                <w:sz w:val="18"/>
                <w:szCs w:val="18"/>
              </w:rPr>
            </w:pPr>
          </w:p>
        </w:tc>
        <w:tc>
          <w:tcPr>
            <w:tcW w:w="249" w:type="pct"/>
            <w:shd w:val="clear" w:color="auto" w:fill="auto"/>
            <w:noWrap/>
            <w:vAlign w:val="center"/>
          </w:tcPr>
          <w:p w14:paraId="20C77F1A" w14:textId="77777777" w:rsidR="00A53EA0" w:rsidRPr="006B1E10" w:rsidRDefault="00A53EA0" w:rsidP="00A53EA0">
            <w:pPr>
              <w:rPr>
                <w:rFonts w:asciiTheme="minorHAnsi" w:hAnsiTheme="minorHAnsi"/>
                <w:color w:val="000000"/>
                <w:sz w:val="18"/>
                <w:szCs w:val="18"/>
              </w:rPr>
            </w:pPr>
          </w:p>
        </w:tc>
        <w:tc>
          <w:tcPr>
            <w:tcW w:w="249" w:type="pct"/>
            <w:vAlign w:val="center"/>
          </w:tcPr>
          <w:p w14:paraId="2063C0DE"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2DEAD5DF" w14:textId="77777777" w:rsidR="00A53EA0" w:rsidRPr="006B1E10" w:rsidRDefault="00A53EA0" w:rsidP="00A53EA0">
            <w:pPr>
              <w:rPr>
                <w:rFonts w:asciiTheme="minorHAnsi" w:hAnsiTheme="minorHAnsi"/>
                <w:sz w:val="18"/>
                <w:szCs w:val="18"/>
                <w:highlight w:val="yellow"/>
                <w:lang w:val="en-US"/>
              </w:rPr>
            </w:pPr>
            <w:r w:rsidRPr="00A2609C">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NR</w:t>
            </w:r>
          </w:p>
          <w:p w14:paraId="251BA1F5" w14:textId="77777777" w:rsidR="00A53EA0" w:rsidRPr="006B1E10" w:rsidRDefault="00A53EA0" w:rsidP="00A53EA0">
            <w:pPr>
              <w:rPr>
                <w:rFonts w:asciiTheme="minorHAnsi" w:hAnsiTheme="minorHAnsi"/>
                <w:sz w:val="18"/>
                <w:szCs w:val="18"/>
                <w:highlight w:val="yellow"/>
                <w:lang w:val="en-US"/>
              </w:rPr>
            </w:pPr>
          </w:p>
        </w:tc>
        <w:tc>
          <w:tcPr>
            <w:tcW w:w="249" w:type="pct"/>
            <w:vAlign w:val="center"/>
          </w:tcPr>
          <w:p w14:paraId="3020F498" w14:textId="77777777" w:rsidR="00A53EA0" w:rsidRPr="007F749A" w:rsidRDefault="00A53EA0" w:rsidP="00A53EA0">
            <w:pPr>
              <w:rPr>
                <w:rFonts w:asciiTheme="minorHAnsi" w:hAnsiTheme="minorHAnsi"/>
                <w:sz w:val="18"/>
                <w:szCs w:val="18"/>
                <w:highlight w:val="yellow"/>
              </w:rPr>
            </w:pPr>
          </w:p>
        </w:tc>
        <w:tc>
          <w:tcPr>
            <w:tcW w:w="249" w:type="pct"/>
            <w:shd w:val="clear" w:color="auto" w:fill="auto"/>
            <w:noWrap/>
            <w:vAlign w:val="center"/>
          </w:tcPr>
          <w:p w14:paraId="7B5434B8" w14:textId="77777777" w:rsidR="00A53EA0" w:rsidRPr="007F749A" w:rsidRDefault="00A53EA0" w:rsidP="00A53EA0">
            <w:pPr>
              <w:rPr>
                <w:rFonts w:asciiTheme="minorHAnsi" w:hAnsiTheme="minorHAnsi"/>
                <w:color w:val="000000"/>
                <w:sz w:val="18"/>
                <w:szCs w:val="18"/>
                <w:highlight w:val="yellow"/>
              </w:rPr>
            </w:pPr>
            <w:r w:rsidRPr="007F749A">
              <w:rPr>
                <w:rFonts w:asciiTheme="minorHAnsi" w:hAnsiTheme="minorHAnsi"/>
                <w:sz w:val="18"/>
                <w:szCs w:val="18"/>
                <w:highlight w:val="yellow"/>
                <w:lang w:val="en-US"/>
              </w:rPr>
              <w:sym w:font="Symbol" w:char="F0AD"/>
            </w:r>
            <w:r w:rsidRPr="007F749A">
              <w:rPr>
                <w:rFonts w:asciiTheme="minorHAnsi" w:hAnsiTheme="minorHAnsi"/>
                <w:sz w:val="18"/>
                <w:szCs w:val="18"/>
                <w:highlight w:val="yellow"/>
                <w:lang w:val="en-US"/>
              </w:rPr>
              <w:t xml:space="preserve">ARV </w:t>
            </w:r>
            <w:r w:rsidRPr="007F749A">
              <w:rPr>
                <w:rFonts w:asciiTheme="minorHAnsi" w:hAnsiTheme="minorHAnsi"/>
                <w:sz w:val="18"/>
                <w:szCs w:val="18"/>
                <w:highlight w:val="yellow"/>
                <w:lang w:val="en-US"/>
              </w:rPr>
              <w:sym w:font="Symbol" w:char="F0AD"/>
            </w:r>
            <w:r w:rsidRPr="007F749A">
              <w:rPr>
                <w:rFonts w:asciiTheme="minorHAnsi" w:hAnsiTheme="minorHAnsi"/>
                <w:sz w:val="18"/>
                <w:szCs w:val="18"/>
                <w:highlight w:val="yellow"/>
                <w:lang w:val="en-US"/>
              </w:rPr>
              <w:t>TOX</w:t>
            </w:r>
            <w:r w:rsidRPr="007F749A">
              <w:rPr>
                <w:rFonts w:asciiTheme="minorHAnsi" w:hAnsiTheme="minorHAnsi"/>
                <w:sz w:val="18"/>
                <w:szCs w:val="18"/>
                <w:highlight w:val="yellow"/>
                <w:vertAlign w:val="superscript"/>
                <w:lang w:val="es-ES_tradnl"/>
              </w:rPr>
              <w:t>16</w:t>
            </w:r>
          </w:p>
        </w:tc>
        <w:tc>
          <w:tcPr>
            <w:tcW w:w="249" w:type="pct"/>
            <w:shd w:val="clear" w:color="auto" w:fill="auto"/>
            <w:noWrap/>
            <w:vAlign w:val="center"/>
          </w:tcPr>
          <w:p w14:paraId="68777E50"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color w:val="FF0000"/>
                <w:sz w:val="18"/>
                <w:szCs w:val="18"/>
                <w:highlight w:val="yellow"/>
                <w:lang w:val="en-US"/>
              </w:rPr>
              <w:t>X</w:t>
            </w:r>
            <w:r w:rsidRPr="007F749A">
              <w:rPr>
                <w:rFonts w:asciiTheme="minorHAnsi" w:hAnsiTheme="minorHAnsi"/>
                <w:sz w:val="18"/>
                <w:szCs w:val="18"/>
                <w:highlight w:val="yellow"/>
                <w:lang w:val="en-US"/>
              </w:rPr>
              <w:t xml:space="preserve"> NR</w:t>
            </w:r>
          </w:p>
          <w:p w14:paraId="4B35AC7C" w14:textId="77777777" w:rsidR="00A53EA0" w:rsidRPr="007F749A" w:rsidRDefault="00A53EA0" w:rsidP="00A53EA0">
            <w:pPr>
              <w:rPr>
                <w:rFonts w:asciiTheme="minorHAnsi" w:hAnsiTheme="minorHAnsi"/>
                <w:color w:val="000000"/>
                <w:sz w:val="18"/>
                <w:szCs w:val="18"/>
                <w:highlight w:val="yellow"/>
              </w:rPr>
            </w:pPr>
          </w:p>
        </w:tc>
        <w:tc>
          <w:tcPr>
            <w:tcW w:w="249" w:type="pct"/>
            <w:shd w:val="clear" w:color="000000" w:fill="FFFFFF"/>
            <w:noWrap/>
            <w:vAlign w:val="center"/>
          </w:tcPr>
          <w:p w14:paraId="652700B0"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color w:val="FF0000"/>
                <w:sz w:val="18"/>
                <w:szCs w:val="18"/>
                <w:highlight w:val="yellow"/>
                <w:lang w:val="en-US"/>
              </w:rPr>
              <w:t>X</w:t>
            </w:r>
            <w:r w:rsidRPr="007F749A">
              <w:rPr>
                <w:rFonts w:asciiTheme="minorHAnsi" w:hAnsiTheme="minorHAnsi"/>
                <w:sz w:val="18"/>
                <w:szCs w:val="18"/>
                <w:highlight w:val="yellow"/>
                <w:lang w:val="en-US"/>
              </w:rPr>
              <w:t xml:space="preserve"> NR</w:t>
            </w:r>
          </w:p>
          <w:p w14:paraId="24525281"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sz w:val="18"/>
                <w:szCs w:val="18"/>
                <w:highlight w:val="yellow"/>
                <w:lang w:val="en-US"/>
              </w:rPr>
              <w:sym w:font="Symbol" w:char="F0AD"/>
            </w:r>
            <w:r w:rsidRPr="007F749A">
              <w:rPr>
                <w:rFonts w:asciiTheme="minorHAnsi" w:hAnsiTheme="minorHAnsi"/>
                <w:sz w:val="18"/>
                <w:szCs w:val="18"/>
                <w:highlight w:val="yellow"/>
                <w:lang w:val="en-US"/>
              </w:rPr>
              <w:t>TOX</w:t>
            </w:r>
            <w:r w:rsidRPr="007F749A">
              <w:rPr>
                <w:rFonts w:asciiTheme="minorHAnsi" w:hAnsiTheme="minorHAnsi"/>
                <w:sz w:val="18"/>
                <w:szCs w:val="18"/>
                <w:highlight w:val="yellow"/>
                <w:vertAlign w:val="superscript"/>
                <w:lang w:val="es-ES_tradnl"/>
              </w:rPr>
              <w:t>16</w:t>
            </w:r>
          </w:p>
        </w:tc>
        <w:tc>
          <w:tcPr>
            <w:tcW w:w="248" w:type="pct"/>
            <w:shd w:val="clear" w:color="auto" w:fill="auto"/>
            <w:noWrap/>
            <w:vAlign w:val="center"/>
          </w:tcPr>
          <w:p w14:paraId="0533EE4B"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color w:val="FF0000"/>
                <w:sz w:val="18"/>
                <w:szCs w:val="18"/>
                <w:highlight w:val="yellow"/>
                <w:lang w:val="en-US"/>
              </w:rPr>
              <w:t>X</w:t>
            </w:r>
            <w:r w:rsidRPr="007F749A">
              <w:rPr>
                <w:rFonts w:asciiTheme="minorHAnsi" w:hAnsiTheme="minorHAnsi"/>
                <w:sz w:val="18"/>
                <w:szCs w:val="18"/>
                <w:highlight w:val="yellow"/>
                <w:lang w:val="en-US"/>
              </w:rPr>
              <w:t xml:space="preserve"> NR</w:t>
            </w:r>
          </w:p>
          <w:p w14:paraId="3449550A"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sz w:val="18"/>
                <w:szCs w:val="18"/>
                <w:highlight w:val="yellow"/>
                <w:lang w:val="en-US"/>
              </w:rPr>
              <w:sym w:font="Symbol" w:char="F0AD"/>
            </w:r>
            <w:r w:rsidRPr="007F749A">
              <w:rPr>
                <w:rFonts w:asciiTheme="minorHAnsi" w:hAnsiTheme="minorHAnsi"/>
                <w:sz w:val="18"/>
                <w:szCs w:val="18"/>
                <w:highlight w:val="yellow"/>
                <w:lang w:val="en-US"/>
              </w:rPr>
              <w:t>TOX</w:t>
            </w:r>
            <w:r w:rsidRPr="007F749A">
              <w:rPr>
                <w:rFonts w:asciiTheme="minorHAnsi" w:hAnsiTheme="minorHAnsi"/>
                <w:sz w:val="18"/>
                <w:szCs w:val="18"/>
                <w:highlight w:val="yellow"/>
                <w:vertAlign w:val="superscript"/>
                <w:lang w:val="es-ES_tradnl"/>
              </w:rPr>
              <w:t>16</w:t>
            </w:r>
          </w:p>
        </w:tc>
        <w:tc>
          <w:tcPr>
            <w:tcW w:w="249" w:type="pct"/>
            <w:shd w:val="clear" w:color="auto" w:fill="auto"/>
            <w:noWrap/>
            <w:vAlign w:val="center"/>
          </w:tcPr>
          <w:p w14:paraId="7C503765" w14:textId="77777777" w:rsidR="00A53EA0" w:rsidRPr="007F749A" w:rsidRDefault="00A53EA0" w:rsidP="00A53EA0">
            <w:pPr>
              <w:rPr>
                <w:rFonts w:asciiTheme="minorHAnsi" w:hAnsiTheme="minorHAnsi"/>
                <w:sz w:val="18"/>
                <w:szCs w:val="18"/>
                <w:highlight w:val="yellow"/>
                <w:lang w:val="en-US"/>
              </w:rPr>
            </w:pPr>
            <w:r w:rsidRPr="007F749A">
              <w:rPr>
                <w:rFonts w:asciiTheme="minorHAnsi" w:hAnsiTheme="minorHAnsi"/>
                <w:color w:val="FF0000"/>
                <w:sz w:val="18"/>
                <w:szCs w:val="18"/>
                <w:highlight w:val="yellow"/>
                <w:lang w:val="en-US"/>
              </w:rPr>
              <w:t>X</w:t>
            </w:r>
            <w:r w:rsidRPr="007F749A">
              <w:rPr>
                <w:rFonts w:asciiTheme="minorHAnsi" w:hAnsiTheme="minorHAnsi"/>
                <w:sz w:val="18"/>
                <w:szCs w:val="18"/>
                <w:highlight w:val="yellow"/>
                <w:lang w:val="en-US"/>
              </w:rPr>
              <w:t xml:space="preserve"> NR</w:t>
            </w:r>
          </w:p>
          <w:p w14:paraId="2C6A2AEF" w14:textId="77777777" w:rsidR="00A53EA0" w:rsidRPr="007F749A"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7FFDD56F"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47F1EF85" w14:textId="77777777" w:rsidR="00A53EA0" w:rsidRPr="006B1E10" w:rsidRDefault="00A53EA0" w:rsidP="00A53EA0">
            <w:pPr>
              <w:rPr>
                <w:rFonts w:asciiTheme="minorHAnsi" w:hAnsiTheme="minorHAnsi"/>
                <w:sz w:val="18"/>
                <w:szCs w:val="18"/>
                <w:lang w:val="en-US"/>
              </w:rPr>
            </w:pPr>
          </w:p>
        </w:tc>
        <w:tc>
          <w:tcPr>
            <w:tcW w:w="249" w:type="pct"/>
            <w:shd w:val="clear" w:color="auto" w:fill="auto"/>
            <w:noWrap/>
            <w:vAlign w:val="center"/>
          </w:tcPr>
          <w:p w14:paraId="277EA63F"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40BC8C10"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1C561F1A"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2EF3E164" w14:textId="77777777" w:rsidR="00A53EA0" w:rsidRPr="006B1E10" w:rsidRDefault="00A53EA0" w:rsidP="00A53EA0">
            <w:pPr>
              <w:rPr>
                <w:rFonts w:asciiTheme="minorHAnsi" w:hAnsiTheme="minorHAnsi"/>
                <w:sz w:val="18"/>
                <w:szCs w:val="18"/>
              </w:rPr>
            </w:pPr>
          </w:p>
        </w:tc>
        <w:tc>
          <w:tcPr>
            <w:tcW w:w="245" w:type="pct"/>
            <w:shd w:val="clear" w:color="auto" w:fill="auto"/>
            <w:noWrap/>
            <w:vAlign w:val="center"/>
          </w:tcPr>
          <w:p w14:paraId="5D1A94F7" w14:textId="77777777" w:rsidR="00A53EA0" w:rsidRPr="006B1E10" w:rsidRDefault="00A53EA0" w:rsidP="00A53EA0">
            <w:pPr>
              <w:rPr>
                <w:rFonts w:asciiTheme="minorHAnsi" w:hAnsiTheme="minorHAnsi"/>
                <w:sz w:val="18"/>
                <w:szCs w:val="18"/>
              </w:rPr>
            </w:pPr>
          </w:p>
        </w:tc>
      </w:tr>
      <w:tr w:rsidR="00A53EA0" w:rsidRPr="006B1E10" w14:paraId="5DBA9201" w14:textId="77777777" w:rsidTr="00A53EA0">
        <w:trPr>
          <w:trHeight w:val="454"/>
          <w:tblHeader/>
        </w:trPr>
        <w:tc>
          <w:tcPr>
            <w:tcW w:w="771" w:type="pct"/>
            <w:shd w:val="clear" w:color="auto" w:fill="auto"/>
            <w:noWrap/>
            <w:vAlign w:val="center"/>
          </w:tcPr>
          <w:p w14:paraId="0907C60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dabigatran</w:t>
            </w:r>
          </w:p>
        </w:tc>
        <w:tc>
          <w:tcPr>
            <w:tcW w:w="249" w:type="pct"/>
            <w:shd w:val="clear" w:color="auto" w:fill="auto"/>
            <w:noWrap/>
            <w:vAlign w:val="center"/>
          </w:tcPr>
          <w:p w14:paraId="0A44384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630F2A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DA0D9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E475B4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867AD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eastAsia="en-US"/>
              </w:rPr>
              <w:t>3</w:t>
            </w:r>
          </w:p>
        </w:tc>
        <w:tc>
          <w:tcPr>
            <w:tcW w:w="249" w:type="pct"/>
            <w:vAlign w:val="center"/>
          </w:tcPr>
          <w:p w14:paraId="6C22F96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4C6847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ED57F5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7F83BEF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7C42F68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3</w:t>
            </w:r>
          </w:p>
        </w:tc>
        <w:tc>
          <w:tcPr>
            <w:tcW w:w="249" w:type="pct"/>
            <w:shd w:val="clear" w:color="auto" w:fill="auto"/>
            <w:noWrap/>
            <w:vAlign w:val="center"/>
          </w:tcPr>
          <w:p w14:paraId="2FF98F29"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13F5EF3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3</w:t>
            </w:r>
          </w:p>
        </w:tc>
        <w:tc>
          <w:tcPr>
            <w:tcW w:w="249" w:type="pct"/>
            <w:shd w:val="clear" w:color="auto" w:fill="auto"/>
            <w:noWrap/>
            <w:vAlign w:val="center"/>
          </w:tcPr>
          <w:p w14:paraId="5CE5CF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5115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CA72D6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484B2C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1CBAD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ABB5D53" w14:textId="77777777" w:rsidTr="00A53EA0">
        <w:trPr>
          <w:trHeight w:val="454"/>
          <w:tblHeader/>
        </w:trPr>
        <w:tc>
          <w:tcPr>
            <w:tcW w:w="771" w:type="pct"/>
            <w:shd w:val="clear" w:color="auto" w:fill="FFFFFF" w:themeFill="background1"/>
            <w:noWrap/>
            <w:vAlign w:val="center"/>
          </w:tcPr>
          <w:p w14:paraId="598018B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dabrafenib</w:t>
            </w:r>
          </w:p>
        </w:tc>
        <w:tc>
          <w:tcPr>
            <w:tcW w:w="249" w:type="pct"/>
            <w:shd w:val="clear" w:color="auto" w:fill="FFFFFF" w:themeFill="background1"/>
            <w:noWrap/>
            <w:vAlign w:val="center"/>
          </w:tcPr>
          <w:p w14:paraId="2241E57A" w14:textId="77777777" w:rsidR="00A53EA0" w:rsidRPr="006B1E10" w:rsidRDefault="00A53EA0" w:rsidP="00A53EA0">
            <w:pPr>
              <w:rPr>
                <w:rFonts w:ascii="Calibri" w:hAnsi="Calibri"/>
                <w:color w:val="000000"/>
                <w:sz w:val="18"/>
                <w:szCs w:val="18"/>
              </w:rPr>
            </w:pPr>
          </w:p>
        </w:tc>
        <w:tc>
          <w:tcPr>
            <w:tcW w:w="250" w:type="pct"/>
            <w:shd w:val="clear" w:color="auto" w:fill="FFFFFF" w:themeFill="background1"/>
            <w:vAlign w:val="center"/>
          </w:tcPr>
          <w:p w14:paraId="550D327D" w14:textId="77777777" w:rsidR="00A53EA0" w:rsidRPr="006B1E10" w:rsidRDefault="00A53EA0" w:rsidP="00A53EA0">
            <w:pPr>
              <w:rPr>
                <w:rFonts w:ascii="Calibri" w:hAnsi="Calibri"/>
                <w:color w:val="000000"/>
                <w:sz w:val="18"/>
                <w:szCs w:val="18"/>
              </w:rPr>
            </w:pPr>
          </w:p>
        </w:tc>
        <w:tc>
          <w:tcPr>
            <w:tcW w:w="249" w:type="pct"/>
            <w:shd w:val="clear" w:color="auto" w:fill="FFFFFF" w:themeFill="background1"/>
            <w:noWrap/>
            <w:vAlign w:val="center"/>
          </w:tcPr>
          <w:p w14:paraId="7656D5F3" w14:textId="77777777" w:rsidR="00A53EA0" w:rsidRPr="006B1E10" w:rsidRDefault="00A53EA0" w:rsidP="00A53EA0">
            <w:pPr>
              <w:rPr>
                <w:rFonts w:ascii="Calibri" w:hAnsi="Calibri"/>
                <w:color w:val="000000"/>
                <w:sz w:val="18"/>
                <w:szCs w:val="18"/>
              </w:rPr>
            </w:pPr>
          </w:p>
        </w:tc>
        <w:tc>
          <w:tcPr>
            <w:tcW w:w="249" w:type="pct"/>
            <w:shd w:val="clear" w:color="auto" w:fill="FFFFFF" w:themeFill="background1"/>
            <w:vAlign w:val="center"/>
          </w:tcPr>
          <w:p w14:paraId="7C5AC4B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themeFill="background1"/>
            <w:noWrap/>
            <w:vAlign w:val="center"/>
          </w:tcPr>
          <w:p w14:paraId="413A4B1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themeFill="background1"/>
            <w:vAlign w:val="center"/>
          </w:tcPr>
          <w:p w14:paraId="745EC53B"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eastAsia="en-US"/>
              </w:rPr>
              <w:t>X</w:t>
            </w:r>
            <w:r w:rsidRPr="006B1E10">
              <w:rPr>
                <w:rFonts w:ascii="Calibri" w:hAnsi="Calibri"/>
                <w:sz w:val="18"/>
                <w:szCs w:val="18"/>
                <w:lang w:eastAsia="en-US"/>
              </w:rPr>
              <w:t xml:space="preserve"> NR</w:t>
            </w:r>
            <w:r>
              <w:rPr>
                <w:rFonts w:ascii="Calibri" w:hAnsi="Calibri"/>
                <w:sz w:val="18"/>
                <w:szCs w:val="18"/>
                <w:vertAlign w:val="superscript"/>
                <w:lang w:eastAsia="en-US"/>
              </w:rPr>
              <w:t>6</w:t>
            </w:r>
          </w:p>
        </w:tc>
        <w:tc>
          <w:tcPr>
            <w:tcW w:w="249" w:type="pct"/>
            <w:shd w:val="clear" w:color="auto" w:fill="FFFFFF" w:themeFill="background1"/>
            <w:noWrap/>
            <w:vAlign w:val="center"/>
          </w:tcPr>
          <w:p w14:paraId="72C1648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2B15F6">
              <w:rPr>
                <w:rFonts w:ascii="Calibri" w:hAnsi="Calibri"/>
                <w:sz w:val="18"/>
                <w:szCs w:val="18"/>
                <w:highlight w:val="yellow"/>
                <w:vertAlign w:val="superscript"/>
                <w:lang w:val="en-US" w:eastAsia="en-US"/>
              </w:rPr>
              <w:t>17</w:t>
            </w:r>
          </w:p>
        </w:tc>
        <w:tc>
          <w:tcPr>
            <w:tcW w:w="249" w:type="pct"/>
            <w:shd w:val="clear" w:color="auto" w:fill="FFFFFF" w:themeFill="background1"/>
            <w:noWrap/>
            <w:vAlign w:val="center"/>
          </w:tcPr>
          <w:p w14:paraId="0039EE01"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FFFFFF" w:themeFill="background1"/>
            <w:noWrap/>
            <w:vAlign w:val="center"/>
          </w:tcPr>
          <w:p w14:paraId="496C4BF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17</w:t>
            </w:r>
          </w:p>
        </w:tc>
        <w:tc>
          <w:tcPr>
            <w:tcW w:w="248" w:type="pct"/>
            <w:shd w:val="clear" w:color="auto" w:fill="FFFFFF" w:themeFill="background1"/>
            <w:noWrap/>
            <w:vAlign w:val="center"/>
          </w:tcPr>
          <w:p w14:paraId="5AAA438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17</w:t>
            </w:r>
          </w:p>
        </w:tc>
        <w:tc>
          <w:tcPr>
            <w:tcW w:w="249" w:type="pct"/>
            <w:shd w:val="clear" w:color="auto" w:fill="FFFFFF" w:themeFill="background1"/>
            <w:noWrap/>
            <w:vAlign w:val="center"/>
          </w:tcPr>
          <w:p w14:paraId="50EC83C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themeFill="background1"/>
            <w:noWrap/>
            <w:vAlign w:val="center"/>
          </w:tcPr>
          <w:p w14:paraId="1C875F6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themeFill="background1"/>
            <w:noWrap/>
            <w:vAlign w:val="center"/>
          </w:tcPr>
          <w:p w14:paraId="1064AA0C" w14:textId="77777777" w:rsidR="00A53EA0" w:rsidRPr="006B1E10" w:rsidRDefault="00A53EA0" w:rsidP="00A53EA0">
            <w:pPr>
              <w:rPr>
                <w:rFonts w:ascii="Calibri" w:hAnsi="Calibri"/>
                <w:color w:val="000000"/>
                <w:sz w:val="18"/>
                <w:szCs w:val="18"/>
              </w:rPr>
            </w:pPr>
          </w:p>
        </w:tc>
        <w:tc>
          <w:tcPr>
            <w:tcW w:w="249" w:type="pct"/>
            <w:shd w:val="clear" w:color="auto" w:fill="FFFFFF" w:themeFill="background1"/>
            <w:noWrap/>
            <w:vAlign w:val="center"/>
          </w:tcPr>
          <w:p w14:paraId="00DC52D9" w14:textId="77777777" w:rsidR="00A53EA0" w:rsidRPr="006B1E10" w:rsidRDefault="00A53EA0" w:rsidP="00A53EA0">
            <w:pPr>
              <w:rPr>
                <w:rFonts w:ascii="Calibri" w:hAnsi="Calibri"/>
                <w:color w:val="000000"/>
                <w:sz w:val="18"/>
                <w:szCs w:val="18"/>
              </w:rPr>
            </w:pPr>
          </w:p>
        </w:tc>
        <w:tc>
          <w:tcPr>
            <w:tcW w:w="249" w:type="pct"/>
            <w:shd w:val="clear" w:color="auto" w:fill="FFFFFF" w:themeFill="background1"/>
            <w:noWrap/>
            <w:vAlign w:val="center"/>
          </w:tcPr>
          <w:p w14:paraId="1F63030F" w14:textId="77777777" w:rsidR="00A53EA0" w:rsidRPr="006B1E10" w:rsidRDefault="00A53EA0" w:rsidP="00A53EA0">
            <w:pPr>
              <w:rPr>
                <w:rFonts w:ascii="Calibri" w:hAnsi="Calibri"/>
                <w:color w:val="000000"/>
                <w:sz w:val="18"/>
                <w:szCs w:val="18"/>
              </w:rPr>
            </w:pPr>
          </w:p>
        </w:tc>
        <w:tc>
          <w:tcPr>
            <w:tcW w:w="249" w:type="pct"/>
            <w:shd w:val="clear" w:color="auto" w:fill="FFFFFF" w:themeFill="background1"/>
            <w:noWrap/>
            <w:vAlign w:val="center"/>
          </w:tcPr>
          <w:p w14:paraId="34792114" w14:textId="77777777" w:rsidR="00A53EA0" w:rsidRPr="006B1E10" w:rsidRDefault="00A53EA0" w:rsidP="00A53EA0">
            <w:pPr>
              <w:rPr>
                <w:rFonts w:ascii="Calibri" w:hAnsi="Calibri"/>
                <w:color w:val="000000"/>
                <w:sz w:val="18"/>
                <w:szCs w:val="18"/>
              </w:rPr>
            </w:pPr>
          </w:p>
        </w:tc>
        <w:tc>
          <w:tcPr>
            <w:tcW w:w="245" w:type="pct"/>
            <w:shd w:val="clear" w:color="auto" w:fill="FFFFFF" w:themeFill="background1"/>
            <w:noWrap/>
            <w:vAlign w:val="center"/>
          </w:tcPr>
          <w:p w14:paraId="25F6DE50" w14:textId="77777777" w:rsidR="00A53EA0" w:rsidRPr="006B1E10" w:rsidRDefault="00A53EA0" w:rsidP="00A53EA0">
            <w:pPr>
              <w:rPr>
                <w:rFonts w:ascii="Calibri" w:hAnsi="Calibri"/>
                <w:color w:val="000000"/>
                <w:sz w:val="18"/>
                <w:szCs w:val="18"/>
              </w:rPr>
            </w:pPr>
          </w:p>
        </w:tc>
      </w:tr>
      <w:tr w:rsidR="00A53EA0" w:rsidRPr="006B1E10" w14:paraId="76662162" w14:textId="77777777" w:rsidTr="00A53EA0">
        <w:trPr>
          <w:trHeight w:val="454"/>
          <w:tblHeader/>
        </w:trPr>
        <w:tc>
          <w:tcPr>
            <w:tcW w:w="771" w:type="pct"/>
            <w:shd w:val="clear" w:color="auto" w:fill="auto"/>
            <w:noWrap/>
            <w:vAlign w:val="center"/>
          </w:tcPr>
          <w:p w14:paraId="50F7E21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darunavir/rito</w:t>
            </w:r>
          </w:p>
        </w:tc>
        <w:tc>
          <w:tcPr>
            <w:tcW w:w="249" w:type="pct"/>
            <w:shd w:val="clear" w:color="auto" w:fill="auto"/>
            <w:noWrap/>
            <w:vAlign w:val="center"/>
          </w:tcPr>
          <w:p w14:paraId="50A9D0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DAA169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322E5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D27DCD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noWrap/>
            <w:vAlign w:val="center"/>
          </w:tcPr>
          <w:p w14:paraId="1D50619A" w14:textId="77777777" w:rsidR="00A53EA0" w:rsidRPr="006B1E10" w:rsidRDefault="00A53EA0" w:rsidP="00A53EA0">
            <w:pPr>
              <w:rPr>
                <w:rFonts w:ascii="Calibri" w:hAnsi="Calibri"/>
                <w:color w:val="000000"/>
                <w:sz w:val="18"/>
                <w:szCs w:val="18"/>
              </w:rPr>
            </w:pPr>
          </w:p>
        </w:tc>
        <w:tc>
          <w:tcPr>
            <w:tcW w:w="249" w:type="pct"/>
            <w:vAlign w:val="center"/>
          </w:tcPr>
          <w:p w14:paraId="2FBD129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37EBC7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010EF0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18</w:t>
            </w:r>
          </w:p>
        </w:tc>
        <w:tc>
          <w:tcPr>
            <w:tcW w:w="249" w:type="pct"/>
            <w:shd w:val="clear" w:color="auto" w:fill="BFBFBF"/>
            <w:noWrap/>
            <w:vAlign w:val="center"/>
          </w:tcPr>
          <w:p w14:paraId="14ADE809"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6EAB5F9B"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3F7FC24F"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34E14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564689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80DBE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23FE37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8062CA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FEC46D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3DAA1B6" w14:textId="77777777" w:rsidTr="00A53EA0">
        <w:trPr>
          <w:trHeight w:val="454"/>
          <w:tblHeader/>
        </w:trPr>
        <w:tc>
          <w:tcPr>
            <w:tcW w:w="771" w:type="pct"/>
            <w:shd w:val="clear" w:color="auto" w:fill="auto"/>
            <w:noWrap/>
            <w:vAlign w:val="center"/>
          </w:tcPr>
          <w:p w14:paraId="471B9BC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darunavir/cobi</w:t>
            </w:r>
          </w:p>
        </w:tc>
        <w:tc>
          <w:tcPr>
            <w:tcW w:w="249" w:type="pct"/>
            <w:shd w:val="clear" w:color="auto" w:fill="auto"/>
            <w:noWrap/>
            <w:vAlign w:val="center"/>
          </w:tcPr>
          <w:p w14:paraId="0934A9D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4656B6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D76D9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0944C1E"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1438E3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58DFC4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150F0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29EF7A4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noWrap/>
            <w:vAlign w:val="center"/>
          </w:tcPr>
          <w:p w14:paraId="6333E397"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58AF0F37"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4EE79862"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5CDB48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F9473F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D31B6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72F67E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0B2FF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E0012B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4A50DB3" w14:textId="77777777" w:rsidTr="00A53EA0">
        <w:trPr>
          <w:trHeight w:val="454"/>
          <w:tblHeader/>
        </w:trPr>
        <w:tc>
          <w:tcPr>
            <w:tcW w:w="771" w:type="pct"/>
            <w:shd w:val="clear" w:color="auto" w:fill="auto"/>
            <w:noWrap/>
            <w:vAlign w:val="center"/>
          </w:tcPr>
          <w:p w14:paraId="557ABBF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dasatinib</w:t>
            </w:r>
          </w:p>
        </w:tc>
        <w:tc>
          <w:tcPr>
            <w:tcW w:w="249" w:type="pct"/>
            <w:shd w:val="clear" w:color="auto" w:fill="auto"/>
            <w:noWrap/>
            <w:vAlign w:val="center"/>
          </w:tcPr>
          <w:p w14:paraId="608A3F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2A4E8F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B8A68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7D1507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409632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772E0BF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8EB88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4A4B23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3F8DD45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3F18D7A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716737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3588CD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7203AE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A8049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6A0975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9DA855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F3A8FA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4A16E35" w14:textId="77777777" w:rsidTr="00A53EA0">
        <w:trPr>
          <w:trHeight w:val="454"/>
          <w:tblHeader/>
        </w:trPr>
        <w:tc>
          <w:tcPr>
            <w:tcW w:w="771" w:type="pct"/>
            <w:shd w:val="clear" w:color="auto" w:fill="auto"/>
            <w:noWrap/>
            <w:vAlign w:val="center"/>
          </w:tcPr>
          <w:p w14:paraId="3B0B496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desogestrel</w:t>
            </w:r>
          </w:p>
        </w:tc>
        <w:tc>
          <w:tcPr>
            <w:tcW w:w="249" w:type="pct"/>
            <w:shd w:val="clear" w:color="auto" w:fill="auto"/>
            <w:noWrap/>
            <w:vAlign w:val="center"/>
          </w:tcPr>
          <w:p w14:paraId="3B0B787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2193FB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AE9BE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E9F1AB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8D0FB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43D20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0A5BD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07209D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41F15D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6399AE8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9CA71E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067F749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62A9ADD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27FB04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9B82F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3FB32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16DC18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C9F2992" w14:textId="77777777" w:rsidTr="00A53EA0">
        <w:trPr>
          <w:trHeight w:val="454"/>
          <w:tblHeader/>
        </w:trPr>
        <w:tc>
          <w:tcPr>
            <w:tcW w:w="771" w:type="pct"/>
            <w:shd w:val="clear" w:color="auto" w:fill="auto"/>
            <w:noWrap/>
            <w:vAlign w:val="center"/>
          </w:tcPr>
          <w:p w14:paraId="100D969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dexametasona (inductor débil)</w:t>
            </w:r>
          </w:p>
        </w:tc>
        <w:tc>
          <w:tcPr>
            <w:tcW w:w="249" w:type="pct"/>
            <w:shd w:val="clear" w:color="auto" w:fill="auto"/>
            <w:noWrap/>
            <w:vAlign w:val="center"/>
          </w:tcPr>
          <w:p w14:paraId="7457B0B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32358B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0F1E4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50858D1"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2C43FC0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9" w:type="pct"/>
            <w:shd w:val="clear" w:color="auto" w:fill="FFFFFF"/>
            <w:vAlign w:val="center"/>
          </w:tcPr>
          <w:p w14:paraId="47296C6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B311BB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6B1E10">
              <w:rPr>
                <w:rFonts w:ascii="Calibri" w:hAnsi="Calibri"/>
                <w:sz w:val="18"/>
                <w:szCs w:val="18"/>
                <w:vertAlign w:val="superscript"/>
                <w:lang w:eastAsia="en-US"/>
              </w:rPr>
              <w:t xml:space="preserve"> </w:t>
            </w:r>
          </w:p>
        </w:tc>
        <w:tc>
          <w:tcPr>
            <w:tcW w:w="249" w:type="pct"/>
            <w:shd w:val="clear" w:color="000000" w:fill="auto"/>
            <w:noWrap/>
            <w:vAlign w:val="center"/>
          </w:tcPr>
          <w:p w14:paraId="460102F6"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p>
          <w:p w14:paraId="2FDB7C26" w14:textId="77777777" w:rsidR="00A53EA0" w:rsidRPr="006B1E10" w:rsidRDefault="00A53EA0" w:rsidP="00A53EA0">
            <w:pPr>
              <w:rPr>
                <w:rFonts w:ascii="Calibri" w:hAnsi="Calibri"/>
                <w:sz w:val="18"/>
                <w:szCs w:val="18"/>
                <w:lang w:val="en-US" w:eastAsia="en-US"/>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p w14:paraId="12367D0C"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FFFFFF"/>
            <w:noWrap/>
            <w:vAlign w:val="center"/>
          </w:tcPr>
          <w:p w14:paraId="4F67F48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8</w:t>
            </w:r>
          </w:p>
        </w:tc>
        <w:tc>
          <w:tcPr>
            <w:tcW w:w="248" w:type="pct"/>
            <w:shd w:val="clear" w:color="auto" w:fill="auto"/>
            <w:noWrap/>
            <w:vAlign w:val="center"/>
          </w:tcPr>
          <w:p w14:paraId="621C97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8</w:t>
            </w:r>
          </w:p>
        </w:tc>
        <w:tc>
          <w:tcPr>
            <w:tcW w:w="249" w:type="pct"/>
            <w:shd w:val="clear" w:color="000000" w:fill="auto"/>
            <w:noWrap/>
            <w:vAlign w:val="center"/>
          </w:tcPr>
          <w:p w14:paraId="7DE2E1D6"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p w14:paraId="03FED76A"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9" w:type="pct"/>
            <w:shd w:val="clear" w:color="auto" w:fill="auto"/>
            <w:noWrap/>
            <w:vAlign w:val="center"/>
          </w:tcPr>
          <w:p w14:paraId="629ABCF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9" w:type="pct"/>
            <w:shd w:val="clear" w:color="auto" w:fill="auto"/>
            <w:noWrap/>
            <w:vAlign w:val="center"/>
          </w:tcPr>
          <w:p w14:paraId="655070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9F9BD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CDDB0F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FDACB7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7BCAF55" w14:textId="77777777" w:rsidR="00A53EA0" w:rsidRPr="006B1E10" w:rsidRDefault="00A53EA0" w:rsidP="00A53EA0">
            <w:pPr>
              <w:rPr>
                <w:rFonts w:ascii="Calibri" w:hAnsi="Calibri"/>
                <w:color w:val="000000"/>
                <w:sz w:val="18"/>
                <w:szCs w:val="18"/>
              </w:rPr>
            </w:pPr>
          </w:p>
        </w:tc>
      </w:tr>
      <w:tr w:rsidR="00A53EA0" w:rsidRPr="006B1E10" w14:paraId="28FC6EEB" w14:textId="77777777" w:rsidTr="00A53EA0">
        <w:trPr>
          <w:trHeight w:val="454"/>
          <w:tblHeader/>
        </w:trPr>
        <w:tc>
          <w:tcPr>
            <w:tcW w:w="771" w:type="pct"/>
            <w:shd w:val="clear" w:color="auto" w:fill="auto"/>
            <w:noWrap/>
            <w:vAlign w:val="center"/>
          </w:tcPr>
          <w:p w14:paraId="710A89C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didanosina (ddI)</w:t>
            </w:r>
          </w:p>
        </w:tc>
        <w:tc>
          <w:tcPr>
            <w:tcW w:w="249" w:type="pct"/>
            <w:shd w:val="clear" w:color="auto" w:fill="auto"/>
            <w:noWrap/>
            <w:vAlign w:val="center"/>
          </w:tcPr>
          <w:p w14:paraId="3C54529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9F02BD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CF97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FE298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FE6B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55FDF0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9FBB8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8E01AB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086E0A3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08AC6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6DEE9C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BA52D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70859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65B45D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6945A5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245AD62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4BD79859" w14:textId="77777777" w:rsidR="00A53EA0" w:rsidRPr="006B1E10" w:rsidRDefault="00A53EA0" w:rsidP="00A53EA0">
            <w:pPr>
              <w:rPr>
                <w:rFonts w:ascii="Calibri" w:hAnsi="Calibri"/>
                <w:color w:val="000000"/>
                <w:sz w:val="18"/>
                <w:szCs w:val="18"/>
              </w:rPr>
            </w:pPr>
          </w:p>
        </w:tc>
      </w:tr>
      <w:tr w:rsidR="00A53EA0" w:rsidRPr="006B1E10" w14:paraId="768E5CCB" w14:textId="77777777" w:rsidTr="00A53EA0">
        <w:trPr>
          <w:trHeight w:val="454"/>
          <w:tblHeader/>
        </w:trPr>
        <w:tc>
          <w:tcPr>
            <w:tcW w:w="771" w:type="pct"/>
            <w:shd w:val="clear" w:color="auto" w:fill="auto"/>
            <w:noWrap/>
            <w:vAlign w:val="center"/>
          </w:tcPr>
          <w:p w14:paraId="7737E60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dihidroergotamina</w:t>
            </w:r>
          </w:p>
        </w:tc>
        <w:tc>
          <w:tcPr>
            <w:tcW w:w="249" w:type="pct"/>
            <w:shd w:val="clear" w:color="auto" w:fill="auto"/>
            <w:noWrap/>
            <w:vAlign w:val="center"/>
          </w:tcPr>
          <w:p w14:paraId="36800D9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995D6C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45DA5B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7AAA53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3890D2A6"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26EDEF7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10874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0C75F51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448C05C"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1608621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AA6D51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4D49553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15780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4EFD77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2ADF8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7CE27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AC7302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bl>
    <w:p w14:paraId="4E8ACCDC" w14:textId="77777777" w:rsidR="00A53EA0" w:rsidRDefault="00A53EA0" w:rsidP="00A53EA0"/>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0C3A805E"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DE1EA2A"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EE129B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A573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AC12EA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287E3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C7DBB0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7CA8E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F676F1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E1DBDC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605DE1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A25388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0F63A4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127A31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8A7B02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41C734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28002E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3FB245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4AD023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5CCFE3CD" w14:textId="77777777" w:rsidTr="00A53EA0">
        <w:trPr>
          <w:trHeight w:val="454"/>
          <w:tblHeader/>
        </w:trPr>
        <w:tc>
          <w:tcPr>
            <w:tcW w:w="771" w:type="pct"/>
            <w:shd w:val="clear" w:color="auto" w:fill="auto"/>
            <w:noWrap/>
            <w:vAlign w:val="center"/>
          </w:tcPr>
          <w:p w14:paraId="3B5B478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dofetilida (M.E.)</w:t>
            </w:r>
          </w:p>
        </w:tc>
        <w:tc>
          <w:tcPr>
            <w:tcW w:w="249" w:type="pct"/>
            <w:shd w:val="clear" w:color="auto" w:fill="auto"/>
            <w:noWrap/>
            <w:vAlign w:val="center"/>
          </w:tcPr>
          <w:p w14:paraId="37D3D46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50" w:type="pct"/>
            <w:vAlign w:val="center"/>
          </w:tcPr>
          <w:p w14:paraId="5488E68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301E60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AE33BF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A814CC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D6A348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E6EADB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09EFB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733DEA7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2959A14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E8D72A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374DB5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50F94E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1D0959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A07D83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9FF64E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5CF4D2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C9F8041" w14:textId="77777777" w:rsidTr="00A53EA0">
        <w:trPr>
          <w:trHeight w:val="454"/>
          <w:tblHeader/>
        </w:trPr>
        <w:tc>
          <w:tcPr>
            <w:tcW w:w="771" w:type="pct"/>
            <w:shd w:val="clear" w:color="auto" w:fill="auto"/>
            <w:noWrap/>
            <w:vAlign w:val="center"/>
          </w:tcPr>
          <w:p w14:paraId="2E631B5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dolutegravir</w:t>
            </w:r>
          </w:p>
        </w:tc>
        <w:tc>
          <w:tcPr>
            <w:tcW w:w="249" w:type="pct"/>
            <w:shd w:val="clear" w:color="auto" w:fill="BFBFBF"/>
            <w:noWrap/>
            <w:vAlign w:val="center"/>
          </w:tcPr>
          <w:p w14:paraId="2B1DD49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shd w:val="clear" w:color="auto" w:fill="BFBFBF"/>
            <w:vAlign w:val="center"/>
          </w:tcPr>
          <w:p w14:paraId="32709C56"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52A6B08" w14:textId="77777777" w:rsidR="00A53EA0" w:rsidRPr="006B1E10" w:rsidRDefault="00A53EA0" w:rsidP="00A53EA0">
            <w:pPr>
              <w:rPr>
                <w:rFonts w:ascii="Calibri" w:hAnsi="Calibri"/>
                <w:color w:val="000000"/>
                <w:sz w:val="18"/>
                <w:szCs w:val="18"/>
              </w:rPr>
            </w:pPr>
          </w:p>
        </w:tc>
        <w:tc>
          <w:tcPr>
            <w:tcW w:w="249" w:type="pct"/>
            <w:shd w:val="clear" w:color="auto" w:fill="BFBFBF"/>
            <w:vAlign w:val="center"/>
          </w:tcPr>
          <w:p w14:paraId="6758D8F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noWrap/>
            <w:vAlign w:val="center"/>
          </w:tcPr>
          <w:p w14:paraId="56875085" w14:textId="77777777" w:rsidR="00A53EA0" w:rsidRPr="006B1E10" w:rsidRDefault="00A53EA0" w:rsidP="00A53EA0">
            <w:pPr>
              <w:rPr>
                <w:rFonts w:ascii="Calibri" w:hAnsi="Calibri"/>
                <w:color w:val="000000"/>
                <w:sz w:val="18"/>
                <w:szCs w:val="18"/>
              </w:rPr>
            </w:pPr>
          </w:p>
        </w:tc>
        <w:tc>
          <w:tcPr>
            <w:tcW w:w="249" w:type="pct"/>
            <w:vAlign w:val="center"/>
          </w:tcPr>
          <w:p w14:paraId="2028D64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9B16B6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673750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rPr>
              <w:t xml:space="preserve">X </w:t>
            </w:r>
            <w:r w:rsidRPr="006B1E10">
              <w:rPr>
                <w:rFonts w:ascii="Calibri" w:hAnsi="Calibri"/>
                <w:color w:val="000000"/>
                <w:sz w:val="18"/>
                <w:szCs w:val="18"/>
              </w:rPr>
              <w:t>NR</w:t>
            </w:r>
            <w:r>
              <w:rPr>
                <w:rFonts w:ascii="Calibri" w:hAnsi="Calibri"/>
                <w:color w:val="000000"/>
                <w:sz w:val="18"/>
                <w:szCs w:val="18"/>
                <w:vertAlign w:val="superscript"/>
              </w:rPr>
              <w:t>9</w:t>
            </w:r>
          </w:p>
        </w:tc>
        <w:tc>
          <w:tcPr>
            <w:tcW w:w="249" w:type="pct"/>
            <w:shd w:val="clear" w:color="000000" w:fill="FFFFFF"/>
            <w:noWrap/>
            <w:vAlign w:val="center"/>
          </w:tcPr>
          <w:p w14:paraId="165CDF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3EFD7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31CE96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731E04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F765D9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AF204A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1A8A85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E4E3A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A1758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93777F6" w14:textId="77777777" w:rsidTr="00A53EA0">
        <w:trPr>
          <w:trHeight w:val="454"/>
          <w:tblHeader/>
        </w:trPr>
        <w:tc>
          <w:tcPr>
            <w:tcW w:w="771" w:type="pct"/>
            <w:shd w:val="clear" w:color="auto" w:fill="auto"/>
            <w:noWrap/>
            <w:vAlign w:val="center"/>
          </w:tcPr>
          <w:p w14:paraId="0E0834C1" w14:textId="77777777" w:rsidR="00A53EA0" w:rsidRPr="006B1E10" w:rsidRDefault="00A53EA0" w:rsidP="00A53EA0">
            <w:pPr>
              <w:rPr>
                <w:rFonts w:ascii="Calibri" w:hAnsi="Calibri"/>
                <w:color w:val="000000"/>
                <w:sz w:val="18"/>
                <w:szCs w:val="18"/>
              </w:rPr>
            </w:pPr>
            <w:r w:rsidRPr="006B1E10">
              <w:rPr>
                <w:sz w:val="18"/>
                <w:szCs w:val="18"/>
              </w:rPr>
              <w:br w:type="page"/>
            </w:r>
            <w:r w:rsidRPr="006B1E10">
              <w:rPr>
                <w:rFonts w:ascii="Calibri" w:hAnsi="Calibri"/>
                <w:color w:val="000000"/>
                <w:sz w:val="18"/>
                <w:szCs w:val="18"/>
              </w:rPr>
              <w:t>domperidona</w:t>
            </w:r>
          </w:p>
        </w:tc>
        <w:tc>
          <w:tcPr>
            <w:tcW w:w="249" w:type="pct"/>
            <w:shd w:val="clear" w:color="auto" w:fill="auto"/>
            <w:noWrap/>
            <w:vAlign w:val="center"/>
          </w:tcPr>
          <w:p w14:paraId="6BDC7C6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49D15F2" w14:textId="77777777" w:rsidR="00A53EA0" w:rsidRPr="006B1E10" w:rsidRDefault="00A53EA0" w:rsidP="00A53EA0">
            <w:pPr>
              <w:rPr>
                <w:rFonts w:ascii="Calibri" w:hAnsi="Calibri"/>
                <w:i/>
                <w:color w:val="000000"/>
                <w:sz w:val="18"/>
                <w:szCs w:val="18"/>
              </w:rPr>
            </w:pPr>
          </w:p>
        </w:tc>
        <w:tc>
          <w:tcPr>
            <w:tcW w:w="249" w:type="pct"/>
            <w:shd w:val="clear" w:color="auto" w:fill="auto"/>
            <w:noWrap/>
            <w:vAlign w:val="center"/>
          </w:tcPr>
          <w:p w14:paraId="195FA415" w14:textId="77777777" w:rsidR="00A53EA0" w:rsidRPr="006B1E10" w:rsidRDefault="00A53EA0" w:rsidP="00A53EA0">
            <w:pPr>
              <w:rPr>
                <w:rFonts w:ascii="Calibri" w:hAnsi="Calibri"/>
                <w:i/>
                <w:color w:val="000000"/>
                <w:sz w:val="18"/>
                <w:szCs w:val="18"/>
              </w:rPr>
            </w:pPr>
            <w:r w:rsidRPr="006B1E10">
              <w:rPr>
                <w:rFonts w:ascii="Calibri" w:hAnsi="Calibri"/>
                <w:i/>
                <w:color w:val="000000"/>
                <w:sz w:val="18"/>
                <w:szCs w:val="18"/>
              </w:rPr>
              <w:t> </w:t>
            </w:r>
          </w:p>
        </w:tc>
        <w:tc>
          <w:tcPr>
            <w:tcW w:w="249" w:type="pct"/>
            <w:vAlign w:val="center"/>
          </w:tcPr>
          <w:p w14:paraId="052671D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EE98E5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5106352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63331E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50E3EF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E93424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6261A95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7AAD78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01C581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6A6BA38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E6E19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0C62C8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DA7EDD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E5C62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816BF68" w14:textId="77777777" w:rsidTr="00A53EA0">
        <w:trPr>
          <w:trHeight w:val="454"/>
          <w:tblHeader/>
        </w:trPr>
        <w:tc>
          <w:tcPr>
            <w:tcW w:w="771" w:type="pct"/>
            <w:shd w:val="clear" w:color="auto" w:fill="auto"/>
            <w:noWrap/>
            <w:vAlign w:val="center"/>
          </w:tcPr>
          <w:p w14:paraId="0001E5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doravirina</w:t>
            </w:r>
          </w:p>
        </w:tc>
        <w:tc>
          <w:tcPr>
            <w:tcW w:w="249" w:type="pct"/>
            <w:shd w:val="clear" w:color="auto" w:fill="auto"/>
            <w:noWrap/>
            <w:vAlign w:val="center"/>
          </w:tcPr>
          <w:p w14:paraId="63DB6243" w14:textId="77777777" w:rsidR="00A53EA0" w:rsidRPr="006B1E10" w:rsidRDefault="00A53EA0" w:rsidP="00A53EA0">
            <w:pPr>
              <w:rPr>
                <w:rFonts w:ascii="Calibri" w:hAnsi="Calibri"/>
                <w:color w:val="000000"/>
                <w:sz w:val="18"/>
                <w:szCs w:val="18"/>
              </w:rPr>
            </w:pPr>
          </w:p>
        </w:tc>
        <w:tc>
          <w:tcPr>
            <w:tcW w:w="250" w:type="pct"/>
            <w:vAlign w:val="center"/>
          </w:tcPr>
          <w:p w14:paraId="7255998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8EFBB0A" w14:textId="77777777" w:rsidR="00A53EA0" w:rsidRPr="006B1E10" w:rsidRDefault="00A53EA0" w:rsidP="00A53EA0">
            <w:pPr>
              <w:rPr>
                <w:rFonts w:ascii="Calibri" w:hAnsi="Calibri"/>
                <w:color w:val="000000"/>
                <w:sz w:val="18"/>
                <w:szCs w:val="18"/>
              </w:rPr>
            </w:pPr>
          </w:p>
        </w:tc>
        <w:tc>
          <w:tcPr>
            <w:tcW w:w="249" w:type="pct"/>
            <w:vAlign w:val="center"/>
          </w:tcPr>
          <w:p w14:paraId="7FE7572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907824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themeFill="background1" w:themeFillShade="BF"/>
            <w:vAlign w:val="center"/>
          </w:tcPr>
          <w:p w14:paraId="601DDB99" w14:textId="77777777" w:rsidR="00A53EA0" w:rsidRPr="006B1E10" w:rsidRDefault="00A53EA0" w:rsidP="00A53EA0">
            <w:pPr>
              <w:rPr>
                <w:rFonts w:ascii="Calibri" w:hAnsi="Calibri"/>
                <w:color w:val="000000"/>
                <w:sz w:val="18"/>
                <w:szCs w:val="18"/>
              </w:rPr>
            </w:pPr>
          </w:p>
        </w:tc>
        <w:tc>
          <w:tcPr>
            <w:tcW w:w="249" w:type="pct"/>
            <w:shd w:val="clear" w:color="auto" w:fill="BFBFBF" w:themeFill="background1" w:themeFillShade="BF"/>
            <w:noWrap/>
            <w:vAlign w:val="center"/>
          </w:tcPr>
          <w:p w14:paraId="747E5572" w14:textId="77777777" w:rsidR="00A53EA0" w:rsidRPr="006B1E10" w:rsidRDefault="00A53EA0" w:rsidP="00A53EA0">
            <w:pPr>
              <w:rPr>
                <w:rFonts w:ascii="Calibri" w:hAnsi="Calibri"/>
                <w:color w:val="000000"/>
                <w:sz w:val="18"/>
                <w:szCs w:val="18"/>
              </w:rPr>
            </w:pPr>
          </w:p>
        </w:tc>
        <w:tc>
          <w:tcPr>
            <w:tcW w:w="249" w:type="pct"/>
            <w:shd w:val="clear" w:color="auto" w:fill="BFBFBF" w:themeFill="background1" w:themeFillShade="BF"/>
            <w:noWrap/>
            <w:vAlign w:val="center"/>
          </w:tcPr>
          <w:p w14:paraId="2DA0E097"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0FD4C32C" w14:textId="77777777" w:rsidR="00A53EA0" w:rsidRPr="006B1E10" w:rsidRDefault="00A53EA0" w:rsidP="00A53EA0">
            <w:pPr>
              <w:rPr>
                <w:rFonts w:ascii="Calibri" w:hAnsi="Calibri"/>
                <w:color w:val="FF0000"/>
                <w:sz w:val="18"/>
                <w:szCs w:val="18"/>
                <w:lang w:val="en-US" w:eastAsia="en-US"/>
              </w:rPr>
            </w:pPr>
          </w:p>
        </w:tc>
        <w:tc>
          <w:tcPr>
            <w:tcW w:w="248" w:type="pct"/>
            <w:shd w:val="clear" w:color="auto" w:fill="auto"/>
            <w:noWrap/>
            <w:vAlign w:val="center"/>
          </w:tcPr>
          <w:p w14:paraId="705018F1"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BD9CAF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D4C317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F132E0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D97D3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A5632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D97D2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CA3EF0D" w14:textId="77777777" w:rsidR="00A53EA0" w:rsidRPr="006B1E10" w:rsidRDefault="00A53EA0" w:rsidP="00A53EA0">
            <w:pPr>
              <w:rPr>
                <w:rFonts w:ascii="Calibri" w:hAnsi="Calibri"/>
                <w:color w:val="000000"/>
                <w:sz w:val="18"/>
                <w:szCs w:val="18"/>
              </w:rPr>
            </w:pPr>
          </w:p>
        </w:tc>
      </w:tr>
      <w:tr w:rsidR="00A53EA0" w:rsidRPr="006B1E10" w14:paraId="3303718F" w14:textId="77777777" w:rsidTr="00A53EA0">
        <w:trPr>
          <w:trHeight w:val="454"/>
          <w:tblHeader/>
        </w:trPr>
        <w:tc>
          <w:tcPr>
            <w:tcW w:w="771" w:type="pct"/>
            <w:shd w:val="clear" w:color="auto" w:fill="auto"/>
            <w:noWrap/>
            <w:vAlign w:val="center"/>
          </w:tcPr>
          <w:p w14:paraId="4BB9E91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dronedarona</w:t>
            </w:r>
          </w:p>
        </w:tc>
        <w:tc>
          <w:tcPr>
            <w:tcW w:w="249" w:type="pct"/>
            <w:shd w:val="clear" w:color="auto" w:fill="auto"/>
            <w:noWrap/>
            <w:vAlign w:val="center"/>
          </w:tcPr>
          <w:p w14:paraId="363048A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55F65E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D58D8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6A39E3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DF91E2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6905F8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50C2A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EC2ADC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6D9132E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765BE8E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F026C9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B0C96C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D01136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D53333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BE066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AD0B0F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322397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D17FCAE" w14:textId="77777777" w:rsidTr="00A53EA0">
        <w:trPr>
          <w:trHeight w:val="454"/>
          <w:tblHeader/>
        </w:trPr>
        <w:tc>
          <w:tcPr>
            <w:tcW w:w="771" w:type="pct"/>
            <w:shd w:val="clear" w:color="auto" w:fill="auto"/>
            <w:noWrap/>
            <w:vAlign w:val="center"/>
          </w:tcPr>
          <w:p w14:paraId="262840E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efavirenz (EFV)</w:t>
            </w:r>
          </w:p>
        </w:tc>
        <w:tc>
          <w:tcPr>
            <w:tcW w:w="249" w:type="pct"/>
            <w:shd w:val="clear" w:color="auto" w:fill="auto"/>
            <w:noWrap/>
            <w:vAlign w:val="center"/>
          </w:tcPr>
          <w:p w14:paraId="714FDD5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9</w:t>
            </w:r>
          </w:p>
        </w:tc>
        <w:tc>
          <w:tcPr>
            <w:tcW w:w="250" w:type="pct"/>
            <w:vAlign w:val="center"/>
          </w:tcPr>
          <w:p w14:paraId="1FEAA47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7B3AD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31FDCD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86789C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themeFill="background1" w:themeFillShade="BF"/>
            <w:vAlign w:val="center"/>
          </w:tcPr>
          <w:p w14:paraId="471E870A"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792F775A"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D02A70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59CF017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5</w:t>
            </w:r>
          </w:p>
        </w:tc>
        <w:tc>
          <w:tcPr>
            <w:tcW w:w="248" w:type="pct"/>
            <w:shd w:val="clear" w:color="auto" w:fill="auto"/>
            <w:noWrap/>
            <w:vAlign w:val="center"/>
          </w:tcPr>
          <w:p w14:paraId="75786CC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7F2D94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18</w:t>
            </w:r>
          </w:p>
        </w:tc>
        <w:tc>
          <w:tcPr>
            <w:tcW w:w="249" w:type="pct"/>
            <w:shd w:val="clear" w:color="auto" w:fill="auto"/>
            <w:noWrap/>
            <w:vAlign w:val="center"/>
          </w:tcPr>
          <w:p w14:paraId="2A8551E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color w:val="000000"/>
                <w:sz w:val="18"/>
                <w:szCs w:val="18"/>
              </w:rPr>
              <w:t xml:space="preserve"> </w:t>
            </w:r>
          </w:p>
        </w:tc>
        <w:tc>
          <w:tcPr>
            <w:tcW w:w="249" w:type="pct"/>
            <w:shd w:val="clear" w:color="auto" w:fill="auto"/>
            <w:noWrap/>
            <w:vAlign w:val="center"/>
          </w:tcPr>
          <w:p w14:paraId="57A4DD9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AD5EAA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B98121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3FAB4E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3FBC74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361D58B" w14:textId="77777777" w:rsidTr="00A53EA0">
        <w:trPr>
          <w:trHeight w:val="454"/>
          <w:tblHeader/>
        </w:trPr>
        <w:tc>
          <w:tcPr>
            <w:tcW w:w="771" w:type="pct"/>
            <w:shd w:val="clear" w:color="auto" w:fill="auto"/>
            <w:noWrap/>
            <w:vAlign w:val="center"/>
          </w:tcPr>
          <w:p w14:paraId="0C45608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eletriptán</w:t>
            </w:r>
          </w:p>
        </w:tc>
        <w:tc>
          <w:tcPr>
            <w:tcW w:w="249" w:type="pct"/>
            <w:shd w:val="clear" w:color="auto" w:fill="auto"/>
            <w:noWrap/>
            <w:vAlign w:val="center"/>
          </w:tcPr>
          <w:p w14:paraId="5C95C3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880EE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5574E8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16D43B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57CBFB8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477C61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9C4984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612F94B"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sym w:font="Symbol" w:char="F0AD"/>
            </w:r>
          </w:p>
          <w:p w14:paraId="30F284BE"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t>FCO</w:t>
            </w:r>
          </w:p>
        </w:tc>
        <w:tc>
          <w:tcPr>
            <w:tcW w:w="249" w:type="pct"/>
            <w:shd w:val="clear" w:color="000000" w:fill="FFFFFF"/>
            <w:noWrap/>
            <w:vAlign w:val="center"/>
          </w:tcPr>
          <w:p w14:paraId="62DB465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11263ED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346742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0E3147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296308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6D11E4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F82BB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54E72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D8BB3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D2AEF2B" w14:textId="77777777" w:rsidTr="00A53EA0">
        <w:trPr>
          <w:trHeight w:val="454"/>
          <w:tblHeader/>
        </w:trPr>
        <w:tc>
          <w:tcPr>
            <w:tcW w:w="771" w:type="pct"/>
            <w:shd w:val="clear" w:color="auto" w:fill="FFFFFF" w:themeFill="background1"/>
            <w:noWrap/>
            <w:vAlign w:val="center"/>
          </w:tcPr>
          <w:p w14:paraId="5B49EFB7" w14:textId="77777777" w:rsidR="00A53EA0" w:rsidRPr="006B1E10" w:rsidRDefault="00A53EA0" w:rsidP="00A53EA0">
            <w:pPr>
              <w:rPr>
                <w:rFonts w:asciiTheme="minorHAnsi" w:hAnsiTheme="minorHAnsi"/>
                <w:sz w:val="18"/>
                <w:szCs w:val="18"/>
              </w:rPr>
            </w:pPr>
            <w:r w:rsidRPr="0005631C">
              <w:rPr>
                <w:rFonts w:asciiTheme="minorHAnsi" w:hAnsiTheme="minorHAnsi"/>
                <w:sz w:val="18"/>
                <w:szCs w:val="18"/>
                <w:highlight w:val="yellow"/>
              </w:rPr>
              <w:t>eliglustat</w:t>
            </w:r>
          </w:p>
        </w:tc>
        <w:tc>
          <w:tcPr>
            <w:tcW w:w="249" w:type="pct"/>
            <w:shd w:val="clear" w:color="auto" w:fill="FFFFFF" w:themeFill="background1"/>
            <w:noWrap/>
            <w:vAlign w:val="center"/>
          </w:tcPr>
          <w:p w14:paraId="3E7E1E7D" w14:textId="77777777" w:rsidR="00A53EA0" w:rsidRPr="006B1E10" w:rsidRDefault="00A53EA0" w:rsidP="00A53EA0">
            <w:pPr>
              <w:rPr>
                <w:rFonts w:asciiTheme="minorHAnsi" w:hAnsiTheme="minorHAnsi"/>
                <w:sz w:val="18"/>
                <w:szCs w:val="18"/>
              </w:rPr>
            </w:pPr>
          </w:p>
        </w:tc>
        <w:tc>
          <w:tcPr>
            <w:tcW w:w="250" w:type="pct"/>
            <w:shd w:val="clear" w:color="auto" w:fill="FFFFFF" w:themeFill="background1"/>
            <w:vAlign w:val="center"/>
          </w:tcPr>
          <w:p w14:paraId="0764878B" w14:textId="77777777" w:rsidR="00A53EA0" w:rsidRPr="006B1E10" w:rsidRDefault="00A53EA0" w:rsidP="00A53EA0">
            <w:pPr>
              <w:rPr>
                <w:rFonts w:asciiTheme="minorHAnsi" w:hAnsiTheme="minorHAnsi"/>
                <w:color w:val="000000"/>
                <w:sz w:val="18"/>
                <w:szCs w:val="18"/>
              </w:rPr>
            </w:pPr>
          </w:p>
        </w:tc>
        <w:tc>
          <w:tcPr>
            <w:tcW w:w="249" w:type="pct"/>
            <w:shd w:val="clear" w:color="auto" w:fill="FFFFFF" w:themeFill="background1"/>
            <w:noWrap/>
            <w:vAlign w:val="center"/>
          </w:tcPr>
          <w:p w14:paraId="36B082B7"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vAlign w:val="center"/>
          </w:tcPr>
          <w:p w14:paraId="2C936832"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2E11051B" w14:textId="77777777" w:rsidR="00A53EA0" w:rsidRPr="006B1E10" w:rsidRDefault="00A53EA0" w:rsidP="00A53EA0">
            <w:pPr>
              <w:rPr>
                <w:rFonts w:asciiTheme="minorHAnsi" w:hAnsiTheme="minorHAnsi"/>
                <w:color w:val="000000"/>
                <w:sz w:val="18"/>
                <w:szCs w:val="18"/>
                <w:vertAlign w:val="superscript"/>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19</w:t>
            </w:r>
          </w:p>
        </w:tc>
        <w:tc>
          <w:tcPr>
            <w:tcW w:w="249" w:type="pct"/>
            <w:shd w:val="clear" w:color="auto" w:fill="FFFFFF" w:themeFill="background1"/>
            <w:vAlign w:val="center"/>
          </w:tcPr>
          <w:p w14:paraId="5DFDA676"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66E7EBE9"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6A522AD3" w14:textId="77777777" w:rsidR="00A53EA0" w:rsidRPr="00217B6D" w:rsidRDefault="00A53EA0" w:rsidP="00A53EA0">
            <w:pPr>
              <w:rPr>
                <w:rFonts w:asciiTheme="minorHAnsi" w:hAnsiTheme="minorHAnsi"/>
                <w:sz w:val="18"/>
                <w:szCs w:val="18"/>
                <w:highlight w:val="yellow"/>
                <w:lang w:val="en-US"/>
              </w:rPr>
            </w:pPr>
            <w:r w:rsidRPr="00217B6D">
              <w:rPr>
                <w:rFonts w:asciiTheme="minorHAnsi" w:hAnsiTheme="minorHAnsi"/>
                <w:color w:val="FF0000"/>
                <w:sz w:val="18"/>
                <w:szCs w:val="18"/>
                <w:highlight w:val="yellow"/>
                <w:lang w:val="en-US"/>
              </w:rPr>
              <w:t xml:space="preserve">X </w:t>
            </w:r>
            <w:r w:rsidRPr="00217B6D">
              <w:rPr>
                <w:rFonts w:asciiTheme="minorHAnsi" w:hAnsiTheme="minorHAnsi"/>
                <w:sz w:val="18"/>
                <w:szCs w:val="18"/>
                <w:highlight w:val="yellow"/>
                <w:lang w:val="en-US"/>
              </w:rPr>
              <w:sym w:font="Symbol" w:char="F0AF"/>
            </w:r>
          </w:p>
          <w:p w14:paraId="6D41D10B" w14:textId="77777777" w:rsidR="00A53EA0" w:rsidRPr="006B1E10" w:rsidRDefault="00A53EA0" w:rsidP="00A53EA0">
            <w:pPr>
              <w:rPr>
                <w:rFonts w:asciiTheme="minorHAnsi" w:hAnsiTheme="minorHAnsi"/>
                <w:color w:val="FF0000"/>
                <w:sz w:val="18"/>
                <w:szCs w:val="18"/>
                <w:lang w:val="en-US"/>
              </w:rPr>
            </w:pPr>
            <w:r w:rsidRPr="00217B6D">
              <w:rPr>
                <w:rFonts w:asciiTheme="minorHAnsi" w:hAnsiTheme="minorHAnsi"/>
                <w:sz w:val="18"/>
                <w:szCs w:val="18"/>
                <w:highlight w:val="yellow"/>
                <w:lang w:val="en-US"/>
              </w:rPr>
              <w:t>FCO</w:t>
            </w:r>
            <w:r w:rsidRPr="00217B6D">
              <w:rPr>
                <w:rFonts w:asciiTheme="minorHAnsi" w:hAnsiTheme="minorHAnsi"/>
                <w:sz w:val="18"/>
                <w:szCs w:val="18"/>
                <w:vertAlign w:val="superscript"/>
                <w:lang w:val="en-US"/>
              </w:rPr>
              <w:t>23</w:t>
            </w:r>
          </w:p>
        </w:tc>
        <w:tc>
          <w:tcPr>
            <w:tcW w:w="249" w:type="pct"/>
            <w:shd w:val="clear" w:color="auto" w:fill="FFFFFF" w:themeFill="background1"/>
            <w:noWrap/>
            <w:vAlign w:val="center"/>
          </w:tcPr>
          <w:p w14:paraId="10FD7E85" w14:textId="77777777" w:rsidR="00A53EA0" w:rsidRPr="006B1E10" w:rsidRDefault="00A53EA0" w:rsidP="00A53EA0">
            <w:pPr>
              <w:rPr>
                <w:rFonts w:asciiTheme="minorHAnsi" w:hAnsiTheme="minorHAnsi"/>
                <w:sz w:val="18"/>
                <w:szCs w:val="18"/>
                <w:vertAlign w:val="superscript"/>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19</w:t>
            </w:r>
          </w:p>
        </w:tc>
        <w:tc>
          <w:tcPr>
            <w:tcW w:w="248" w:type="pct"/>
            <w:shd w:val="clear" w:color="auto" w:fill="FFFFFF" w:themeFill="background1"/>
            <w:noWrap/>
            <w:vAlign w:val="center"/>
          </w:tcPr>
          <w:p w14:paraId="67EB80F7" w14:textId="77777777" w:rsidR="00A53EA0" w:rsidRPr="006B1E10" w:rsidRDefault="00A53EA0" w:rsidP="00A53EA0">
            <w:pPr>
              <w:rPr>
                <w:rFonts w:asciiTheme="minorHAnsi" w:hAnsiTheme="minorHAnsi"/>
                <w:sz w:val="18"/>
                <w:szCs w:val="18"/>
                <w:vertAlign w:val="superscript"/>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19</w:t>
            </w:r>
          </w:p>
        </w:tc>
        <w:tc>
          <w:tcPr>
            <w:tcW w:w="249" w:type="pct"/>
            <w:shd w:val="clear" w:color="auto" w:fill="FFFFFF" w:themeFill="background1"/>
            <w:noWrap/>
            <w:vAlign w:val="center"/>
          </w:tcPr>
          <w:p w14:paraId="50BF7CF7"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19</w:t>
            </w:r>
          </w:p>
        </w:tc>
        <w:tc>
          <w:tcPr>
            <w:tcW w:w="249" w:type="pct"/>
            <w:shd w:val="clear" w:color="auto" w:fill="FFFFFF" w:themeFill="background1"/>
            <w:noWrap/>
            <w:vAlign w:val="center"/>
          </w:tcPr>
          <w:p w14:paraId="5D29E586"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vertAlign w:val="superscript"/>
                <w:lang w:val="en-US"/>
              </w:rPr>
              <w:t>19</w:t>
            </w:r>
          </w:p>
        </w:tc>
        <w:tc>
          <w:tcPr>
            <w:tcW w:w="249" w:type="pct"/>
            <w:shd w:val="clear" w:color="auto" w:fill="FFFFFF" w:themeFill="background1"/>
            <w:noWrap/>
            <w:vAlign w:val="center"/>
          </w:tcPr>
          <w:p w14:paraId="2B571EB2"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48416469"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0FB5F081" w14:textId="77777777" w:rsidR="00A53EA0" w:rsidRPr="006B1E10" w:rsidRDefault="00A53EA0" w:rsidP="00A53EA0">
            <w:pPr>
              <w:rPr>
                <w:rFonts w:asciiTheme="minorHAnsi" w:hAnsiTheme="minorHAnsi"/>
                <w:sz w:val="18"/>
                <w:szCs w:val="18"/>
              </w:rPr>
            </w:pPr>
          </w:p>
        </w:tc>
        <w:tc>
          <w:tcPr>
            <w:tcW w:w="249" w:type="pct"/>
            <w:shd w:val="clear" w:color="auto" w:fill="FFFFFF" w:themeFill="background1"/>
            <w:noWrap/>
            <w:vAlign w:val="center"/>
          </w:tcPr>
          <w:p w14:paraId="51D84EF7" w14:textId="77777777" w:rsidR="00A53EA0" w:rsidRPr="006B1E10" w:rsidRDefault="00A53EA0" w:rsidP="00A53EA0">
            <w:pPr>
              <w:rPr>
                <w:rFonts w:asciiTheme="minorHAnsi" w:hAnsiTheme="minorHAnsi"/>
                <w:sz w:val="18"/>
                <w:szCs w:val="18"/>
              </w:rPr>
            </w:pPr>
          </w:p>
        </w:tc>
        <w:tc>
          <w:tcPr>
            <w:tcW w:w="245" w:type="pct"/>
            <w:shd w:val="clear" w:color="auto" w:fill="FFFFFF" w:themeFill="background1"/>
            <w:noWrap/>
            <w:vAlign w:val="center"/>
          </w:tcPr>
          <w:p w14:paraId="725A4C38" w14:textId="77777777" w:rsidR="00A53EA0" w:rsidRPr="006B1E10" w:rsidRDefault="00A53EA0" w:rsidP="00A53EA0">
            <w:pPr>
              <w:rPr>
                <w:rFonts w:asciiTheme="minorHAnsi" w:hAnsiTheme="minorHAnsi"/>
                <w:sz w:val="18"/>
                <w:szCs w:val="18"/>
              </w:rPr>
            </w:pPr>
          </w:p>
        </w:tc>
      </w:tr>
      <w:tr w:rsidR="00A53EA0" w:rsidRPr="006B1E10" w14:paraId="104667D6" w14:textId="77777777" w:rsidTr="00A53EA0">
        <w:trPr>
          <w:trHeight w:val="454"/>
          <w:tblHeader/>
        </w:trPr>
        <w:tc>
          <w:tcPr>
            <w:tcW w:w="771" w:type="pct"/>
            <w:shd w:val="clear" w:color="auto" w:fill="auto"/>
            <w:noWrap/>
            <w:vAlign w:val="center"/>
          </w:tcPr>
          <w:p w14:paraId="4325EA9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elvitegravir/cobicistat</w:t>
            </w:r>
          </w:p>
        </w:tc>
        <w:tc>
          <w:tcPr>
            <w:tcW w:w="249" w:type="pct"/>
            <w:shd w:val="clear" w:color="auto" w:fill="BFBFBF"/>
            <w:noWrap/>
            <w:vAlign w:val="center"/>
          </w:tcPr>
          <w:p w14:paraId="20A64009" w14:textId="77777777" w:rsidR="00A53EA0" w:rsidRPr="006B1E10" w:rsidRDefault="00A53EA0" w:rsidP="00A53EA0">
            <w:pPr>
              <w:rPr>
                <w:rFonts w:ascii="Calibri" w:hAnsi="Calibri"/>
                <w:color w:val="000000"/>
                <w:sz w:val="18"/>
                <w:szCs w:val="18"/>
              </w:rPr>
            </w:pPr>
          </w:p>
        </w:tc>
        <w:tc>
          <w:tcPr>
            <w:tcW w:w="250" w:type="pct"/>
            <w:shd w:val="clear" w:color="auto" w:fill="BFBFBF"/>
            <w:vAlign w:val="center"/>
          </w:tcPr>
          <w:p w14:paraId="24F3592F"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6B13798" w14:textId="77777777" w:rsidR="00A53EA0" w:rsidRPr="006B1E10" w:rsidRDefault="00A53EA0" w:rsidP="00A53EA0">
            <w:pPr>
              <w:rPr>
                <w:rFonts w:ascii="Calibri" w:hAnsi="Calibri"/>
                <w:color w:val="000000"/>
                <w:sz w:val="18"/>
                <w:szCs w:val="18"/>
              </w:rPr>
            </w:pPr>
          </w:p>
        </w:tc>
        <w:tc>
          <w:tcPr>
            <w:tcW w:w="249" w:type="pct"/>
            <w:shd w:val="clear" w:color="auto" w:fill="BFBFBF"/>
            <w:vAlign w:val="center"/>
          </w:tcPr>
          <w:p w14:paraId="77AE7BB0"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7BCBF4F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A82770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1D68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3530043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noWrap/>
            <w:vAlign w:val="center"/>
          </w:tcPr>
          <w:p w14:paraId="0E1D959C"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200131EE"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68E52A09"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3A8A8C6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397C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86ECFD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E28D43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F61D25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6CE37F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4E0EE52" w14:textId="77777777" w:rsidTr="00A53EA0">
        <w:trPr>
          <w:trHeight w:val="454"/>
          <w:tblHeader/>
        </w:trPr>
        <w:tc>
          <w:tcPr>
            <w:tcW w:w="771" w:type="pct"/>
            <w:shd w:val="clear" w:color="auto" w:fill="auto"/>
            <w:noWrap/>
            <w:vAlign w:val="center"/>
          </w:tcPr>
          <w:p w14:paraId="780A337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emtricitabina</w:t>
            </w:r>
          </w:p>
        </w:tc>
        <w:tc>
          <w:tcPr>
            <w:tcW w:w="249" w:type="pct"/>
            <w:shd w:val="clear" w:color="auto" w:fill="auto"/>
            <w:noWrap/>
            <w:vAlign w:val="center"/>
          </w:tcPr>
          <w:p w14:paraId="3A6440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3098A3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008454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856CB2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4BD460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C345BB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AFB8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349B11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5D1C25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1BD312D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B87A89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E5A74F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1F4589E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49C87E6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A5BED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97D3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B966D0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E318302" w14:textId="77777777" w:rsidTr="00A53EA0">
        <w:trPr>
          <w:trHeight w:val="454"/>
          <w:tblHeader/>
        </w:trPr>
        <w:tc>
          <w:tcPr>
            <w:tcW w:w="771" w:type="pct"/>
            <w:shd w:val="clear" w:color="auto" w:fill="auto"/>
            <w:noWrap/>
            <w:vAlign w:val="center"/>
          </w:tcPr>
          <w:p w14:paraId="04239EA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enzalutamida</w:t>
            </w:r>
          </w:p>
        </w:tc>
        <w:tc>
          <w:tcPr>
            <w:tcW w:w="249" w:type="pct"/>
            <w:shd w:val="clear" w:color="auto" w:fill="auto"/>
            <w:noWrap/>
            <w:vAlign w:val="center"/>
          </w:tcPr>
          <w:p w14:paraId="658A1E7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9</w:t>
            </w:r>
          </w:p>
        </w:tc>
        <w:tc>
          <w:tcPr>
            <w:tcW w:w="250" w:type="pct"/>
            <w:vAlign w:val="center"/>
          </w:tcPr>
          <w:p w14:paraId="7EC0BFF4"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 xml:space="preserve"> NR</w:t>
            </w:r>
          </w:p>
        </w:tc>
        <w:tc>
          <w:tcPr>
            <w:tcW w:w="249" w:type="pct"/>
            <w:shd w:val="clear" w:color="auto" w:fill="auto"/>
            <w:noWrap/>
            <w:vAlign w:val="center"/>
          </w:tcPr>
          <w:p w14:paraId="4391015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vAlign w:val="center"/>
          </w:tcPr>
          <w:p w14:paraId="2CECDFF0"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1657CDA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41798D35"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6F2B08A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60F8368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2D4FB72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FFFFFF"/>
            <w:noWrap/>
            <w:vAlign w:val="center"/>
          </w:tcPr>
          <w:p w14:paraId="66310C4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2B209B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32AA0B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5648F6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DD7997" w14:textId="77777777" w:rsidR="00A53EA0" w:rsidRPr="006B1E10" w:rsidRDefault="00A53EA0" w:rsidP="00A53EA0">
            <w:pPr>
              <w:rPr>
                <w:rFonts w:ascii="Calibri" w:hAnsi="Calibri"/>
                <w:color w:val="FF0000"/>
                <w:sz w:val="18"/>
                <w:szCs w:val="18"/>
              </w:rPr>
            </w:pPr>
          </w:p>
        </w:tc>
        <w:tc>
          <w:tcPr>
            <w:tcW w:w="249" w:type="pct"/>
            <w:shd w:val="clear" w:color="auto" w:fill="auto"/>
            <w:noWrap/>
            <w:vAlign w:val="center"/>
          </w:tcPr>
          <w:p w14:paraId="448E63A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591BE1C"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336F3BD" w14:textId="77777777" w:rsidR="00A53EA0" w:rsidRPr="006B1E10" w:rsidRDefault="00A53EA0" w:rsidP="00A53EA0">
            <w:pPr>
              <w:rPr>
                <w:rFonts w:ascii="Calibri" w:hAnsi="Calibri"/>
                <w:color w:val="000000"/>
                <w:sz w:val="18"/>
                <w:szCs w:val="18"/>
              </w:rPr>
            </w:pPr>
          </w:p>
        </w:tc>
      </w:tr>
      <w:tr w:rsidR="00A53EA0" w:rsidRPr="006B1E10" w14:paraId="7517DD41" w14:textId="77777777" w:rsidTr="00A53EA0">
        <w:trPr>
          <w:trHeight w:val="454"/>
          <w:tblHeader/>
        </w:trPr>
        <w:tc>
          <w:tcPr>
            <w:tcW w:w="771" w:type="pct"/>
            <w:shd w:val="clear" w:color="auto" w:fill="auto"/>
            <w:noWrap/>
            <w:vAlign w:val="center"/>
          </w:tcPr>
          <w:p w14:paraId="5C7BCC6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eplerenona</w:t>
            </w:r>
          </w:p>
        </w:tc>
        <w:tc>
          <w:tcPr>
            <w:tcW w:w="249" w:type="pct"/>
            <w:shd w:val="clear" w:color="auto" w:fill="auto"/>
            <w:noWrap/>
            <w:vAlign w:val="center"/>
          </w:tcPr>
          <w:p w14:paraId="145D5BBE" w14:textId="77777777" w:rsidR="00A53EA0" w:rsidRPr="006B1E10" w:rsidRDefault="00A53EA0" w:rsidP="00A53EA0">
            <w:pPr>
              <w:rPr>
                <w:rFonts w:ascii="Calibri" w:hAnsi="Calibri"/>
                <w:color w:val="000000"/>
                <w:sz w:val="18"/>
                <w:szCs w:val="18"/>
              </w:rPr>
            </w:pPr>
          </w:p>
        </w:tc>
        <w:tc>
          <w:tcPr>
            <w:tcW w:w="250" w:type="pct"/>
            <w:vAlign w:val="center"/>
          </w:tcPr>
          <w:p w14:paraId="5C95571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83A3F94" w14:textId="77777777" w:rsidR="00A53EA0" w:rsidRPr="006B1E10" w:rsidRDefault="00A53EA0" w:rsidP="00A53EA0">
            <w:pPr>
              <w:rPr>
                <w:rFonts w:ascii="Calibri" w:hAnsi="Calibri"/>
                <w:color w:val="000000"/>
                <w:sz w:val="18"/>
                <w:szCs w:val="18"/>
              </w:rPr>
            </w:pPr>
          </w:p>
        </w:tc>
        <w:tc>
          <w:tcPr>
            <w:tcW w:w="249" w:type="pct"/>
            <w:vAlign w:val="center"/>
          </w:tcPr>
          <w:p w14:paraId="1DA5FC2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03C6AFB9"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784FF9F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363814"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4E1210B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2618E25A"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23B0594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F5EF188"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864D356"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F0C57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82812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4A1BAD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B89A5B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AA8497C" w14:textId="77777777" w:rsidR="00A53EA0" w:rsidRPr="006B1E10" w:rsidRDefault="00A53EA0" w:rsidP="00A53EA0">
            <w:pPr>
              <w:rPr>
                <w:rFonts w:ascii="Calibri" w:hAnsi="Calibri"/>
                <w:color w:val="000000"/>
                <w:sz w:val="18"/>
                <w:szCs w:val="18"/>
              </w:rPr>
            </w:pPr>
          </w:p>
        </w:tc>
      </w:tr>
      <w:tr w:rsidR="00A53EA0" w:rsidRPr="006B1E10" w14:paraId="44A48751" w14:textId="77777777" w:rsidTr="00A53EA0">
        <w:trPr>
          <w:trHeight w:val="454"/>
          <w:tblHeader/>
        </w:trPr>
        <w:tc>
          <w:tcPr>
            <w:tcW w:w="771" w:type="pct"/>
            <w:shd w:val="clear" w:color="auto" w:fill="auto"/>
            <w:noWrap/>
            <w:vAlign w:val="center"/>
          </w:tcPr>
          <w:p w14:paraId="2F90043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ergotamina </w:t>
            </w:r>
          </w:p>
        </w:tc>
        <w:tc>
          <w:tcPr>
            <w:tcW w:w="249" w:type="pct"/>
            <w:shd w:val="clear" w:color="auto" w:fill="auto"/>
            <w:noWrap/>
            <w:vAlign w:val="center"/>
          </w:tcPr>
          <w:p w14:paraId="42FDB62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A40B9C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24AE9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A4A8469"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77C69AC4" w14:textId="77777777" w:rsidR="00A53EA0" w:rsidRPr="006B1E10" w:rsidRDefault="00A53EA0" w:rsidP="00A53EA0">
            <w:pPr>
              <w:rPr>
                <w:rFonts w:ascii="Calibri" w:hAnsi="Calibri"/>
                <w:color w:val="FF0000"/>
                <w:sz w:val="18"/>
                <w:szCs w:val="18"/>
                <w:lang w:val="en-US" w:eastAsia="en-US"/>
              </w:rPr>
            </w:pPr>
          </w:p>
          <w:p w14:paraId="192C3D41" w14:textId="77777777" w:rsidR="00A53EA0" w:rsidRPr="006B1E10" w:rsidRDefault="00A53EA0" w:rsidP="00A53EA0">
            <w:pPr>
              <w:rPr>
                <w:rFonts w:ascii="Calibri" w:hAnsi="Calibri"/>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5136976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65ABA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51B89FD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2D9EEC0"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6DA9133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A5217A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A62BF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94958C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DE097F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C3219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8FD7DC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FCF741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96F0D19" w14:textId="77777777" w:rsidTr="00A53EA0">
        <w:trPr>
          <w:trHeight w:val="454"/>
          <w:tblHeader/>
        </w:trPr>
        <w:tc>
          <w:tcPr>
            <w:tcW w:w="771" w:type="pct"/>
            <w:shd w:val="clear" w:color="auto" w:fill="auto"/>
            <w:noWrap/>
            <w:vAlign w:val="center"/>
          </w:tcPr>
          <w:p w14:paraId="76E811C7" w14:textId="77777777" w:rsidR="00A53EA0" w:rsidRPr="006B1E10" w:rsidRDefault="00A53EA0" w:rsidP="00A53EA0">
            <w:pPr>
              <w:rPr>
                <w:rFonts w:asciiTheme="minorHAnsi" w:hAnsiTheme="minorHAnsi"/>
                <w:sz w:val="18"/>
                <w:szCs w:val="18"/>
              </w:rPr>
            </w:pPr>
            <w:r w:rsidRPr="006B1E10">
              <w:rPr>
                <w:rFonts w:asciiTheme="minorHAnsi" w:hAnsiTheme="minorHAnsi"/>
                <w:sz w:val="18"/>
                <w:szCs w:val="18"/>
                <w:highlight w:val="yellow"/>
              </w:rPr>
              <w:t>eslicarbazepina</w:t>
            </w:r>
          </w:p>
        </w:tc>
        <w:tc>
          <w:tcPr>
            <w:tcW w:w="249" w:type="pct"/>
            <w:shd w:val="clear" w:color="auto" w:fill="auto"/>
            <w:noWrap/>
            <w:vAlign w:val="center"/>
          </w:tcPr>
          <w:p w14:paraId="3FFEF9F3"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33C7C674"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50" w:type="pct"/>
            <w:vAlign w:val="center"/>
          </w:tcPr>
          <w:p w14:paraId="12152E8E"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51A7ABF7"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287D0D48"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vAlign w:val="center"/>
          </w:tcPr>
          <w:p w14:paraId="607341DF" w14:textId="77777777" w:rsidR="00A53EA0" w:rsidRPr="006B1E10" w:rsidRDefault="00A53EA0" w:rsidP="00A53EA0">
            <w:pPr>
              <w:rPr>
                <w:rFonts w:asciiTheme="minorHAnsi" w:hAnsiTheme="minorHAnsi"/>
                <w:sz w:val="18"/>
                <w:szCs w:val="18"/>
                <w:lang w:val="en-US"/>
              </w:rPr>
            </w:pPr>
          </w:p>
        </w:tc>
        <w:tc>
          <w:tcPr>
            <w:tcW w:w="249" w:type="pct"/>
            <w:shd w:val="clear" w:color="auto" w:fill="auto"/>
            <w:noWrap/>
            <w:vAlign w:val="center"/>
          </w:tcPr>
          <w:p w14:paraId="40B2E320"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29C017AC"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vAlign w:val="center"/>
          </w:tcPr>
          <w:p w14:paraId="4958DB2E"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color w:val="FF0000"/>
                <w:sz w:val="18"/>
                <w:szCs w:val="18"/>
                <w:highlight w:val="yellow"/>
              </w:rPr>
              <w:t>X</w:t>
            </w:r>
            <w:r w:rsidRPr="006B1E10">
              <w:rPr>
                <w:rFonts w:asciiTheme="minorHAnsi" w:hAnsiTheme="minorHAnsi"/>
                <w:sz w:val="18"/>
                <w:szCs w:val="18"/>
                <w:highlight w:val="yellow"/>
              </w:rPr>
              <w:t xml:space="preserve"> NR</w:t>
            </w:r>
            <w:r w:rsidRPr="006B1E10">
              <w:rPr>
                <w:rFonts w:asciiTheme="minorHAnsi" w:hAnsiTheme="minorHAnsi"/>
                <w:sz w:val="18"/>
                <w:szCs w:val="18"/>
                <w:highlight w:val="yellow"/>
                <w:vertAlign w:val="superscript"/>
              </w:rPr>
              <w:t xml:space="preserve"> </w:t>
            </w:r>
            <w:r>
              <w:rPr>
                <w:rFonts w:asciiTheme="minorHAnsi" w:hAnsiTheme="minorHAnsi"/>
                <w:sz w:val="18"/>
                <w:szCs w:val="18"/>
                <w:vertAlign w:val="superscript"/>
              </w:rPr>
              <w:t>6</w:t>
            </w:r>
          </w:p>
        </w:tc>
        <w:tc>
          <w:tcPr>
            <w:tcW w:w="249" w:type="pct"/>
            <w:shd w:val="clear" w:color="auto" w:fill="FFFFFF"/>
            <w:noWrap/>
            <w:vAlign w:val="center"/>
          </w:tcPr>
          <w:p w14:paraId="70DD484D" w14:textId="77777777" w:rsidR="00A53EA0" w:rsidRPr="006B1E10" w:rsidRDefault="00A53EA0" w:rsidP="00A53EA0">
            <w:pPr>
              <w:rPr>
                <w:rFonts w:asciiTheme="minorHAnsi" w:hAnsiTheme="minorHAnsi"/>
                <w:color w:val="000000"/>
                <w:sz w:val="18"/>
                <w:szCs w:val="18"/>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742BB4F2" w14:textId="77777777" w:rsidR="00A53EA0" w:rsidRPr="006B1E10" w:rsidRDefault="00A53EA0" w:rsidP="00A53EA0">
            <w:pPr>
              <w:rPr>
                <w:rFonts w:asciiTheme="minorHAnsi" w:hAnsiTheme="minorHAnsi"/>
                <w:sz w:val="18"/>
                <w:szCs w:val="18"/>
                <w:lang w:val="en-US"/>
              </w:rPr>
            </w:pPr>
          </w:p>
        </w:tc>
        <w:tc>
          <w:tcPr>
            <w:tcW w:w="249" w:type="pct"/>
            <w:shd w:val="clear" w:color="000000" w:fill="FFFFFF"/>
            <w:noWrap/>
            <w:vAlign w:val="center"/>
          </w:tcPr>
          <w:p w14:paraId="4BC9953C"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8" w:type="pct"/>
            <w:shd w:val="clear" w:color="auto" w:fill="auto"/>
            <w:noWrap/>
            <w:vAlign w:val="center"/>
          </w:tcPr>
          <w:p w14:paraId="0F6EF93D"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2F5C55DA"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4566AFC"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 </w:t>
            </w: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0252F069" w14:textId="77777777" w:rsidR="00A53EA0" w:rsidRPr="006B1E10" w:rsidRDefault="00A53EA0" w:rsidP="00A53EA0">
            <w:pPr>
              <w:rPr>
                <w:rFonts w:asciiTheme="minorHAnsi" w:hAnsiTheme="minorHAnsi"/>
                <w:sz w:val="18"/>
                <w:szCs w:val="18"/>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42DD9BB9" w14:textId="77777777" w:rsidR="00A53EA0" w:rsidRPr="006B1E10" w:rsidRDefault="00A53EA0" w:rsidP="00A53EA0">
            <w:pPr>
              <w:rPr>
                <w:rFonts w:asciiTheme="minorHAnsi" w:hAnsiTheme="minorHAnsi"/>
                <w:color w:val="FF0000"/>
                <w:sz w:val="18"/>
                <w:szCs w:val="18"/>
                <w:lang w:val="en-US"/>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ARV</w:t>
            </w:r>
          </w:p>
        </w:tc>
        <w:tc>
          <w:tcPr>
            <w:tcW w:w="249" w:type="pct"/>
            <w:shd w:val="clear" w:color="auto" w:fill="auto"/>
            <w:noWrap/>
            <w:vAlign w:val="center"/>
          </w:tcPr>
          <w:p w14:paraId="4AABEF29"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4102D86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2534BF76"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73A1D5C0" w14:textId="77777777" w:rsidR="00A53EA0" w:rsidRPr="006B1E10" w:rsidRDefault="00A53EA0" w:rsidP="00A53EA0">
            <w:pPr>
              <w:rPr>
                <w:rFonts w:asciiTheme="minorHAnsi" w:hAnsiTheme="minorHAnsi"/>
                <w:sz w:val="18"/>
                <w:szCs w:val="18"/>
              </w:rPr>
            </w:pPr>
          </w:p>
        </w:tc>
        <w:tc>
          <w:tcPr>
            <w:tcW w:w="245" w:type="pct"/>
            <w:shd w:val="clear" w:color="auto" w:fill="auto"/>
            <w:noWrap/>
            <w:vAlign w:val="center"/>
          </w:tcPr>
          <w:p w14:paraId="22921652" w14:textId="77777777" w:rsidR="00A53EA0" w:rsidRPr="006B1E10" w:rsidRDefault="00A53EA0" w:rsidP="00A53EA0">
            <w:pPr>
              <w:rPr>
                <w:rFonts w:asciiTheme="minorHAnsi" w:hAnsiTheme="minorHAnsi"/>
                <w:sz w:val="18"/>
                <w:szCs w:val="18"/>
              </w:rPr>
            </w:pPr>
          </w:p>
        </w:tc>
      </w:tr>
      <w:tr w:rsidR="00A53EA0" w:rsidRPr="006B1E10" w14:paraId="28ADBC78" w14:textId="77777777" w:rsidTr="00A53EA0">
        <w:trPr>
          <w:trHeight w:val="454"/>
          <w:tblHeader/>
        </w:trPr>
        <w:tc>
          <w:tcPr>
            <w:tcW w:w="771" w:type="pct"/>
            <w:shd w:val="clear" w:color="auto" w:fill="auto"/>
            <w:noWrap/>
            <w:vAlign w:val="center"/>
          </w:tcPr>
          <w:p w14:paraId="145652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esomeprazol</w:t>
            </w:r>
          </w:p>
        </w:tc>
        <w:tc>
          <w:tcPr>
            <w:tcW w:w="249" w:type="pct"/>
            <w:shd w:val="clear" w:color="auto" w:fill="auto"/>
            <w:noWrap/>
            <w:vAlign w:val="center"/>
          </w:tcPr>
          <w:p w14:paraId="4EAB7B3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3A3D43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F10070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4EAB6B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B6F76A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E2789A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0DD9CE1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7C37E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21C6A53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20</w:t>
            </w:r>
          </w:p>
        </w:tc>
        <w:tc>
          <w:tcPr>
            <w:tcW w:w="248" w:type="pct"/>
            <w:shd w:val="clear" w:color="auto" w:fill="auto"/>
            <w:noWrap/>
            <w:vAlign w:val="center"/>
          </w:tcPr>
          <w:p w14:paraId="5CBC09C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20</w:t>
            </w:r>
          </w:p>
        </w:tc>
        <w:tc>
          <w:tcPr>
            <w:tcW w:w="249" w:type="pct"/>
            <w:shd w:val="clear" w:color="auto" w:fill="auto"/>
            <w:noWrap/>
            <w:vAlign w:val="center"/>
          </w:tcPr>
          <w:p w14:paraId="34CF6A3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4297F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1E057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5C544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BD1B1E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6A277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1C11E2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bl>
    <w:p w14:paraId="2C241153"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52E5D0B6"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EB96CCC"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A8FD18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663F5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F9822B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790FA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15ABB5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D280A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69E646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57EA62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B9CF4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150F8A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A61260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BFC5C7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B751CF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6E5561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723D3A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47C2CD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AD25A7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0F8303EA" w14:textId="77777777" w:rsidTr="00A53EA0">
        <w:trPr>
          <w:trHeight w:val="454"/>
          <w:tblHeader/>
        </w:trPr>
        <w:tc>
          <w:tcPr>
            <w:tcW w:w="771" w:type="pct"/>
            <w:shd w:val="clear" w:color="auto" w:fill="auto"/>
            <w:noWrap/>
            <w:vAlign w:val="center"/>
          </w:tcPr>
          <w:p w14:paraId="5584C08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etinilestradiol/progestágeno </w:t>
            </w:r>
          </w:p>
        </w:tc>
        <w:tc>
          <w:tcPr>
            <w:tcW w:w="249" w:type="pct"/>
            <w:shd w:val="clear" w:color="auto" w:fill="auto"/>
            <w:noWrap/>
            <w:vAlign w:val="center"/>
          </w:tcPr>
          <w:p w14:paraId="60DA5F1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47EFF1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70C50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E6D754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38892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BF2296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2A5F6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7899F0B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auto"/>
            <w:noWrap/>
            <w:vAlign w:val="center"/>
          </w:tcPr>
          <w:p w14:paraId="44B48C9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5D81B30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53BED6C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B42A76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71DC2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BB156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D42242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D70CE4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BA6F7F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A6A2697" w14:textId="77777777" w:rsidTr="00A53EA0">
        <w:trPr>
          <w:trHeight w:val="454"/>
          <w:tblHeader/>
        </w:trPr>
        <w:tc>
          <w:tcPr>
            <w:tcW w:w="771" w:type="pct"/>
            <w:shd w:val="clear" w:color="auto" w:fill="auto"/>
            <w:noWrap/>
            <w:vAlign w:val="center"/>
          </w:tcPr>
          <w:p w14:paraId="3039EB4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etonogestrel</w:t>
            </w:r>
          </w:p>
        </w:tc>
        <w:tc>
          <w:tcPr>
            <w:tcW w:w="249" w:type="pct"/>
            <w:shd w:val="clear" w:color="auto" w:fill="auto"/>
            <w:noWrap/>
            <w:vAlign w:val="center"/>
          </w:tcPr>
          <w:p w14:paraId="39047A6F" w14:textId="77777777" w:rsidR="00A53EA0" w:rsidRPr="006B1E10" w:rsidRDefault="00A53EA0" w:rsidP="00A53EA0">
            <w:pPr>
              <w:rPr>
                <w:rFonts w:ascii="Calibri" w:hAnsi="Calibri"/>
                <w:sz w:val="18"/>
                <w:szCs w:val="18"/>
                <w:lang w:val="en-US" w:eastAsia="en-US"/>
              </w:rPr>
            </w:pPr>
          </w:p>
        </w:tc>
        <w:tc>
          <w:tcPr>
            <w:tcW w:w="250" w:type="pct"/>
            <w:vAlign w:val="center"/>
          </w:tcPr>
          <w:p w14:paraId="7BD9B42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E17FCE" w14:textId="77777777" w:rsidR="00A53EA0" w:rsidRPr="006B1E10" w:rsidRDefault="00A53EA0" w:rsidP="00A53EA0">
            <w:pPr>
              <w:rPr>
                <w:rFonts w:ascii="Calibri" w:hAnsi="Calibri"/>
                <w:color w:val="000000"/>
                <w:sz w:val="18"/>
                <w:szCs w:val="18"/>
              </w:rPr>
            </w:pPr>
          </w:p>
        </w:tc>
        <w:tc>
          <w:tcPr>
            <w:tcW w:w="249" w:type="pct"/>
            <w:vAlign w:val="center"/>
          </w:tcPr>
          <w:p w14:paraId="0AF0E5D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6AF3BEE" w14:textId="77777777" w:rsidR="00A53EA0" w:rsidRPr="006B1E10" w:rsidRDefault="00A53EA0" w:rsidP="00A53EA0">
            <w:pPr>
              <w:rPr>
                <w:rFonts w:ascii="Calibri" w:hAnsi="Calibri"/>
                <w:color w:val="FF0000"/>
                <w:sz w:val="18"/>
                <w:szCs w:val="18"/>
                <w:lang w:val="en-US" w:eastAsia="en-US"/>
              </w:rPr>
            </w:pPr>
          </w:p>
        </w:tc>
        <w:tc>
          <w:tcPr>
            <w:tcW w:w="249" w:type="pct"/>
            <w:vAlign w:val="center"/>
          </w:tcPr>
          <w:p w14:paraId="1B9B01D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4A2498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0ECAC2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auto"/>
            <w:noWrap/>
            <w:vAlign w:val="center"/>
          </w:tcPr>
          <w:p w14:paraId="1293EB72" w14:textId="77777777" w:rsidR="00A53EA0" w:rsidRPr="006B1E10" w:rsidRDefault="00A53EA0" w:rsidP="00A53EA0">
            <w:pPr>
              <w:rPr>
                <w:rFonts w:ascii="Calibri" w:hAnsi="Calibri"/>
                <w:color w:val="000000"/>
                <w:sz w:val="18"/>
                <w:szCs w:val="18"/>
              </w:rPr>
            </w:pPr>
          </w:p>
        </w:tc>
        <w:tc>
          <w:tcPr>
            <w:tcW w:w="248" w:type="pct"/>
            <w:shd w:val="clear" w:color="auto" w:fill="FFFFFF"/>
            <w:noWrap/>
            <w:vAlign w:val="center"/>
          </w:tcPr>
          <w:p w14:paraId="4FBC2126"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F507EA3"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4E1734D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B52FF3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16868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D349C7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663B236"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19B89CF5" w14:textId="77777777" w:rsidR="00A53EA0" w:rsidRPr="006B1E10" w:rsidRDefault="00A53EA0" w:rsidP="00A53EA0">
            <w:pPr>
              <w:rPr>
                <w:rFonts w:ascii="Calibri" w:hAnsi="Calibri"/>
                <w:color w:val="000000"/>
                <w:sz w:val="18"/>
                <w:szCs w:val="18"/>
              </w:rPr>
            </w:pPr>
          </w:p>
        </w:tc>
      </w:tr>
      <w:tr w:rsidR="00A53EA0" w:rsidRPr="006B1E10" w14:paraId="6344F425" w14:textId="77777777" w:rsidTr="00A53EA0">
        <w:trPr>
          <w:trHeight w:val="454"/>
          <w:tblHeader/>
        </w:trPr>
        <w:tc>
          <w:tcPr>
            <w:tcW w:w="771" w:type="pct"/>
            <w:shd w:val="clear" w:color="auto" w:fill="auto"/>
            <w:noWrap/>
            <w:vAlign w:val="center"/>
          </w:tcPr>
          <w:p w14:paraId="3557428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etravirina (TMC-125)</w:t>
            </w:r>
          </w:p>
        </w:tc>
        <w:tc>
          <w:tcPr>
            <w:tcW w:w="249" w:type="pct"/>
            <w:shd w:val="clear" w:color="auto" w:fill="auto"/>
            <w:noWrap/>
            <w:vAlign w:val="center"/>
          </w:tcPr>
          <w:p w14:paraId="6FA0F0F0"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t>NR</w:t>
            </w:r>
            <w:r>
              <w:rPr>
                <w:rFonts w:ascii="Calibri" w:hAnsi="Calibri"/>
                <w:sz w:val="18"/>
                <w:szCs w:val="18"/>
                <w:vertAlign w:val="superscript"/>
                <w:lang w:val="en-US" w:eastAsia="en-US"/>
              </w:rPr>
              <w:t>21</w:t>
            </w:r>
          </w:p>
        </w:tc>
        <w:tc>
          <w:tcPr>
            <w:tcW w:w="250" w:type="pct"/>
            <w:vAlign w:val="center"/>
          </w:tcPr>
          <w:p w14:paraId="0C481F9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5F106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A9429A1"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310DF55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themeFill="background1" w:themeFillShade="BF"/>
            <w:vAlign w:val="center"/>
          </w:tcPr>
          <w:p w14:paraId="7F8A8529"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02385B0"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6DCC53ED" w14:textId="77777777" w:rsidR="00A53EA0" w:rsidRPr="006B1E10" w:rsidRDefault="00A53EA0" w:rsidP="00A53EA0">
            <w:pPr>
              <w:rPr>
                <w:rFonts w:ascii="Calibri" w:hAnsi="Calibri"/>
                <w:color w:val="000000"/>
                <w:sz w:val="18"/>
                <w:szCs w:val="18"/>
              </w:rPr>
            </w:pPr>
          </w:p>
        </w:tc>
        <w:tc>
          <w:tcPr>
            <w:tcW w:w="249" w:type="pct"/>
            <w:shd w:val="clear" w:color="000000" w:fill="auto"/>
            <w:noWrap/>
            <w:vAlign w:val="center"/>
          </w:tcPr>
          <w:p w14:paraId="52BCA4A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FFFFFF"/>
            <w:noWrap/>
            <w:vAlign w:val="center"/>
          </w:tcPr>
          <w:p w14:paraId="2A04B48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18EFC3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356F451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8B96AA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C3D5B7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8EAB30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EE3FD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B7645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AE3A82F" w14:textId="77777777" w:rsidTr="00A53EA0">
        <w:trPr>
          <w:trHeight w:val="454"/>
          <w:tblHeader/>
        </w:trPr>
        <w:tc>
          <w:tcPr>
            <w:tcW w:w="771" w:type="pct"/>
            <w:shd w:val="clear" w:color="auto" w:fill="auto"/>
            <w:noWrap/>
            <w:vAlign w:val="center"/>
          </w:tcPr>
          <w:p w14:paraId="67570E2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everolimus</w:t>
            </w:r>
          </w:p>
        </w:tc>
        <w:tc>
          <w:tcPr>
            <w:tcW w:w="249" w:type="pct"/>
            <w:shd w:val="clear" w:color="auto" w:fill="auto"/>
            <w:noWrap/>
            <w:vAlign w:val="center"/>
          </w:tcPr>
          <w:p w14:paraId="11C6B86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F9DE14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6D9073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EF5897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CA7699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6D8A3A5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EC107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D40736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2C973B7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40D0F50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B54311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7EBC6E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B3B32D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91A132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85ECAF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79C43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0D6C8D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F813D95" w14:textId="77777777" w:rsidTr="00A53EA0">
        <w:trPr>
          <w:trHeight w:val="454"/>
          <w:tblHeader/>
        </w:trPr>
        <w:tc>
          <w:tcPr>
            <w:tcW w:w="771" w:type="pct"/>
            <w:shd w:val="clear" w:color="auto" w:fill="auto"/>
            <w:noWrap/>
            <w:vAlign w:val="center"/>
          </w:tcPr>
          <w:p w14:paraId="0AB809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éxtasis (3,4-metilendioxianfetamina)</w:t>
            </w:r>
          </w:p>
        </w:tc>
        <w:tc>
          <w:tcPr>
            <w:tcW w:w="249" w:type="pct"/>
            <w:shd w:val="clear" w:color="auto" w:fill="auto"/>
            <w:noWrap/>
            <w:vAlign w:val="center"/>
          </w:tcPr>
          <w:p w14:paraId="514CED9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F4460E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4723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D1AE029"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B16497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vAlign w:val="center"/>
          </w:tcPr>
          <w:p w14:paraId="310CC8B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7C418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3EAFBB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8C65D6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8" w:type="pct"/>
            <w:shd w:val="clear" w:color="auto" w:fill="auto"/>
            <w:noWrap/>
            <w:vAlign w:val="center"/>
          </w:tcPr>
          <w:p w14:paraId="1CF97FA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2AA1DCB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1E9E20A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33580A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3875F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B65DC3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DBD82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A41204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B41A5EA" w14:textId="77777777" w:rsidTr="00A53EA0">
        <w:trPr>
          <w:trHeight w:val="454"/>
          <w:tblHeader/>
        </w:trPr>
        <w:tc>
          <w:tcPr>
            <w:tcW w:w="771" w:type="pct"/>
            <w:shd w:val="clear" w:color="auto" w:fill="auto"/>
            <w:noWrap/>
            <w:vAlign w:val="center"/>
          </w:tcPr>
          <w:p w14:paraId="5C2450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famotidina</w:t>
            </w:r>
          </w:p>
        </w:tc>
        <w:tc>
          <w:tcPr>
            <w:tcW w:w="249" w:type="pct"/>
            <w:shd w:val="clear" w:color="auto" w:fill="auto"/>
            <w:noWrap/>
            <w:vAlign w:val="center"/>
          </w:tcPr>
          <w:p w14:paraId="783204E2" w14:textId="77777777" w:rsidR="00A53EA0" w:rsidRPr="006B1E10" w:rsidRDefault="00A53EA0" w:rsidP="00A53EA0">
            <w:pPr>
              <w:rPr>
                <w:rFonts w:ascii="Calibri" w:hAnsi="Calibri"/>
                <w:color w:val="000000"/>
                <w:sz w:val="18"/>
                <w:szCs w:val="18"/>
              </w:rPr>
            </w:pPr>
          </w:p>
        </w:tc>
        <w:tc>
          <w:tcPr>
            <w:tcW w:w="250" w:type="pct"/>
            <w:vAlign w:val="center"/>
          </w:tcPr>
          <w:p w14:paraId="31F25AF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999BD15" w14:textId="77777777" w:rsidR="00A53EA0" w:rsidRPr="006B1E10" w:rsidRDefault="00A53EA0" w:rsidP="00A53EA0">
            <w:pPr>
              <w:rPr>
                <w:rFonts w:ascii="Calibri" w:hAnsi="Calibri"/>
                <w:color w:val="000000"/>
                <w:sz w:val="18"/>
                <w:szCs w:val="18"/>
              </w:rPr>
            </w:pPr>
          </w:p>
        </w:tc>
        <w:tc>
          <w:tcPr>
            <w:tcW w:w="249" w:type="pct"/>
            <w:vAlign w:val="center"/>
          </w:tcPr>
          <w:p w14:paraId="59F79D4D"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0B5A888A" w14:textId="77777777" w:rsidR="00A53EA0" w:rsidRPr="006B1E10" w:rsidRDefault="00A53EA0" w:rsidP="00A53EA0">
            <w:pPr>
              <w:rPr>
                <w:rFonts w:ascii="Calibri" w:hAnsi="Calibri"/>
                <w:b/>
                <w:bCs/>
                <w:color w:val="000000"/>
                <w:sz w:val="18"/>
                <w:szCs w:val="18"/>
              </w:rPr>
            </w:pPr>
          </w:p>
        </w:tc>
        <w:tc>
          <w:tcPr>
            <w:tcW w:w="249" w:type="pct"/>
            <w:vAlign w:val="center"/>
          </w:tcPr>
          <w:p w14:paraId="2B34C963" w14:textId="77777777" w:rsidR="00A53EA0" w:rsidRPr="006B1E10" w:rsidRDefault="00A53EA0" w:rsidP="00A53EA0">
            <w:pPr>
              <w:rPr>
                <w:rFonts w:ascii="Calibri" w:hAnsi="Calibri"/>
                <w:sz w:val="18"/>
                <w:szCs w:val="18"/>
                <w:lang w:val="en-US" w:eastAsia="en-US"/>
              </w:rPr>
            </w:pPr>
          </w:p>
        </w:tc>
        <w:tc>
          <w:tcPr>
            <w:tcW w:w="249" w:type="pct"/>
            <w:shd w:val="clear" w:color="auto" w:fill="auto"/>
            <w:noWrap/>
            <w:vAlign w:val="center"/>
          </w:tcPr>
          <w:p w14:paraId="231E97BC" w14:textId="77777777" w:rsidR="00A53EA0" w:rsidRPr="006B1E10" w:rsidRDefault="00A53EA0" w:rsidP="00A53EA0">
            <w:pPr>
              <w:rPr>
                <w:rFonts w:ascii="Calibri" w:hAnsi="Calibri"/>
                <w:b/>
                <w:bCs/>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22</w:t>
            </w:r>
          </w:p>
        </w:tc>
        <w:tc>
          <w:tcPr>
            <w:tcW w:w="249" w:type="pct"/>
            <w:shd w:val="clear" w:color="auto" w:fill="auto"/>
            <w:noWrap/>
            <w:vAlign w:val="center"/>
          </w:tcPr>
          <w:p w14:paraId="67AFC6A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661B0A"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22</w:t>
            </w:r>
          </w:p>
        </w:tc>
        <w:tc>
          <w:tcPr>
            <w:tcW w:w="248" w:type="pct"/>
            <w:shd w:val="clear" w:color="auto" w:fill="auto"/>
            <w:noWrap/>
            <w:vAlign w:val="center"/>
          </w:tcPr>
          <w:p w14:paraId="312824F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22</w:t>
            </w:r>
          </w:p>
        </w:tc>
        <w:tc>
          <w:tcPr>
            <w:tcW w:w="249" w:type="pct"/>
            <w:shd w:val="clear" w:color="auto" w:fill="auto"/>
            <w:noWrap/>
            <w:vAlign w:val="center"/>
          </w:tcPr>
          <w:p w14:paraId="6C1E61B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497380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4CD49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843DE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46D43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A47A534"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2999C5AF" w14:textId="77777777" w:rsidR="00A53EA0" w:rsidRPr="006B1E10" w:rsidRDefault="00A53EA0" w:rsidP="00A53EA0">
            <w:pPr>
              <w:rPr>
                <w:rFonts w:ascii="Calibri" w:hAnsi="Calibri"/>
                <w:b/>
                <w:bCs/>
                <w:color w:val="000000"/>
                <w:sz w:val="18"/>
                <w:szCs w:val="18"/>
              </w:rPr>
            </w:pPr>
          </w:p>
        </w:tc>
      </w:tr>
      <w:tr w:rsidR="00A53EA0" w:rsidRPr="006B1E10" w14:paraId="21F2058C" w14:textId="77777777" w:rsidTr="00A53EA0">
        <w:trPr>
          <w:trHeight w:val="454"/>
          <w:tblHeader/>
        </w:trPr>
        <w:tc>
          <w:tcPr>
            <w:tcW w:w="771" w:type="pct"/>
            <w:shd w:val="clear" w:color="auto" w:fill="auto"/>
            <w:noWrap/>
            <w:vAlign w:val="center"/>
          </w:tcPr>
          <w:p w14:paraId="7086C597" w14:textId="77777777" w:rsidR="00A53EA0" w:rsidRPr="006B1E10" w:rsidRDefault="00A53EA0" w:rsidP="00A53EA0">
            <w:pPr>
              <w:rPr>
                <w:rFonts w:ascii="Calibri" w:hAnsi="Calibri"/>
                <w:color w:val="000000"/>
                <w:sz w:val="18"/>
                <w:szCs w:val="18"/>
              </w:rPr>
            </w:pPr>
            <w:r>
              <w:rPr>
                <w:rFonts w:ascii="Calibri" w:hAnsi="Calibri"/>
                <w:color w:val="000000"/>
                <w:sz w:val="18"/>
                <w:szCs w:val="18"/>
              </w:rPr>
              <w:t>f</w:t>
            </w:r>
            <w:r w:rsidRPr="006B1E10">
              <w:rPr>
                <w:rFonts w:ascii="Calibri" w:hAnsi="Calibri"/>
                <w:color w:val="000000"/>
                <w:sz w:val="18"/>
                <w:szCs w:val="18"/>
              </w:rPr>
              <w:t>elbamato</w:t>
            </w:r>
            <w:r>
              <w:rPr>
                <w:rFonts w:ascii="Calibri" w:hAnsi="Calibri"/>
                <w:color w:val="000000"/>
                <w:sz w:val="18"/>
                <w:szCs w:val="18"/>
              </w:rPr>
              <w:t xml:space="preserve"> </w:t>
            </w:r>
            <w:r w:rsidRPr="00650A90">
              <w:rPr>
                <w:rFonts w:ascii="Calibri" w:hAnsi="Calibri"/>
                <w:color w:val="000000"/>
                <w:sz w:val="18"/>
                <w:szCs w:val="18"/>
                <w:highlight w:val="yellow"/>
              </w:rPr>
              <w:t>(no comercializado en España)</w:t>
            </w:r>
          </w:p>
        </w:tc>
        <w:tc>
          <w:tcPr>
            <w:tcW w:w="249" w:type="pct"/>
            <w:shd w:val="clear" w:color="auto" w:fill="FFFFFF"/>
            <w:noWrap/>
            <w:vAlign w:val="center"/>
          </w:tcPr>
          <w:p w14:paraId="7D572BE9" w14:textId="77777777" w:rsidR="00A53EA0" w:rsidRPr="00650A90" w:rsidRDefault="00A53EA0" w:rsidP="00A53EA0">
            <w:pPr>
              <w:rPr>
                <w:rFonts w:ascii="Calibri" w:hAnsi="Calibri"/>
                <w:color w:val="FF0000"/>
                <w:sz w:val="18"/>
                <w:szCs w:val="18"/>
                <w:lang w:eastAsia="en-US"/>
              </w:rPr>
            </w:pPr>
          </w:p>
        </w:tc>
        <w:tc>
          <w:tcPr>
            <w:tcW w:w="250" w:type="pct"/>
            <w:vAlign w:val="center"/>
          </w:tcPr>
          <w:p w14:paraId="143C85C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E5E28F" w14:textId="77777777" w:rsidR="00A53EA0" w:rsidRPr="006B1E10" w:rsidRDefault="00A53EA0" w:rsidP="00A53EA0">
            <w:pPr>
              <w:rPr>
                <w:rFonts w:ascii="Calibri" w:hAnsi="Calibri"/>
                <w:color w:val="000000"/>
                <w:sz w:val="18"/>
                <w:szCs w:val="18"/>
              </w:rPr>
            </w:pPr>
          </w:p>
        </w:tc>
        <w:tc>
          <w:tcPr>
            <w:tcW w:w="249" w:type="pct"/>
            <w:vAlign w:val="center"/>
          </w:tcPr>
          <w:p w14:paraId="3E318707" w14:textId="77777777" w:rsidR="00A53EA0" w:rsidRPr="00650A90" w:rsidRDefault="00A53EA0" w:rsidP="00A53EA0">
            <w:pPr>
              <w:rPr>
                <w:rFonts w:ascii="Calibri" w:hAnsi="Calibri"/>
                <w:color w:val="FF0000"/>
                <w:sz w:val="18"/>
                <w:szCs w:val="18"/>
                <w:lang w:eastAsia="en-US"/>
              </w:rPr>
            </w:pPr>
          </w:p>
        </w:tc>
        <w:tc>
          <w:tcPr>
            <w:tcW w:w="249" w:type="pct"/>
            <w:shd w:val="clear" w:color="auto" w:fill="FFFFFF"/>
            <w:noWrap/>
            <w:vAlign w:val="center"/>
          </w:tcPr>
          <w:p w14:paraId="0D15F3C8"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FFFFFF"/>
            <w:vAlign w:val="center"/>
          </w:tcPr>
          <w:p w14:paraId="1E360A2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A2FA953"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noWrap/>
            <w:vAlign w:val="center"/>
          </w:tcPr>
          <w:p w14:paraId="317F8901"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04B7B984" w14:textId="77777777" w:rsidR="00A53EA0" w:rsidRPr="006B1E10" w:rsidRDefault="00A53EA0" w:rsidP="00A53EA0">
            <w:pPr>
              <w:rPr>
                <w:rFonts w:ascii="Calibri" w:hAnsi="Calibri"/>
                <w:color w:val="FF0000"/>
                <w:sz w:val="18"/>
                <w:szCs w:val="18"/>
                <w:lang w:val="en-US" w:eastAsia="en-US"/>
              </w:rPr>
            </w:pPr>
          </w:p>
        </w:tc>
        <w:tc>
          <w:tcPr>
            <w:tcW w:w="248" w:type="pct"/>
            <w:shd w:val="clear" w:color="auto" w:fill="FFFFFF"/>
            <w:noWrap/>
            <w:vAlign w:val="center"/>
          </w:tcPr>
          <w:p w14:paraId="1754C1BD"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000000" w:fill="auto"/>
            <w:noWrap/>
            <w:vAlign w:val="center"/>
          </w:tcPr>
          <w:p w14:paraId="29993FC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772FD5FB"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0130FC9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56F0D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561521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1977C06" w14:textId="77777777" w:rsidR="00A53EA0" w:rsidRPr="006B1E10" w:rsidRDefault="00A53EA0" w:rsidP="00A53EA0">
            <w:pPr>
              <w:rPr>
                <w:rFonts w:ascii="Calibri" w:hAnsi="Calibri"/>
                <w:color w:val="000000"/>
                <w:sz w:val="18"/>
                <w:szCs w:val="18"/>
              </w:rPr>
            </w:pPr>
          </w:p>
        </w:tc>
        <w:tc>
          <w:tcPr>
            <w:tcW w:w="245" w:type="pct"/>
            <w:shd w:val="clear" w:color="000000" w:fill="auto"/>
            <w:noWrap/>
            <w:vAlign w:val="center"/>
          </w:tcPr>
          <w:p w14:paraId="7B7DBE14" w14:textId="77777777" w:rsidR="00A53EA0" w:rsidRPr="006B1E10" w:rsidRDefault="00A53EA0" w:rsidP="00A53EA0">
            <w:pPr>
              <w:rPr>
                <w:rFonts w:ascii="Calibri" w:hAnsi="Calibri"/>
                <w:color w:val="FF0000"/>
                <w:sz w:val="18"/>
                <w:szCs w:val="18"/>
                <w:lang w:val="en-US" w:eastAsia="en-US"/>
              </w:rPr>
            </w:pPr>
          </w:p>
        </w:tc>
      </w:tr>
      <w:tr w:rsidR="00A53EA0" w:rsidRPr="006B1E10" w14:paraId="72FE6617" w14:textId="77777777" w:rsidTr="00A53EA0">
        <w:trPr>
          <w:trHeight w:val="454"/>
          <w:tblHeader/>
        </w:trPr>
        <w:tc>
          <w:tcPr>
            <w:tcW w:w="771" w:type="pct"/>
            <w:shd w:val="clear" w:color="auto" w:fill="auto"/>
            <w:noWrap/>
            <w:vAlign w:val="center"/>
          </w:tcPr>
          <w:p w14:paraId="5CCB7E2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fenitoína</w:t>
            </w:r>
          </w:p>
        </w:tc>
        <w:tc>
          <w:tcPr>
            <w:tcW w:w="249" w:type="pct"/>
            <w:shd w:val="clear" w:color="auto" w:fill="FFFFFF"/>
            <w:noWrap/>
            <w:vAlign w:val="center"/>
          </w:tcPr>
          <w:p w14:paraId="05B2D9F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shd w:val="clear" w:color="auto" w:fill="FFFFFF"/>
                <w:vertAlign w:val="superscript"/>
                <w:lang w:val="en-US" w:eastAsia="en-US"/>
              </w:rPr>
              <w:t>9</w:t>
            </w:r>
          </w:p>
        </w:tc>
        <w:tc>
          <w:tcPr>
            <w:tcW w:w="250" w:type="pct"/>
            <w:vAlign w:val="center"/>
          </w:tcPr>
          <w:p w14:paraId="3961672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68BEE509" w14:textId="77777777" w:rsidR="00A53EA0" w:rsidRPr="006B1E10" w:rsidRDefault="00A53EA0" w:rsidP="00A53EA0">
            <w:pPr>
              <w:rPr>
                <w:rFonts w:ascii="Calibri" w:hAnsi="Calibri"/>
                <w:color w:val="000000"/>
                <w:sz w:val="18"/>
                <w:szCs w:val="18"/>
              </w:rPr>
            </w:pPr>
          </w:p>
        </w:tc>
        <w:tc>
          <w:tcPr>
            <w:tcW w:w="249" w:type="pct"/>
            <w:vAlign w:val="center"/>
          </w:tcPr>
          <w:p w14:paraId="7E656800"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1353D11F"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118A5553"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2F81A70"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031AE08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FFFFFF"/>
            <w:noWrap/>
            <w:vAlign w:val="center"/>
          </w:tcPr>
          <w:p w14:paraId="39246A7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FFFFFF"/>
            <w:noWrap/>
            <w:vAlign w:val="center"/>
          </w:tcPr>
          <w:p w14:paraId="45155CB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5F93F7C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4A9693A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DABEE4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E1B8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95D6C8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01A948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000000" w:fill="auto"/>
            <w:noWrap/>
            <w:vAlign w:val="center"/>
          </w:tcPr>
          <w:p w14:paraId="36BFB137"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1045F9F4" w14:textId="77777777" w:rsidTr="00A53EA0">
        <w:trPr>
          <w:trHeight w:val="454"/>
          <w:tblHeader/>
        </w:trPr>
        <w:tc>
          <w:tcPr>
            <w:tcW w:w="771" w:type="pct"/>
            <w:shd w:val="clear" w:color="auto" w:fill="auto"/>
            <w:noWrap/>
            <w:vAlign w:val="center"/>
          </w:tcPr>
          <w:p w14:paraId="249F7BC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fenobarbital</w:t>
            </w:r>
          </w:p>
        </w:tc>
        <w:tc>
          <w:tcPr>
            <w:tcW w:w="249" w:type="pct"/>
            <w:shd w:val="clear" w:color="auto" w:fill="FFFFFF"/>
            <w:noWrap/>
            <w:vAlign w:val="center"/>
          </w:tcPr>
          <w:p w14:paraId="155BC7F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shd w:val="clear" w:color="auto" w:fill="FFFFFF"/>
                <w:vertAlign w:val="superscript"/>
                <w:lang w:val="en-US" w:eastAsia="en-US"/>
              </w:rPr>
              <w:t>9</w:t>
            </w:r>
          </w:p>
        </w:tc>
        <w:tc>
          <w:tcPr>
            <w:tcW w:w="250" w:type="pct"/>
            <w:vAlign w:val="center"/>
          </w:tcPr>
          <w:p w14:paraId="7D13770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6EC9D34E" w14:textId="77777777" w:rsidR="00A53EA0" w:rsidRPr="006B1E10" w:rsidRDefault="00A53EA0" w:rsidP="00A53EA0">
            <w:pPr>
              <w:rPr>
                <w:rFonts w:ascii="Calibri" w:hAnsi="Calibri"/>
                <w:color w:val="000000"/>
                <w:sz w:val="18"/>
                <w:szCs w:val="18"/>
              </w:rPr>
            </w:pPr>
          </w:p>
        </w:tc>
        <w:tc>
          <w:tcPr>
            <w:tcW w:w="249" w:type="pct"/>
            <w:vAlign w:val="center"/>
          </w:tcPr>
          <w:p w14:paraId="4FBC451B"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04B3FAB3"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07A548F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6AEE194E"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4B4DA7C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FFFFFF"/>
            <w:noWrap/>
            <w:vAlign w:val="center"/>
          </w:tcPr>
          <w:p w14:paraId="7D2AE44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FFFFFF"/>
            <w:noWrap/>
            <w:vAlign w:val="center"/>
          </w:tcPr>
          <w:p w14:paraId="7185115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auto"/>
            <w:noWrap/>
            <w:vAlign w:val="center"/>
          </w:tcPr>
          <w:p w14:paraId="18F85AB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0ABD7D1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274CE4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61B05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5AF4C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116C98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000000" w:fill="auto"/>
            <w:noWrap/>
            <w:vAlign w:val="center"/>
          </w:tcPr>
          <w:p w14:paraId="523D2F22"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3ECA2CA6" w14:textId="77777777" w:rsidTr="00A53EA0">
        <w:trPr>
          <w:trHeight w:val="454"/>
          <w:tblHeader/>
        </w:trPr>
        <w:tc>
          <w:tcPr>
            <w:tcW w:w="771" w:type="pct"/>
            <w:shd w:val="clear" w:color="auto" w:fill="auto"/>
            <w:noWrap/>
            <w:vAlign w:val="center"/>
          </w:tcPr>
          <w:p w14:paraId="6792CDDF" w14:textId="77777777" w:rsidR="00A53EA0" w:rsidRPr="006B1E10" w:rsidRDefault="00A53EA0" w:rsidP="00A53EA0">
            <w:pPr>
              <w:rPr>
                <w:rFonts w:ascii="Calibri" w:hAnsi="Calibri"/>
                <w:color w:val="000000"/>
                <w:sz w:val="18"/>
                <w:szCs w:val="18"/>
              </w:rPr>
            </w:pPr>
            <w:r w:rsidRPr="006B1E10">
              <w:rPr>
                <w:sz w:val="18"/>
                <w:szCs w:val="18"/>
              </w:rPr>
              <w:br w:type="page"/>
            </w:r>
            <w:r w:rsidRPr="006B1E10">
              <w:rPr>
                <w:rFonts w:ascii="Calibri" w:hAnsi="Calibri"/>
                <w:color w:val="000000"/>
                <w:sz w:val="18"/>
                <w:szCs w:val="18"/>
              </w:rPr>
              <w:t>fentanilo</w:t>
            </w:r>
          </w:p>
        </w:tc>
        <w:tc>
          <w:tcPr>
            <w:tcW w:w="249" w:type="pct"/>
            <w:shd w:val="clear" w:color="auto" w:fill="auto"/>
            <w:noWrap/>
            <w:vAlign w:val="center"/>
          </w:tcPr>
          <w:p w14:paraId="05F0C1C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0459F2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9F7115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6618B6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72DD13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43C0F21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1544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6ED5B7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ADB95D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651115C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B7C581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C4D49E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C19A01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E1FD63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669F4D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9E2B5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956B77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AD34EC4" w14:textId="77777777" w:rsidTr="00A53EA0">
        <w:trPr>
          <w:trHeight w:val="454"/>
          <w:tblHeader/>
        </w:trPr>
        <w:tc>
          <w:tcPr>
            <w:tcW w:w="771" w:type="pct"/>
            <w:shd w:val="clear" w:color="auto" w:fill="auto"/>
            <w:noWrap/>
            <w:vAlign w:val="center"/>
          </w:tcPr>
          <w:p w14:paraId="6D1FA7E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flecainida</w:t>
            </w:r>
          </w:p>
        </w:tc>
        <w:tc>
          <w:tcPr>
            <w:tcW w:w="249" w:type="pct"/>
            <w:shd w:val="clear" w:color="auto" w:fill="auto"/>
            <w:noWrap/>
            <w:vAlign w:val="center"/>
          </w:tcPr>
          <w:p w14:paraId="727953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38C49B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7F42B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D43EDA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120182E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5F0894B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3E096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1FC3F0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50A3A9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0475BCC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3D7A13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25098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8E5A8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7A392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4EE8C4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E88E2E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475809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92A529C" w14:textId="77777777" w:rsidTr="00A53EA0">
        <w:trPr>
          <w:trHeight w:val="454"/>
          <w:tblHeader/>
        </w:trPr>
        <w:tc>
          <w:tcPr>
            <w:tcW w:w="771" w:type="pct"/>
            <w:shd w:val="clear" w:color="auto" w:fill="auto"/>
            <w:noWrap/>
            <w:vAlign w:val="center"/>
          </w:tcPr>
          <w:p w14:paraId="07817F3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flurazepam </w:t>
            </w:r>
          </w:p>
        </w:tc>
        <w:tc>
          <w:tcPr>
            <w:tcW w:w="249" w:type="pct"/>
            <w:shd w:val="clear" w:color="auto" w:fill="auto"/>
            <w:noWrap/>
            <w:vAlign w:val="center"/>
          </w:tcPr>
          <w:p w14:paraId="0DFAE5F6" w14:textId="77777777" w:rsidR="00A53EA0" w:rsidRPr="006B1E10" w:rsidRDefault="00A53EA0" w:rsidP="00A53EA0">
            <w:pPr>
              <w:rPr>
                <w:rFonts w:ascii="Calibri" w:hAnsi="Calibri"/>
                <w:strike/>
                <w:color w:val="000000"/>
                <w:sz w:val="18"/>
                <w:szCs w:val="18"/>
              </w:rPr>
            </w:pPr>
          </w:p>
        </w:tc>
        <w:tc>
          <w:tcPr>
            <w:tcW w:w="250" w:type="pct"/>
            <w:vAlign w:val="center"/>
          </w:tcPr>
          <w:p w14:paraId="6D54B494"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65A08408" w14:textId="77777777" w:rsidR="00A53EA0" w:rsidRPr="006B1E10" w:rsidRDefault="00A53EA0" w:rsidP="00A53EA0">
            <w:pPr>
              <w:rPr>
                <w:rFonts w:ascii="Calibri" w:hAnsi="Calibri"/>
                <w:strike/>
                <w:color w:val="000000"/>
                <w:sz w:val="18"/>
                <w:szCs w:val="18"/>
              </w:rPr>
            </w:pPr>
          </w:p>
        </w:tc>
        <w:tc>
          <w:tcPr>
            <w:tcW w:w="249" w:type="pct"/>
            <w:shd w:val="clear" w:color="auto" w:fill="auto"/>
            <w:vAlign w:val="center"/>
          </w:tcPr>
          <w:p w14:paraId="59F600E5" w14:textId="77777777" w:rsidR="00A53EA0" w:rsidRPr="006B1E10" w:rsidRDefault="00A53EA0" w:rsidP="00A53EA0">
            <w:pPr>
              <w:rPr>
                <w:rFonts w:ascii="Calibri" w:hAnsi="Calibri"/>
                <w:strike/>
                <w:color w:val="FF0000"/>
                <w:sz w:val="18"/>
                <w:szCs w:val="18"/>
                <w:lang w:val="en-US" w:eastAsia="en-US"/>
              </w:rPr>
            </w:pPr>
          </w:p>
        </w:tc>
        <w:tc>
          <w:tcPr>
            <w:tcW w:w="249" w:type="pct"/>
            <w:shd w:val="clear" w:color="auto" w:fill="auto"/>
            <w:noWrap/>
            <w:vAlign w:val="center"/>
          </w:tcPr>
          <w:p w14:paraId="4D8D30CD"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23</w:t>
            </w:r>
          </w:p>
        </w:tc>
        <w:tc>
          <w:tcPr>
            <w:tcW w:w="249" w:type="pct"/>
            <w:vAlign w:val="center"/>
          </w:tcPr>
          <w:p w14:paraId="3C95F99F"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609617BC"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7919725E"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60456FA4"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23</w:t>
            </w:r>
          </w:p>
        </w:tc>
        <w:tc>
          <w:tcPr>
            <w:tcW w:w="248" w:type="pct"/>
            <w:shd w:val="clear" w:color="auto" w:fill="auto"/>
            <w:noWrap/>
            <w:vAlign w:val="center"/>
          </w:tcPr>
          <w:p w14:paraId="62D8CB34"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eastAsia="en-US"/>
              </w:rPr>
              <w:t>23</w:t>
            </w:r>
          </w:p>
        </w:tc>
        <w:tc>
          <w:tcPr>
            <w:tcW w:w="249" w:type="pct"/>
            <w:shd w:val="clear" w:color="auto" w:fill="auto"/>
            <w:noWrap/>
            <w:vAlign w:val="center"/>
          </w:tcPr>
          <w:p w14:paraId="31F887EC" w14:textId="77777777" w:rsidR="00A53EA0" w:rsidRPr="006B1E10" w:rsidRDefault="00A53EA0" w:rsidP="00A53EA0">
            <w:pPr>
              <w:rPr>
                <w:rFonts w:ascii="Calibri" w:hAnsi="Calibri"/>
                <w:b/>
                <w:bCs/>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23</w:t>
            </w:r>
          </w:p>
        </w:tc>
        <w:tc>
          <w:tcPr>
            <w:tcW w:w="249" w:type="pct"/>
            <w:shd w:val="clear" w:color="auto" w:fill="auto"/>
            <w:noWrap/>
            <w:vAlign w:val="center"/>
          </w:tcPr>
          <w:p w14:paraId="26833025"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23</w:t>
            </w:r>
          </w:p>
        </w:tc>
        <w:tc>
          <w:tcPr>
            <w:tcW w:w="249" w:type="pct"/>
            <w:shd w:val="clear" w:color="auto" w:fill="auto"/>
            <w:noWrap/>
            <w:vAlign w:val="center"/>
          </w:tcPr>
          <w:p w14:paraId="11DAB2E4"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0E0D983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A944E9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697D8E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A6A401C" w14:textId="77777777" w:rsidR="00A53EA0" w:rsidRPr="006B1E10" w:rsidRDefault="00A53EA0" w:rsidP="00A53EA0">
            <w:pPr>
              <w:rPr>
                <w:rFonts w:ascii="Calibri" w:hAnsi="Calibri"/>
                <w:color w:val="000000"/>
                <w:sz w:val="18"/>
                <w:szCs w:val="18"/>
              </w:rPr>
            </w:pPr>
          </w:p>
        </w:tc>
      </w:tr>
      <w:tr w:rsidR="00A53EA0" w:rsidRPr="006B1E10" w14:paraId="28F16AEF" w14:textId="77777777" w:rsidTr="00A53EA0">
        <w:trPr>
          <w:trHeight w:val="454"/>
          <w:tblHeader/>
        </w:trPr>
        <w:tc>
          <w:tcPr>
            <w:tcW w:w="771" w:type="pct"/>
            <w:shd w:val="clear" w:color="auto" w:fill="auto"/>
            <w:noWrap/>
            <w:vAlign w:val="center"/>
          </w:tcPr>
          <w:p w14:paraId="37AFD5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fluticasona</w:t>
            </w:r>
          </w:p>
        </w:tc>
        <w:tc>
          <w:tcPr>
            <w:tcW w:w="249" w:type="pct"/>
            <w:shd w:val="clear" w:color="auto" w:fill="auto"/>
            <w:noWrap/>
            <w:vAlign w:val="center"/>
          </w:tcPr>
          <w:p w14:paraId="6F99D89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C17A18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19B9A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98787A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F6AD20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vAlign w:val="center"/>
          </w:tcPr>
          <w:p w14:paraId="600731C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0D68B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775B5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4DF82C83"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8" w:type="pct"/>
            <w:shd w:val="clear" w:color="auto" w:fill="FFFFFF"/>
            <w:noWrap/>
            <w:vAlign w:val="center"/>
          </w:tcPr>
          <w:p w14:paraId="44D08CD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0FB8A3A6"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FFFFFF"/>
            <w:noWrap/>
            <w:vAlign w:val="center"/>
          </w:tcPr>
          <w:p w14:paraId="396AD4F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52791AB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B03AD0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7120D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A8CBE2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4681B7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1E446C4" w14:textId="77777777" w:rsidTr="00A53EA0">
        <w:trPr>
          <w:trHeight w:val="454"/>
          <w:tblHeader/>
        </w:trPr>
        <w:tc>
          <w:tcPr>
            <w:tcW w:w="771" w:type="pct"/>
            <w:shd w:val="clear" w:color="auto" w:fill="auto"/>
            <w:noWrap/>
            <w:vAlign w:val="center"/>
          </w:tcPr>
          <w:p w14:paraId="50A0251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fosamprenavir/ritonavir</w:t>
            </w:r>
          </w:p>
        </w:tc>
        <w:tc>
          <w:tcPr>
            <w:tcW w:w="249" w:type="pct"/>
            <w:shd w:val="clear" w:color="auto" w:fill="auto"/>
            <w:noWrap/>
            <w:vAlign w:val="center"/>
          </w:tcPr>
          <w:p w14:paraId="2ABBF47E" w14:textId="77777777" w:rsidR="00A53EA0" w:rsidRPr="006B1E10" w:rsidRDefault="00A53EA0" w:rsidP="00A53EA0">
            <w:pPr>
              <w:rPr>
                <w:rFonts w:ascii="Calibri" w:hAnsi="Calibri"/>
                <w:color w:val="000000"/>
                <w:sz w:val="18"/>
                <w:szCs w:val="18"/>
              </w:rPr>
            </w:pPr>
          </w:p>
        </w:tc>
        <w:tc>
          <w:tcPr>
            <w:tcW w:w="250" w:type="pct"/>
            <w:vAlign w:val="center"/>
          </w:tcPr>
          <w:p w14:paraId="079F596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7354672" w14:textId="77777777" w:rsidR="00A53EA0" w:rsidRPr="006B1E10" w:rsidRDefault="00A53EA0" w:rsidP="00A53EA0">
            <w:pPr>
              <w:rPr>
                <w:rFonts w:ascii="Calibri" w:hAnsi="Calibri"/>
                <w:color w:val="000000"/>
                <w:sz w:val="18"/>
                <w:szCs w:val="18"/>
              </w:rPr>
            </w:pPr>
          </w:p>
        </w:tc>
        <w:tc>
          <w:tcPr>
            <w:tcW w:w="249" w:type="pct"/>
            <w:vAlign w:val="center"/>
          </w:tcPr>
          <w:p w14:paraId="21DC3338"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17A5C0D7" w14:textId="77777777" w:rsidR="00A53EA0" w:rsidRPr="006B1E10" w:rsidRDefault="00A53EA0" w:rsidP="00A53EA0">
            <w:pPr>
              <w:rPr>
                <w:rFonts w:ascii="Calibri" w:hAnsi="Calibri"/>
                <w:color w:val="000000"/>
                <w:sz w:val="18"/>
                <w:szCs w:val="18"/>
              </w:rPr>
            </w:pPr>
          </w:p>
        </w:tc>
        <w:tc>
          <w:tcPr>
            <w:tcW w:w="249" w:type="pct"/>
            <w:vAlign w:val="center"/>
          </w:tcPr>
          <w:p w14:paraId="4CE3B53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AD141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E9A1C2"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45EF67AB"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0C68DCF2"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DF0F0E1"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F55ADB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4F65EB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9C310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129DC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63AF3B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3EA598D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3BAA075B" w14:textId="77777777" w:rsidTr="00A53EA0">
        <w:trPr>
          <w:trHeight w:val="454"/>
          <w:tblHeader/>
        </w:trPr>
        <w:tc>
          <w:tcPr>
            <w:tcW w:w="771" w:type="pct"/>
            <w:shd w:val="clear" w:color="auto" w:fill="auto"/>
            <w:noWrap/>
            <w:vAlign w:val="center"/>
          </w:tcPr>
          <w:p w14:paraId="5D7BB9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foscarnet</w:t>
            </w:r>
          </w:p>
        </w:tc>
        <w:tc>
          <w:tcPr>
            <w:tcW w:w="249" w:type="pct"/>
            <w:shd w:val="clear" w:color="auto" w:fill="auto"/>
            <w:noWrap/>
            <w:vAlign w:val="center"/>
          </w:tcPr>
          <w:p w14:paraId="6E988226" w14:textId="77777777" w:rsidR="00A53EA0" w:rsidRPr="006B1E10" w:rsidRDefault="00A53EA0" w:rsidP="00A53EA0">
            <w:pPr>
              <w:rPr>
                <w:rFonts w:ascii="Calibri" w:hAnsi="Calibri"/>
                <w:color w:val="000000"/>
                <w:sz w:val="18"/>
                <w:szCs w:val="18"/>
              </w:rPr>
            </w:pPr>
          </w:p>
        </w:tc>
        <w:tc>
          <w:tcPr>
            <w:tcW w:w="250" w:type="pct"/>
            <w:vAlign w:val="center"/>
          </w:tcPr>
          <w:p w14:paraId="6BC5EFD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38E73F4" w14:textId="77777777" w:rsidR="00A53EA0" w:rsidRPr="006B1E10" w:rsidRDefault="00A53EA0" w:rsidP="00A53EA0">
            <w:pPr>
              <w:rPr>
                <w:rFonts w:ascii="Calibri" w:hAnsi="Calibri"/>
                <w:color w:val="000000"/>
                <w:sz w:val="18"/>
                <w:szCs w:val="18"/>
              </w:rPr>
            </w:pPr>
          </w:p>
        </w:tc>
        <w:tc>
          <w:tcPr>
            <w:tcW w:w="249" w:type="pct"/>
            <w:vAlign w:val="center"/>
          </w:tcPr>
          <w:p w14:paraId="2B032CB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D615A2" w14:textId="77777777" w:rsidR="00A53EA0" w:rsidRPr="006B1E10" w:rsidRDefault="00A53EA0" w:rsidP="00A53EA0">
            <w:pPr>
              <w:rPr>
                <w:rFonts w:ascii="Calibri" w:hAnsi="Calibri"/>
                <w:color w:val="000000"/>
                <w:sz w:val="18"/>
                <w:szCs w:val="18"/>
              </w:rPr>
            </w:pPr>
          </w:p>
        </w:tc>
        <w:tc>
          <w:tcPr>
            <w:tcW w:w="249" w:type="pct"/>
            <w:vAlign w:val="center"/>
          </w:tcPr>
          <w:p w14:paraId="3708BC7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5323E0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3825980"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4AB05DDD"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6B0DC3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0CF6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5637B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A4674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1C16E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A716D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23690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5C8028CC" w14:textId="77777777" w:rsidR="00A53EA0" w:rsidRPr="006B1E10" w:rsidRDefault="00A53EA0" w:rsidP="00A53EA0">
            <w:pPr>
              <w:rPr>
                <w:rFonts w:ascii="Calibri" w:hAnsi="Calibri"/>
                <w:color w:val="000000"/>
                <w:sz w:val="18"/>
                <w:szCs w:val="18"/>
              </w:rPr>
            </w:pPr>
          </w:p>
        </w:tc>
      </w:tr>
    </w:tbl>
    <w:p w14:paraId="04E90175"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61A611DF"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9E99F58"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292FBD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D521B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A7BD19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251CD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9D170A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DA8D4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569DC5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937CF4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D16A09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81ABE1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4FBED1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FC2AEA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AB3BBE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C3B4D7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A1817A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94FABA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078B43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0E19F5F6" w14:textId="77777777" w:rsidTr="00A53EA0">
        <w:trPr>
          <w:trHeight w:val="454"/>
          <w:tblHeader/>
        </w:trPr>
        <w:tc>
          <w:tcPr>
            <w:tcW w:w="771" w:type="pct"/>
            <w:shd w:val="clear" w:color="auto" w:fill="auto"/>
            <w:noWrap/>
            <w:vAlign w:val="center"/>
          </w:tcPr>
          <w:p w14:paraId="3B086FE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ganciclovir</w:t>
            </w:r>
          </w:p>
        </w:tc>
        <w:tc>
          <w:tcPr>
            <w:tcW w:w="249" w:type="pct"/>
            <w:shd w:val="clear" w:color="auto" w:fill="auto"/>
            <w:noWrap/>
            <w:vAlign w:val="center"/>
          </w:tcPr>
          <w:p w14:paraId="4DB9CD3B" w14:textId="77777777" w:rsidR="00A53EA0" w:rsidRPr="006B1E10" w:rsidRDefault="00A53EA0" w:rsidP="00A53EA0">
            <w:pPr>
              <w:rPr>
                <w:rFonts w:ascii="Calibri" w:hAnsi="Calibri"/>
                <w:color w:val="000000"/>
                <w:sz w:val="18"/>
                <w:szCs w:val="18"/>
              </w:rPr>
            </w:pPr>
          </w:p>
        </w:tc>
        <w:tc>
          <w:tcPr>
            <w:tcW w:w="250" w:type="pct"/>
            <w:vAlign w:val="center"/>
          </w:tcPr>
          <w:p w14:paraId="6C0321E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379F96" w14:textId="77777777" w:rsidR="00A53EA0" w:rsidRPr="006B1E10" w:rsidRDefault="00A53EA0" w:rsidP="00A53EA0">
            <w:pPr>
              <w:rPr>
                <w:rFonts w:ascii="Calibri" w:hAnsi="Calibri"/>
                <w:color w:val="000000"/>
                <w:sz w:val="18"/>
                <w:szCs w:val="18"/>
              </w:rPr>
            </w:pPr>
          </w:p>
        </w:tc>
        <w:tc>
          <w:tcPr>
            <w:tcW w:w="249" w:type="pct"/>
            <w:vAlign w:val="center"/>
          </w:tcPr>
          <w:p w14:paraId="23F218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986800" w14:textId="77777777" w:rsidR="00A53EA0" w:rsidRPr="006B1E10" w:rsidRDefault="00A53EA0" w:rsidP="00A53EA0">
            <w:pPr>
              <w:rPr>
                <w:rFonts w:ascii="Calibri" w:hAnsi="Calibri"/>
                <w:color w:val="000000"/>
                <w:sz w:val="18"/>
                <w:szCs w:val="18"/>
              </w:rPr>
            </w:pPr>
          </w:p>
        </w:tc>
        <w:tc>
          <w:tcPr>
            <w:tcW w:w="249" w:type="pct"/>
            <w:vAlign w:val="center"/>
          </w:tcPr>
          <w:p w14:paraId="06DA964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C4DAB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D06A685"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432F1D93"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018E616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3B6D7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8E2EE7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4E2D25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AC83F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504AB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04F251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574F0905" w14:textId="77777777" w:rsidR="00A53EA0" w:rsidRPr="006B1E10" w:rsidRDefault="00A53EA0" w:rsidP="00A53EA0">
            <w:pPr>
              <w:rPr>
                <w:rFonts w:ascii="Calibri" w:hAnsi="Calibri"/>
                <w:color w:val="000000"/>
                <w:sz w:val="18"/>
                <w:szCs w:val="18"/>
              </w:rPr>
            </w:pPr>
          </w:p>
        </w:tc>
      </w:tr>
      <w:tr w:rsidR="00A53EA0" w:rsidRPr="006B1E10" w14:paraId="2EB3914C" w14:textId="77777777" w:rsidTr="00A53EA0">
        <w:trPr>
          <w:trHeight w:val="454"/>
          <w:tblHeader/>
        </w:trPr>
        <w:tc>
          <w:tcPr>
            <w:tcW w:w="771" w:type="pct"/>
            <w:shd w:val="clear" w:color="auto" w:fill="auto"/>
            <w:noWrap/>
            <w:vAlign w:val="center"/>
          </w:tcPr>
          <w:p w14:paraId="14FD9C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gentamicina</w:t>
            </w:r>
          </w:p>
        </w:tc>
        <w:tc>
          <w:tcPr>
            <w:tcW w:w="249" w:type="pct"/>
            <w:shd w:val="clear" w:color="auto" w:fill="auto"/>
            <w:noWrap/>
            <w:vAlign w:val="center"/>
          </w:tcPr>
          <w:p w14:paraId="60690AC6" w14:textId="77777777" w:rsidR="00A53EA0" w:rsidRPr="006B1E10" w:rsidRDefault="00A53EA0" w:rsidP="00A53EA0">
            <w:pPr>
              <w:rPr>
                <w:rFonts w:ascii="Calibri" w:hAnsi="Calibri"/>
                <w:color w:val="000000"/>
                <w:sz w:val="18"/>
                <w:szCs w:val="18"/>
              </w:rPr>
            </w:pPr>
          </w:p>
        </w:tc>
        <w:tc>
          <w:tcPr>
            <w:tcW w:w="250" w:type="pct"/>
            <w:vAlign w:val="center"/>
          </w:tcPr>
          <w:p w14:paraId="38CF43F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6E519E" w14:textId="77777777" w:rsidR="00A53EA0" w:rsidRPr="006B1E10" w:rsidRDefault="00A53EA0" w:rsidP="00A53EA0">
            <w:pPr>
              <w:rPr>
                <w:rFonts w:ascii="Calibri" w:hAnsi="Calibri"/>
                <w:color w:val="000000"/>
                <w:sz w:val="18"/>
                <w:szCs w:val="18"/>
              </w:rPr>
            </w:pPr>
          </w:p>
        </w:tc>
        <w:tc>
          <w:tcPr>
            <w:tcW w:w="249" w:type="pct"/>
            <w:vAlign w:val="center"/>
          </w:tcPr>
          <w:p w14:paraId="5D3DBE7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4BFB6B1" w14:textId="77777777" w:rsidR="00A53EA0" w:rsidRPr="006B1E10" w:rsidRDefault="00A53EA0" w:rsidP="00A53EA0">
            <w:pPr>
              <w:rPr>
                <w:rFonts w:ascii="Calibri" w:hAnsi="Calibri"/>
                <w:color w:val="000000"/>
                <w:sz w:val="18"/>
                <w:szCs w:val="18"/>
              </w:rPr>
            </w:pPr>
          </w:p>
        </w:tc>
        <w:tc>
          <w:tcPr>
            <w:tcW w:w="249" w:type="pct"/>
            <w:vAlign w:val="center"/>
          </w:tcPr>
          <w:p w14:paraId="69D0734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E32F8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A230F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3E64E8"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5BB1C99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8F46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9FC35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116B08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7E506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DE7B5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2DC9B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2FA02B8D" w14:textId="77777777" w:rsidR="00A53EA0" w:rsidRPr="006B1E10" w:rsidRDefault="00A53EA0" w:rsidP="00A53EA0">
            <w:pPr>
              <w:rPr>
                <w:rFonts w:ascii="Calibri" w:hAnsi="Calibri"/>
                <w:color w:val="000000"/>
                <w:sz w:val="18"/>
                <w:szCs w:val="18"/>
              </w:rPr>
            </w:pPr>
          </w:p>
        </w:tc>
      </w:tr>
      <w:tr w:rsidR="00A53EA0" w:rsidRPr="006B1E10" w14:paraId="55E205B5" w14:textId="77777777" w:rsidTr="00A53EA0">
        <w:trPr>
          <w:trHeight w:val="454"/>
          <w:tblHeader/>
        </w:trPr>
        <w:tc>
          <w:tcPr>
            <w:tcW w:w="771" w:type="pct"/>
            <w:shd w:val="clear" w:color="auto" w:fill="auto"/>
            <w:noWrap/>
            <w:vAlign w:val="center"/>
          </w:tcPr>
          <w:p w14:paraId="39D9D89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grazoprevir(MK-5172)/elbasvir (MK-8742)</w:t>
            </w:r>
          </w:p>
        </w:tc>
        <w:tc>
          <w:tcPr>
            <w:tcW w:w="249" w:type="pct"/>
            <w:shd w:val="clear" w:color="auto" w:fill="auto"/>
            <w:noWrap/>
            <w:vAlign w:val="center"/>
          </w:tcPr>
          <w:p w14:paraId="7557EE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95B163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66F17A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EEBA1A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0A4ABA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685908E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AB7F98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EEBDDC6" w14:textId="77777777" w:rsidR="00A53EA0" w:rsidRPr="006B1E10" w:rsidRDefault="00A53EA0" w:rsidP="00A53EA0">
            <w:pPr>
              <w:rPr>
                <w:rFonts w:ascii="Calibri" w:hAnsi="Calibri"/>
                <w:color w:val="FF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9A7BDD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332A8A7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020EDB4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EFE5FA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4FA73F2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2E138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8B01E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79D42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708564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1EEA510" w14:textId="77777777" w:rsidTr="00A53EA0">
        <w:trPr>
          <w:trHeight w:val="454"/>
          <w:tblHeader/>
        </w:trPr>
        <w:tc>
          <w:tcPr>
            <w:tcW w:w="771" w:type="pct"/>
            <w:shd w:val="clear" w:color="auto" w:fill="auto"/>
            <w:noWrap/>
            <w:vAlign w:val="center"/>
          </w:tcPr>
          <w:p w14:paraId="5B01C1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ginkgo biloba</w:t>
            </w:r>
          </w:p>
        </w:tc>
        <w:tc>
          <w:tcPr>
            <w:tcW w:w="249" w:type="pct"/>
            <w:shd w:val="clear" w:color="auto" w:fill="auto"/>
            <w:noWrap/>
            <w:vAlign w:val="center"/>
          </w:tcPr>
          <w:p w14:paraId="6D6A2A8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CEEC97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B3080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24811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C684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7C47E6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831F82F" w14:textId="77777777" w:rsidR="00A53EA0" w:rsidRPr="006B1E10" w:rsidRDefault="00A53EA0" w:rsidP="00A53EA0">
            <w:pPr>
              <w:rPr>
                <w:rFonts w:ascii="Calibri" w:hAnsi="Calibri"/>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FFFFFF"/>
            <w:noWrap/>
            <w:vAlign w:val="center"/>
          </w:tcPr>
          <w:p w14:paraId="000AE77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000000" w:fill="FFFFFF"/>
            <w:noWrap/>
            <w:vAlign w:val="center"/>
          </w:tcPr>
          <w:p w14:paraId="3D5F53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ARV</w:t>
            </w:r>
            <w:r>
              <w:rPr>
                <w:rFonts w:ascii="Calibri" w:hAnsi="Calibri"/>
                <w:sz w:val="18"/>
                <w:szCs w:val="18"/>
                <w:vertAlign w:val="superscript"/>
                <w:lang w:eastAsia="en-US"/>
              </w:rPr>
              <w:t>23</w:t>
            </w:r>
          </w:p>
        </w:tc>
        <w:tc>
          <w:tcPr>
            <w:tcW w:w="248" w:type="pct"/>
            <w:shd w:val="clear" w:color="auto" w:fill="auto"/>
            <w:noWrap/>
            <w:vAlign w:val="center"/>
          </w:tcPr>
          <w:p w14:paraId="0D1995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9976F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1A97C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E207A7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F0833D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8B90FC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E9E1A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266EF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33BCD57" w14:textId="77777777" w:rsidTr="00A53EA0">
        <w:trPr>
          <w:trHeight w:val="454"/>
          <w:tblHeader/>
        </w:trPr>
        <w:tc>
          <w:tcPr>
            <w:tcW w:w="771" w:type="pct"/>
            <w:shd w:val="clear" w:color="auto" w:fill="auto"/>
            <w:noWrap/>
            <w:vAlign w:val="center"/>
          </w:tcPr>
          <w:p w14:paraId="4B3F25A3"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glecaprevir/pibrentasvir</w:t>
            </w:r>
          </w:p>
        </w:tc>
        <w:tc>
          <w:tcPr>
            <w:tcW w:w="249" w:type="pct"/>
            <w:shd w:val="clear" w:color="auto" w:fill="auto"/>
            <w:noWrap/>
            <w:vAlign w:val="center"/>
          </w:tcPr>
          <w:p w14:paraId="5093BB5A"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4E873D11" w14:textId="77777777" w:rsidR="00A53EA0" w:rsidRPr="006B1E10" w:rsidRDefault="00A53EA0" w:rsidP="00A53EA0">
            <w:pPr>
              <w:rPr>
                <w:rFonts w:asciiTheme="minorHAnsi" w:hAnsiTheme="minorHAnsi"/>
                <w:color w:val="000000"/>
                <w:sz w:val="18"/>
                <w:szCs w:val="18"/>
                <w:highlight w:val="yellow"/>
              </w:rPr>
            </w:pPr>
          </w:p>
        </w:tc>
        <w:tc>
          <w:tcPr>
            <w:tcW w:w="249" w:type="pct"/>
            <w:shd w:val="clear" w:color="auto" w:fill="auto"/>
            <w:noWrap/>
            <w:vAlign w:val="center"/>
          </w:tcPr>
          <w:p w14:paraId="353E990E"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3D828CCC"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5460385D"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0A5F21DA"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EA26868"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78C512C"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1D12D456" w14:textId="77777777" w:rsidR="00A53EA0" w:rsidRDefault="00A53EA0" w:rsidP="00A53EA0">
            <w:pPr>
              <w:rPr>
                <w:rFonts w:asciiTheme="minorHAnsi" w:hAnsiTheme="minorHAnsi"/>
                <w:sz w:val="18"/>
                <w:szCs w:val="18"/>
                <w:highlight w:val="yellow"/>
                <w:vertAlign w:val="superscript"/>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Pr>
                <w:rFonts w:asciiTheme="minorHAnsi" w:hAnsiTheme="minorHAnsi"/>
                <w:sz w:val="18"/>
                <w:szCs w:val="18"/>
                <w:highlight w:val="yellow"/>
                <w:vertAlign w:val="superscript"/>
                <w:lang w:val="en-US"/>
              </w:rPr>
              <w:t>25</w:t>
            </w:r>
          </w:p>
          <w:p w14:paraId="7668A86D"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p>
        </w:tc>
        <w:tc>
          <w:tcPr>
            <w:tcW w:w="248" w:type="pct"/>
            <w:shd w:val="clear" w:color="auto" w:fill="auto"/>
            <w:noWrap/>
            <w:vAlign w:val="center"/>
          </w:tcPr>
          <w:p w14:paraId="28125EDA"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63CD9168"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6050362B"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003B0556"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348756D"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DCDD7DA"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1CDE94CC" w14:textId="77777777" w:rsidR="00A53EA0" w:rsidRPr="006B1E10" w:rsidRDefault="00A53EA0" w:rsidP="00A53EA0">
            <w:pPr>
              <w:rPr>
                <w:rFonts w:asciiTheme="minorHAnsi" w:hAnsiTheme="minorHAnsi"/>
                <w:sz w:val="18"/>
                <w:szCs w:val="18"/>
                <w:highlight w:val="magenta"/>
                <w:lang w:val="en-US"/>
              </w:rPr>
            </w:pPr>
          </w:p>
        </w:tc>
        <w:tc>
          <w:tcPr>
            <w:tcW w:w="245" w:type="pct"/>
            <w:shd w:val="clear" w:color="auto" w:fill="auto"/>
            <w:noWrap/>
            <w:vAlign w:val="center"/>
          </w:tcPr>
          <w:p w14:paraId="21FF1E58" w14:textId="77777777" w:rsidR="00A53EA0" w:rsidRPr="006B1E10" w:rsidRDefault="00A53EA0" w:rsidP="00A53EA0">
            <w:pPr>
              <w:rPr>
                <w:rFonts w:asciiTheme="minorHAnsi" w:hAnsiTheme="minorHAnsi"/>
                <w:sz w:val="18"/>
                <w:szCs w:val="18"/>
                <w:highlight w:val="magenta"/>
              </w:rPr>
            </w:pPr>
          </w:p>
        </w:tc>
      </w:tr>
      <w:tr w:rsidR="00A53EA0" w:rsidRPr="006B1E10" w14:paraId="13FB78B9" w14:textId="77777777" w:rsidTr="00A53EA0">
        <w:trPr>
          <w:trHeight w:val="454"/>
          <w:tblHeader/>
        </w:trPr>
        <w:tc>
          <w:tcPr>
            <w:tcW w:w="771" w:type="pct"/>
            <w:shd w:val="clear" w:color="auto" w:fill="auto"/>
            <w:noWrap/>
            <w:vAlign w:val="center"/>
          </w:tcPr>
          <w:p w14:paraId="384165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halofantrina</w:t>
            </w:r>
          </w:p>
        </w:tc>
        <w:tc>
          <w:tcPr>
            <w:tcW w:w="249" w:type="pct"/>
            <w:shd w:val="clear" w:color="auto" w:fill="auto"/>
            <w:noWrap/>
            <w:vAlign w:val="center"/>
          </w:tcPr>
          <w:p w14:paraId="3FDA63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82F85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1C61F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5E6C2AD"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0C75C6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vAlign w:val="center"/>
          </w:tcPr>
          <w:p w14:paraId="5B3101C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1D529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eastAsia="en-US"/>
              </w:rPr>
              <w:t>X</w:t>
            </w:r>
            <w:r w:rsidRPr="006B1E10">
              <w:rPr>
                <w:rFonts w:ascii="Calibri" w:hAnsi="Calibri"/>
                <w:sz w:val="18"/>
                <w:szCs w:val="18"/>
                <w:lang w:val="en-US" w:eastAsia="en-US"/>
              </w:rPr>
              <w:sym w:font="Symbol" w:char="F0AD"/>
            </w:r>
            <w:r w:rsidRPr="006B1E10">
              <w:rPr>
                <w:rFonts w:ascii="Calibri" w:hAnsi="Calibri"/>
                <w:sz w:val="18"/>
                <w:szCs w:val="18"/>
                <w:lang w:eastAsia="en-US"/>
              </w:rPr>
              <w:t>TOX</w:t>
            </w:r>
          </w:p>
        </w:tc>
        <w:tc>
          <w:tcPr>
            <w:tcW w:w="249" w:type="pct"/>
            <w:shd w:val="clear" w:color="auto" w:fill="auto"/>
            <w:noWrap/>
            <w:vAlign w:val="center"/>
          </w:tcPr>
          <w:p w14:paraId="39F6EA10" w14:textId="77777777" w:rsidR="00A53EA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p>
          <w:p w14:paraId="507E34EA"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D"/>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14C0E255"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8" w:type="pct"/>
            <w:shd w:val="clear" w:color="auto" w:fill="auto"/>
            <w:noWrap/>
            <w:vAlign w:val="center"/>
          </w:tcPr>
          <w:p w14:paraId="46B78AE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0A57B5D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61E7428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p>
        </w:tc>
        <w:tc>
          <w:tcPr>
            <w:tcW w:w="249" w:type="pct"/>
            <w:shd w:val="clear" w:color="auto" w:fill="auto"/>
            <w:noWrap/>
            <w:vAlign w:val="center"/>
          </w:tcPr>
          <w:p w14:paraId="7FF138C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41CC39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E87B3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077BF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52B2A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709C65F" w14:textId="77777777" w:rsidTr="00A53EA0">
        <w:trPr>
          <w:trHeight w:val="454"/>
          <w:tblHeader/>
        </w:trPr>
        <w:tc>
          <w:tcPr>
            <w:tcW w:w="771" w:type="pct"/>
            <w:shd w:val="clear" w:color="auto" w:fill="auto"/>
            <w:noWrap/>
            <w:vAlign w:val="center"/>
          </w:tcPr>
          <w:p w14:paraId="3153111F" w14:textId="77777777" w:rsidR="00A53EA0" w:rsidRPr="006B1E10" w:rsidRDefault="00A53EA0" w:rsidP="00A53EA0">
            <w:pPr>
              <w:rPr>
                <w:rFonts w:asciiTheme="minorHAnsi" w:hAnsiTheme="minorHAnsi" w:cs="Arial"/>
                <w:sz w:val="18"/>
                <w:szCs w:val="18"/>
                <w:highlight w:val="yellow"/>
              </w:rPr>
            </w:pPr>
            <w:r w:rsidRPr="006B1E10">
              <w:rPr>
                <w:rFonts w:asciiTheme="minorHAnsi" w:hAnsiTheme="minorHAnsi" w:cs="Arial"/>
                <w:sz w:val="18"/>
                <w:szCs w:val="18"/>
                <w:highlight w:val="yellow"/>
              </w:rPr>
              <w:t>hidroxizina</w:t>
            </w:r>
          </w:p>
        </w:tc>
        <w:tc>
          <w:tcPr>
            <w:tcW w:w="249" w:type="pct"/>
            <w:shd w:val="clear" w:color="auto" w:fill="FFFFFF"/>
            <w:noWrap/>
            <w:vAlign w:val="center"/>
          </w:tcPr>
          <w:p w14:paraId="5AC4A9C7" w14:textId="77777777" w:rsidR="00A53EA0" w:rsidRPr="006B1E10" w:rsidRDefault="00A53EA0" w:rsidP="00A53EA0">
            <w:pPr>
              <w:rPr>
                <w:rFonts w:asciiTheme="minorHAnsi" w:hAnsiTheme="minorHAnsi" w:cs="Arial"/>
                <w:sz w:val="18"/>
                <w:szCs w:val="18"/>
                <w:highlight w:val="yellow"/>
              </w:rPr>
            </w:pPr>
          </w:p>
        </w:tc>
        <w:tc>
          <w:tcPr>
            <w:tcW w:w="250" w:type="pct"/>
            <w:vAlign w:val="center"/>
          </w:tcPr>
          <w:p w14:paraId="45B21720" w14:textId="77777777" w:rsidR="00A53EA0" w:rsidRPr="006B1E10" w:rsidRDefault="00A53EA0" w:rsidP="00A53EA0">
            <w:pPr>
              <w:rPr>
                <w:rFonts w:asciiTheme="minorHAnsi" w:hAnsiTheme="minorHAnsi" w:cs="Arial"/>
                <w:sz w:val="18"/>
                <w:szCs w:val="18"/>
                <w:highlight w:val="yellow"/>
              </w:rPr>
            </w:pPr>
          </w:p>
        </w:tc>
        <w:tc>
          <w:tcPr>
            <w:tcW w:w="249" w:type="pct"/>
            <w:shd w:val="clear" w:color="auto" w:fill="auto"/>
            <w:noWrap/>
            <w:vAlign w:val="center"/>
          </w:tcPr>
          <w:p w14:paraId="5C2E0CAD" w14:textId="77777777" w:rsidR="00A53EA0" w:rsidRPr="006B1E10" w:rsidRDefault="00A53EA0" w:rsidP="00A53EA0">
            <w:pPr>
              <w:rPr>
                <w:rFonts w:asciiTheme="minorHAnsi" w:hAnsiTheme="minorHAnsi" w:cs="Arial"/>
                <w:sz w:val="18"/>
                <w:szCs w:val="18"/>
                <w:highlight w:val="yellow"/>
              </w:rPr>
            </w:pPr>
          </w:p>
        </w:tc>
        <w:tc>
          <w:tcPr>
            <w:tcW w:w="249" w:type="pct"/>
            <w:vAlign w:val="center"/>
          </w:tcPr>
          <w:p w14:paraId="6DA931D2" w14:textId="77777777" w:rsidR="00A53EA0" w:rsidRPr="006B1E10" w:rsidRDefault="00A53EA0" w:rsidP="00A53EA0">
            <w:pPr>
              <w:rPr>
                <w:rFonts w:asciiTheme="minorHAnsi" w:hAnsiTheme="minorHAnsi" w:cs="Arial"/>
                <w:sz w:val="18"/>
                <w:szCs w:val="18"/>
                <w:highlight w:val="yellow"/>
                <w:lang w:val="en-US"/>
              </w:rPr>
            </w:pPr>
          </w:p>
        </w:tc>
        <w:tc>
          <w:tcPr>
            <w:tcW w:w="249" w:type="pct"/>
            <w:shd w:val="clear" w:color="auto" w:fill="FFFFFF"/>
            <w:noWrap/>
            <w:vAlign w:val="center"/>
          </w:tcPr>
          <w:p w14:paraId="0EE9317D" w14:textId="77777777" w:rsidR="00A53EA0" w:rsidRPr="006B1E10" w:rsidRDefault="00A53EA0" w:rsidP="00A53EA0">
            <w:pPr>
              <w:rPr>
                <w:rFonts w:asciiTheme="minorHAnsi" w:hAnsiTheme="minorHAnsi" w:cs="Arial"/>
                <w:sz w:val="18"/>
                <w:szCs w:val="18"/>
                <w:highlight w:val="yellow"/>
                <w:lang w:val="en-US"/>
              </w:rPr>
            </w:pPr>
          </w:p>
        </w:tc>
        <w:tc>
          <w:tcPr>
            <w:tcW w:w="249" w:type="pct"/>
            <w:shd w:val="clear" w:color="auto" w:fill="FFFFFF"/>
            <w:vAlign w:val="center"/>
          </w:tcPr>
          <w:p w14:paraId="231C46FA" w14:textId="77777777" w:rsidR="00A53EA0" w:rsidRPr="006B1E10" w:rsidRDefault="00A53EA0" w:rsidP="00A53EA0">
            <w:pPr>
              <w:rPr>
                <w:rFonts w:asciiTheme="minorHAnsi" w:hAnsiTheme="minorHAnsi" w:cs="Arial"/>
                <w:sz w:val="18"/>
                <w:szCs w:val="18"/>
                <w:highlight w:val="yellow"/>
              </w:rPr>
            </w:pPr>
          </w:p>
        </w:tc>
        <w:tc>
          <w:tcPr>
            <w:tcW w:w="249" w:type="pct"/>
            <w:shd w:val="clear" w:color="auto" w:fill="FFFFFF"/>
            <w:noWrap/>
            <w:vAlign w:val="center"/>
          </w:tcPr>
          <w:p w14:paraId="0EDBB200" w14:textId="77777777" w:rsidR="00A53EA0" w:rsidRPr="006B1E10" w:rsidRDefault="00A53EA0" w:rsidP="00A53EA0">
            <w:pPr>
              <w:rPr>
                <w:rFonts w:asciiTheme="minorHAnsi" w:hAnsiTheme="minorHAnsi" w:cs="Arial"/>
                <w:color w:val="000000"/>
                <w:sz w:val="18"/>
                <w:szCs w:val="18"/>
                <w:highlight w:val="yellow"/>
                <w:vertAlign w:val="superscript"/>
              </w:rPr>
            </w:pPr>
            <w:r w:rsidRPr="006B1E10">
              <w:rPr>
                <w:rFonts w:asciiTheme="minorHAnsi" w:hAnsiTheme="minorHAnsi" w:cs="Arial"/>
                <w:sz w:val="18"/>
                <w:szCs w:val="18"/>
                <w:highlight w:val="yellow"/>
                <w:lang w:val="en-US"/>
              </w:rPr>
              <w:sym w:font="Symbol" w:char="F0AD"/>
            </w:r>
            <w:r w:rsidRPr="006B1E10">
              <w:rPr>
                <w:rFonts w:asciiTheme="minorHAnsi" w:hAnsiTheme="minorHAnsi" w:cs="Arial"/>
                <w:sz w:val="18"/>
                <w:szCs w:val="18"/>
                <w:highlight w:val="yellow"/>
                <w:lang w:val="en-US"/>
              </w:rPr>
              <w:t>TOX</w:t>
            </w:r>
            <w:r>
              <w:rPr>
                <w:rFonts w:asciiTheme="minorHAnsi" w:hAnsiTheme="minorHAnsi" w:cs="Arial"/>
                <w:sz w:val="18"/>
                <w:szCs w:val="18"/>
                <w:highlight w:val="yellow"/>
                <w:vertAlign w:val="superscript"/>
                <w:lang w:val="en-US"/>
              </w:rPr>
              <w:t>15</w:t>
            </w:r>
          </w:p>
        </w:tc>
        <w:tc>
          <w:tcPr>
            <w:tcW w:w="249" w:type="pct"/>
            <w:shd w:val="clear" w:color="auto" w:fill="FFFFFF"/>
            <w:noWrap/>
            <w:vAlign w:val="center"/>
          </w:tcPr>
          <w:p w14:paraId="1D4860ED" w14:textId="77777777" w:rsidR="00A53EA0" w:rsidRPr="006B1E10" w:rsidRDefault="00A53EA0" w:rsidP="00A53EA0">
            <w:pPr>
              <w:rPr>
                <w:rFonts w:asciiTheme="minorHAnsi" w:hAnsiTheme="minorHAnsi" w:cs="Arial"/>
                <w:sz w:val="18"/>
                <w:szCs w:val="18"/>
                <w:highlight w:val="yellow"/>
                <w:lang w:val="en-US"/>
              </w:rPr>
            </w:pPr>
          </w:p>
        </w:tc>
        <w:tc>
          <w:tcPr>
            <w:tcW w:w="249" w:type="pct"/>
            <w:shd w:val="clear" w:color="auto" w:fill="FFFFFF"/>
            <w:noWrap/>
            <w:vAlign w:val="center"/>
          </w:tcPr>
          <w:p w14:paraId="7CBB1D0A" w14:textId="77777777" w:rsidR="00A53EA0" w:rsidRPr="006B1E10" w:rsidRDefault="00A53EA0" w:rsidP="00A53EA0">
            <w:pPr>
              <w:rPr>
                <w:rFonts w:asciiTheme="minorHAnsi" w:hAnsiTheme="minorHAnsi" w:cs="Arial"/>
                <w:color w:val="FF0000"/>
                <w:sz w:val="18"/>
                <w:szCs w:val="18"/>
                <w:highlight w:val="yellow"/>
                <w:lang w:val="en-US"/>
              </w:rPr>
            </w:pPr>
            <w:r w:rsidRPr="006B1E10">
              <w:rPr>
                <w:rFonts w:asciiTheme="minorHAnsi" w:hAnsiTheme="minorHAnsi" w:cs="Arial"/>
                <w:color w:val="FF0000"/>
                <w:sz w:val="18"/>
                <w:szCs w:val="18"/>
                <w:highlight w:val="yellow"/>
                <w:lang w:val="en-US"/>
              </w:rPr>
              <w:t xml:space="preserve">X </w:t>
            </w:r>
            <w:r w:rsidRPr="006B1E10">
              <w:rPr>
                <w:rFonts w:asciiTheme="minorHAnsi" w:hAnsiTheme="minorHAnsi" w:cs="Arial"/>
                <w:sz w:val="18"/>
                <w:szCs w:val="18"/>
                <w:highlight w:val="yellow"/>
                <w:lang w:val="en-US"/>
              </w:rPr>
              <w:t xml:space="preserve">C </w:t>
            </w:r>
            <w:r w:rsidRPr="006B1E10">
              <w:rPr>
                <w:rFonts w:asciiTheme="minorHAnsi" w:hAnsiTheme="minorHAnsi" w:cs="Arial"/>
                <w:sz w:val="18"/>
                <w:szCs w:val="18"/>
                <w:highlight w:val="yellow"/>
                <w:lang w:val="en-US"/>
              </w:rPr>
              <w:sym w:font="Symbol" w:char="F0AD"/>
            </w:r>
            <w:r w:rsidRPr="006B1E10">
              <w:rPr>
                <w:rFonts w:asciiTheme="minorHAnsi" w:hAnsiTheme="minorHAnsi" w:cs="Arial"/>
                <w:sz w:val="18"/>
                <w:szCs w:val="18"/>
                <w:highlight w:val="yellow"/>
                <w:lang w:val="en-US"/>
              </w:rPr>
              <w:t>TOX</w:t>
            </w:r>
            <w:r>
              <w:rPr>
                <w:rFonts w:asciiTheme="minorHAnsi" w:hAnsiTheme="minorHAnsi" w:cs="Arial"/>
                <w:sz w:val="18"/>
                <w:szCs w:val="18"/>
                <w:highlight w:val="yellow"/>
                <w:vertAlign w:val="superscript"/>
                <w:lang w:val="en-US"/>
              </w:rPr>
              <w:t>15</w:t>
            </w:r>
          </w:p>
        </w:tc>
        <w:tc>
          <w:tcPr>
            <w:tcW w:w="248" w:type="pct"/>
            <w:shd w:val="clear" w:color="auto" w:fill="FFFFFF"/>
            <w:noWrap/>
            <w:vAlign w:val="center"/>
          </w:tcPr>
          <w:p w14:paraId="31560AA2" w14:textId="77777777" w:rsidR="00A53EA0" w:rsidRPr="006B1E10" w:rsidRDefault="00A53EA0" w:rsidP="00A53EA0">
            <w:pPr>
              <w:rPr>
                <w:rFonts w:asciiTheme="minorHAnsi" w:hAnsiTheme="minorHAnsi" w:cs="Arial"/>
                <w:sz w:val="18"/>
                <w:szCs w:val="18"/>
                <w:highlight w:val="yellow"/>
                <w:lang w:val="en-US"/>
              </w:rPr>
            </w:pPr>
            <w:r w:rsidRPr="006B1E10">
              <w:rPr>
                <w:rFonts w:asciiTheme="minorHAnsi" w:hAnsiTheme="minorHAnsi" w:cs="Arial"/>
                <w:color w:val="FF0000"/>
                <w:sz w:val="18"/>
                <w:szCs w:val="18"/>
                <w:highlight w:val="yellow"/>
                <w:lang w:val="en-US"/>
              </w:rPr>
              <w:t>X</w:t>
            </w:r>
            <w:r w:rsidRPr="006B1E10">
              <w:rPr>
                <w:rFonts w:asciiTheme="minorHAnsi" w:hAnsiTheme="minorHAnsi" w:cs="Arial"/>
                <w:sz w:val="18"/>
                <w:szCs w:val="18"/>
                <w:highlight w:val="yellow"/>
                <w:lang w:val="en-US"/>
              </w:rPr>
              <w:t xml:space="preserve"> C</w:t>
            </w:r>
          </w:p>
          <w:p w14:paraId="4CE2C862" w14:textId="77777777" w:rsidR="00A53EA0" w:rsidRPr="006B1E10" w:rsidRDefault="00A53EA0" w:rsidP="00A53EA0">
            <w:pPr>
              <w:rPr>
                <w:rFonts w:asciiTheme="minorHAnsi" w:hAnsiTheme="minorHAnsi" w:cs="Arial"/>
                <w:color w:val="FF0000"/>
                <w:sz w:val="18"/>
                <w:szCs w:val="18"/>
                <w:highlight w:val="yellow"/>
                <w:lang w:val="en-US"/>
              </w:rPr>
            </w:pPr>
            <w:r w:rsidRPr="006B1E10">
              <w:rPr>
                <w:rFonts w:asciiTheme="minorHAnsi" w:hAnsiTheme="minorHAnsi" w:cs="Arial"/>
                <w:sz w:val="18"/>
                <w:szCs w:val="18"/>
                <w:highlight w:val="yellow"/>
                <w:lang w:val="en-US"/>
              </w:rPr>
              <w:sym w:font="Symbol" w:char="F0AD"/>
            </w:r>
            <w:r w:rsidRPr="006B1E10">
              <w:rPr>
                <w:rFonts w:asciiTheme="minorHAnsi" w:hAnsiTheme="minorHAnsi" w:cs="Arial"/>
                <w:sz w:val="18"/>
                <w:szCs w:val="18"/>
                <w:highlight w:val="yellow"/>
                <w:lang w:val="en-US"/>
              </w:rPr>
              <w:t>TOX</w:t>
            </w:r>
            <w:r>
              <w:rPr>
                <w:rFonts w:asciiTheme="minorHAnsi" w:hAnsiTheme="minorHAnsi" w:cs="Arial"/>
                <w:sz w:val="18"/>
                <w:szCs w:val="18"/>
                <w:highlight w:val="yellow"/>
                <w:vertAlign w:val="superscript"/>
                <w:lang w:val="en-US"/>
              </w:rPr>
              <w:t>15</w:t>
            </w:r>
          </w:p>
        </w:tc>
        <w:tc>
          <w:tcPr>
            <w:tcW w:w="249" w:type="pct"/>
            <w:shd w:val="clear" w:color="auto" w:fill="FFFFFF"/>
            <w:noWrap/>
            <w:vAlign w:val="center"/>
          </w:tcPr>
          <w:p w14:paraId="332E4825" w14:textId="77777777" w:rsidR="00A53EA0" w:rsidRPr="006B1E10" w:rsidRDefault="00A53EA0" w:rsidP="00A53EA0">
            <w:pPr>
              <w:rPr>
                <w:rFonts w:asciiTheme="minorHAnsi" w:hAnsiTheme="minorHAnsi" w:cs="Arial"/>
                <w:sz w:val="18"/>
                <w:szCs w:val="18"/>
                <w:highlight w:val="yellow"/>
                <w:lang w:val="en-US"/>
              </w:rPr>
            </w:pPr>
          </w:p>
        </w:tc>
        <w:tc>
          <w:tcPr>
            <w:tcW w:w="249" w:type="pct"/>
            <w:shd w:val="clear" w:color="auto" w:fill="FFFFFF"/>
            <w:noWrap/>
            <w:vAlign w:val="center"/>
          </w:tcPr>
          <w:p w14:paraId="1192868A" w14:textId="77777777" w:rsidR="00A53EA0" w:rsidRPr="006B1E10" w:rsidRDefault="00A53EA0" w:rsidP="00A53EA0">
            <w:pPr>
              <w:rPr>
                <w:rFonts w:asciiTheme="minorHAnsi" w:hAnsiTheme="minorHAnsi" w:cs="Arial"/>
                <w:sz w:val="18"/>
                <w:szCs w:val="18"/>
                <w:highlight w:val="magenta"/>
                <w:lang w:val="en-US"/>
              </w:rPr>
            </w:pPr>
          </w:p>
        </w:tc>
        <w:tc>
          <w:tcPr>
            <w:tcW w:w="249" w:type="pct"/>
            <w:shd w:val="clear" w:color="auto" w:fill="auto"/>
            <w:noWrap/>
            <w:vAlign w:val="center"/>
          </w:tcPr>
          <w:p w14:paraId="3D402078" w14:textId="77777777" w:rsidR="00A53EA0" w:rsidRPr="006B1E10" w:rsidRDefault="00A53EA0" w:rsidP="00A53EA0">
            <w:pPr>
              <w:rPr>
                <w:rFonts w:asciiTheme="minorHAnsi" w:hAnsiTheme="minorHAnsi" w:cs="Arial"/>
                <w:sz w:val="18"/>
                <w:szCs w:val="18"/>
                <w:highlight w:val="magenta"/>
              </w:rPr>
            </w:pPr>
          </w:p>
        </w:tc>
        <w:tc>
          <w:tcPr>
            <w:tcW w:w="249" w:type="pct"/>
            <w:shd w:val="clear" w:color="auto" w:fill="auto"/>
            <w:noWrap/>
            <w:vAlign w:val="center"/>
          </w:tcPr>
          <w:p w14:paraId="602A683E" w14:textId="77777777" w:rsidR="00A53EA0" w:rsidRPr="006B1E10" w:rsidRDefault="00A53EA0" w:rsidP="00A53EA0">
            <w:pPr>
              <w:rPr>
                <w:rFonts w:asciiTheme="minorHAnsi" w:hAnsiTheme="minorHAnsi" w:cs="Arial"/>
                <w:sz w:val="18"/>
                <w:szCs w:val="18"/>
              </w:rPr>
            </w:pPr>
          </w:p>
        </w:tc>
        <w:tc>
          <w:tcPr>
            <w:tcW w:w="249" w:type="pct"/>
            <w:shd w:val="clear" w:color="auto" w:fill="auto"/>
            <w:noWrap/>
            <w:vAlign w:val="center"/>
          </w:tcPr>
          <w:p w14:paraId="55EE0BC2" w14:textId="77777777" w:rsidR="00A53EA0" w:rsidRPr="006B1E10" w:rsidRDefault="00A53EA0" w:rsidP="00A53EA0">
            <w:pPr>
              <w:rPr>
                <w:rFonts w:asciiTheme="minorHAnsi" w:hAnsiTheme="minorHAnsi" w:cs="Arial"/>
                <w:sz w:val="18"/>
                <w:szCs w:val="18"/>
              </w:rPr>
            </w:pPr>
          </w:p>
        </w:tc>
        <w:tc>
          <w:tcPr>
            <w:tcW w:w="249" w:type="pct"/>
            <w:shd w:val="clear" w:color="auto" w:fill="auto"/>
            <w:noWrap/>
            <w:vAlign w:val="center"/>
          </w:tcPr>
          <w:p w14:paraId="2845E745" w14:textId="77777777" w:rsidR="00A53EA0" w:rsidRPr="006B1E10" w:rsidRDefault="00A53EA0" w:rsidP="00A53EA0">
            <w:pPr>
              <w:rPr>
                <w:rFonts w:asciiTheme="minorHAnsi" w:hAnsiTheme="minorHAnsi" w:cs="Arial"/>
                <w:sz w:val="18"/>
                <w:szCs w:val="18"/>
              </w:rPr>
            </w:pPr>
          </w:p>
        </w:tc>
        <w:tc>
          <w:tcPr>
            <w:tcW w:w="245" w:type="pct"/>
            <w:shd w:val="clear" w:color="auto" w:fill="FFFFFF"/>
            <w:noWrap/>
            <w:vAlign w:val="center"/>
          </w:tcPr>
          <w:p w14:paraId="1CC61B15" w14:textId="77777777" w:rsidR="00A53EA0" w:rsidRPr="006B1E10" w:rsidRDefault="00A53EA0" w:rsidP="00A53EA0">
            <w:pPr>
              <w:rPr>
                <w:rFonts w:asciiTheme="minorHAnsi" w:hAnsiTheme="minorHAnsi" w:cs="Arial"/>
                <w:sz w:val="18"/>
                <w:szCs w:val="18"/>
              </w:rPr>
            </w:pPr>
          </w:p>
        </w:tc>
      </w:tr>
      <w:tr w:rsidR="00A53EA0" w:rsidRPr="006B1E10" w14:paraId="12ED8C5E" w14:textId="77777777" w:rsidTr="00A53EA0">
        <w:trPr>
          <w:trHeight w:val="454"/>
          <w:tblHeader/>
        </w:trPr>
        <w:tc>
          <w:tcPr>
            <w:tcW w:w="771" w:type="pct"/>
            <w:shd w:val="clear" w:color="auto" w:fill="auto"/>
            <w:noWrap/>
            <w:vAlign w:val="center"/>
          </w:tcPr>
          <w:p w14:paraId="4D0C313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Hypericum (Hierba de San Juan)</w:t>
            </w:r>
          </w:p>
        </w:tc>
        <w:tc>
          <w:tcPr>
            <w:tcW w:w="249" w:type="pct"/>
            <w:shd w:val="clear" w:color="auto" w:fill="FFFFFF"/>
            <w:noWrap/>
            <w:vAlign w:val="center"/>
          </w:tcPr>
          <w:p w14:paraId="67C9950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9</w:t>
            </w:r>
          </w:p>
        </w:tc>
        <w:tc>
          <w:tcPr>
            <w:tcW w:w="250" w:type="pct"/>
            <w:vAlign w:val="center"/>
          </w:tcPr>
          <w:p w14:paraId="3B67EDC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D1A1E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E14A09D"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8625005"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7EA4B75D"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101B6C0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70C7BD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4F800DD"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3945C74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44FA899E"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A7E4D4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A67D0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BA43C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6A7C3A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D08DE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FFFFFF"/>
            <w:noWrap/>
            <w:vAlign w:val="center"/>
          </w:tcPr>
          <w:p w14:paraId="2852FE2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r>
      <w:tr w:rsidR="00A53EA0" w:rsidRPr="006B1E10" w14:paraId="481E98AC" w14:textId="77777777" w:rsidTr="00A53EA0">
        <w:trPr>
          <w:trHeight w:val="454"/>
          <w:tblHeader/>
        </w:trPr>
        <w:tc>
          <w:tcPr>
            <w:tcW w:w="771" w:type="pct"/>
            <w:shd w:val="clear" w:color="auto" w:fill="auto"/>
            <w:noWrap/>
            <w:vAlign w:val="center"/>
          </w:tcPr>
          <w:p w14:paraId="3E2EB65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ibrutinib</w:t>
            </w:r>
          </w:p>
        </w:tc>
        <w:tc>
          <w:tcPr>
            <w:tcW w:w="249" w:type="pct"/>
            <w:shd w:val="clear" w:color="auto" w:fill="auto"/>
            <w:noWrap/>
            <w:vAlign w:val="center"/>
          </w:tcPr>
          <w:p w14:paraId="2115BFF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5A71F51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0D554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32881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401124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6826976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8AA5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0F564B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000000" w:fill="FFFFFF"/>
            <w:noWrap/>
            <w:vAlign w:val="center"/>
          </w:tcPr>
          <w:p w14:paraId="61260BE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0BA3C96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5725EF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color w:val="000000"/>
                <w:sz w:val="18"/>
                <w:szCs w:val="18"/>
              </w:rPr>
              <w:t xml:space="preserve"> </w:t>
            </w:r>
          </w:p>
        </w:tc>
        <w:tc>
          <w:tcPr>
            <w:tcW w:w="249" w:type="pct"/>
            <w:shd w:val="clear" w:color="auto" w:fill="auto"/>
            <w:noWrap/>
            <w:vAlign w:val="center"/>
          </w:tcPr>
          <w:p w14:paraId="2FB20EC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color w:val="000000"/>
                <w:sz w:val="18"/>
                <w:szCs w:val="18"/>
              </w:rPr>
              <w:t> </w:t>
            </w:r>
          </w:p>
        </w:tc>
        <w:tc>
          <w:tcPr>
            <w:tcW w:w="249" w:type="pct"/>
            <w:shd w:val="clear" w:color="auto" w:fill="auto"/>
            <w:noWrap/>
            <w:vAlign w:val="center"/>
          </w:tcPr>
          <w:p w14:paraId="5CEEF65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66C301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F7E5BD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D9728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AEFAF2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140C51D" w14:textId="77777777" w:rsidTr="00A53EA0">
        <w:trPr>
          <w:trHeight w:val="454"/>
          <w:tblHeader/>
        </w:trPr>
        <w:tc>
          <w:tcPr>
            <w:tcW w:w="771" w:type="pct"/>
            <w:shd w:val="clear" w:color="auto" w:fill="auto"/>
            <w:noWrap/>
            <w:vAlign w:val="center"/>
          </w:tcPr>
          <w:p w14:paraId="58D3D8D9"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idelalisib</w:t>
            </w:r>
          </w:p>
        </w:tc>
        <w:tc>
          <w:tcPr>
            <w:tcW w:w="249" w:type="pct"/>
            <w:shd w:val="clear" w:color="auto" w:fill="auto"/>
            <w:noWrap/>
            <w:vAlign w:val="center"/>
          </w:tcPr>
          <w:p w14:paraId="5232D8EB" w14:textId="77777777" w:rsidR="00A53EA0" w:rsidRPr="006B1E10" w:rsidRDefault="00A53EA0" w:rsidP="00A53EA0">
            <w:pPr>
              <w:rPr>
                <w:rFonts w:asciiTheme="minorHAnsi" w:hAnsiTheme="minorHAnsi"/>
                <w:sz w:val="18"/>
                <w:szCs w:val="18"/>
                <w:highlight w:val="magenta"/>
              </w:rPr>
            </w:pPr>
          </w:p>
        </w:tc>
        <w:tc>
          <w:tcPr>
            <w:tcW w:w="250" w:type="pct"/>
            <w:vAlign w:val="center"/>
          </w:tcPr>
          <w:p w14:paraId="03B89248"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5AD07EA4"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0B97330C"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428E0231"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5CF6D96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050043A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6312135"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55D3D488" w14:textId="77777777" w:rsidR="00A53EA0" w:rsidRPr="006B1E10" w:rsidRDefault="00A53EA0" w:rsidP="00A53EA0">
            <w:pPr>
              <w:rPr>
                <w:rFonts w:asciiTheme="minorHAnsi" w:hAnsiTheme="minorHAnsi"/>
                <w:sz w:val="18"/>
                <w:szCs w:val="18"/>
                <w:highlight w:val="yellow"/>
                <w:lang w:val="en-US"/>
              </w:rPr>
            </w:pPr>
          </w:p>
        </w:tc>
        <w:tc>
          <w:tcPr>
            <w:tcW w:w="248" w:type="pct"/>
            <w:shd w:val="clear" w:color="auto" w:fill="auto"/>
            <w:noWrap/>
            <w:vAlign w:val="center"/>
          </w:tcPr>
          <w:p w14:paraId="3A8D3D00"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5769E970"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152D4F9F"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065449C0"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6A9E0D0F"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4C67EF23"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4A4DE0C4" w14:textId="77777777" w:rsidR="00A53EA0" w:rsidRPr="006B1E10" w:rsidRDefault="00A53EA0" w:rsidP="00A53EA0">
            <w:pPr>
              <w:rPr>
                <w:rFonts w:asciiTheme="minorHAnsi" w:hAnsiTheme="minorHAnsi"/>
                <w:sz w:val="18"/>
                <w:szCs w:val="18"/>
                <w:highlight w:val="magenta"/>
              </w:rPr>
            </w:pPr>
          </w:p>
        </w:tc>
        <w:tc>
          <w:tcPr>
            <w:tcW w:w="245" w:type="pct"/>
            <w:shd w:val="clear" w:color="auto" w:fill="auto"/>
            <w:noWrap/>
            <w:vAlign w:val="center"/>
          </w:tcPr>
          <w:p w14:paraId="28B48AE2" w14:textId="77777777" w:rsidR="00A53EA0" w:rsidRPr="006B1E10" w:rsidRDefault="00A53EA0" w:rsidP="00A53EA0">
            <w:pPr>
              <w:rPr>
                <w:rFonts w:asciiTheme="minorHAnsi" w:hAnsiTheme="minorHAnsi"/>
                <w:sz w:val="18"/>
                <w:szCs w:val="18"/>
                <w:highlight w:val="magenta"/>
              </w:rPr>
            </w:pPr>
          </w:p>
        </w:tc>
      </w:tr>
      <w:tr w:rsidR="00A53EA0" w:rsidRPr="006B1E10" w14:paraId="5C6898AF" w14:textId="77777777" w:rsidTr="00A53EA0">
        <w:trPr>
          <w:trHeight w:val="454"/>
          <w:tblHeader/>
        </w:trPr>
        <w:tc>
          <w:tcPr>
            <w:tcW w:w="771" w:type="pct"/>
            <w:shd w:val="clear" w:color="auto" w:fill="auto"/>
            <w:noWrap/>
            <w:vAlign w:val="center"/>
          </w:tcPr>
          <w:p w14:paraId="1CD6A82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imatinib</w:t>
            </w:r>
          </w:p>
        </w:tc>
        <w:tc>
          <w:tcPr>
            <w:tcW w:w="249" w:type="pct"/>
            <w:shd w:val="clear" w:color="auto" w:fill="auto"/>
            <w:noWrap/>
            <w:vAlign w:val="center"/>
          </w:tcPr>
          <w:p w14:paraId="71FE9A7D" w14:textId="77777777" w:rsidR="00A53EA0" w:rsidRPr="006B1E10" w:rsidRDefault="00A53EA0" w:rsidP="00A53EA0">
            <w:pPr>
              <w:rPr>
                <w:rFonts w:ascii="Calibri" w:hAnsi="Calibri"/>
                <w:color w:val="000000"/>
                <w:sz w:val="18"/>
                <w:szCs w:val="18"/>
              </w:rPr>
            </w:pPr>
          </w:p>
        </w:tc>
        <w:tc>
          <w:tcPr>
            <w:tcW w:w="250" w:type="pct"/>
            <w:vAlign w:val="center"/>
          </w:tcPr>
          <w:p w14:paraId="4F79ACF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9EC5306" w14:textId="77777777" w:rsidR="00A53EA0" w:rsidRPr="006B1E10" w:rsidRDefault="00A53EA0" w:rsidP="00A53EA0">
            <w:pPr>
              <w:rPr>
                <w:rFonts w:ascii="Calibri" w:hAnsi="Calibri"/>
                <w:color w:val="000000"/>
                <w:sz w:val="18"/>
                <w:szCs w:val="18"/>
              </w:rPr>
            </w:pPr>
          </w:p>
        </w:tc>
        <w:tc>
          <w:tcPr>
            <w:tcW w:w="249" w:type="pct"/>
            <w:vAlign w:val="center"/>
          </w:tcPr>
          <w:p w14:paraId="4A39CCD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67549A0" w14:textId="77777777" w:rsidR="00A53EA0" w:rsidRPr="006B1E10" w:rsidRDefault="00A53EA0" w:rsidP="00A53EA0">
            <w:pPr>
              <w:rPr>
                <w:rFonts w:ascii="Calibri" w:hAnsi="Calibri"/>
                <w:color w:val="000000"/>
                <w:sz w:val="18"/>
                <w:szCs w:val="18"/>
              </w:rPr>
            </w:pPr>
          </w:p>
        </w:tc>
        <w:tc>
          <w:tcPr>
            <w:tcW w:w="249" w:type="pct"/>
            <w:vAlign w:val="center"/>
          </w:tcPr>
          <w:p w14:paraId="7C9644F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BE04FE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67511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319E2A28"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1BC41BB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683DD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19D67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469B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CB933E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808D74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63759C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47D0D00" w14:textId="77777777" w:rsidR="00A53EA0" w:rsidRPr="006B1E10" w:rsidRDefault="00A53EA0" w:rsidP="00A53EA0">
            <w:pPr>
              <w:rPr>
                <w:rFonts w:ascii="Calibri" w:hAnsi="Calibri"/>
                <w:color w:val="FF0000"/>
                <w:sz w:val="18"/>
                <w:szCs w:val="18"/>
                <w:lang w:val="en-US" w:eastAsia="en-US"/>
              </w:rPr>
            </w:pPr>
          </w:p>
        </w:tc>
      </w:tr>
      <w:tr w:rsidR="00A53EA0" w:rsidRPr="006B1E10" w14:paraId="13973649" w14:textId="77777777" w:rsidTr="00A53EA0">
        <w:trPr>
          <w:trHeight w:val="454"/>
          <w:tblHeader/>
        </w:trPr>
        <w:tc>
          <w:tcPr>
            <w:tcW w:w="771" w:type="pct"/>
            <w:shd w:val="clear" w:color="auto" w:fill="auto"/>
            <w:noWrap/>
            <w:vAlign w:val="center"/>
          </w:tcPr>
          <w:p w14:paraId="33B649B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indinavir (IDV)/ritonavir</w:t>
            </w:r>
          </w:p>
        </w:tc>
        <w:tc>
          <w:tcPr>
            <w:tcW w:w="249" w:type="pct"/>
            <w:shd w:val="clear" w:color="auto" w:fill="auto"/>
            <w:noWrap/>
            <w:vAlign w:val="center"/>
          </w:tcPr>
          <w:p w14:paraId="7335D62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365819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82A502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A51EC91"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3ED4E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1FA4C5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4F88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84059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17C67BB8"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3484F22C"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6B4B61E4"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45F754D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7EEDC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C741F0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D6B9B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1A0670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19DF39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r>
      <w:tr w:rsidR="00A53EA0" w:rsidRPr="006B1E10" w14:paraId="4B6E94F3" w14:textId="77777777" w:rsidTr="00A53EA0">
        <w:trPr>
          <w:trHeight w:val="454"/>
          <w:tblHeader/>
        </w:trPr>
        <w:tc>
          <w:tcPr>
            <w:tcW w:w="771" w:type="pct"/>
            <w:shd w:val="clear" w:color="auto" w:fill="auto"/>
            <w:noWrap/>
            <w:vAlign w:val="center"/>
          </w:tcPr>
          <w:p w14:paraId="2B0A521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interleukina 2 = aldesleukina</w:t>
            </w:r>
          </w:p>
        </w:tc>
        <w:tc>
          <w:tcPr>
            <w:tcW w:w="249" w:type="pct"/>
            <w:shd w:val="clear" w:color="auto" w:fill="auto"/>
            <w:noWrap/>
            <w:vAlign w:val="center"/>
          </w:tcPr>
          <w:p w14:paraId="45FCA981" w14:textId="77777777" w:rsidR="00A53EA0" w:rsidRPr="006B1E10" w:rsidRDefault="00A53EA0" w:rsidP="00A53EA0">
            <w:pPr>
              <w:rPr>
                <w:rFonts w:ascii="Calibri" w:hAnsi="Calibri"/>
                <w:color w:val="000000"/>
                <w:sz w:val="18"/>
                <w:szCs w:val="18"/>
              </w:rPr>
            </w:pPr>
          </w:p>
        </w:tc>
        <w:tc>
          <w:tcPr>
            <w:tcW w:w="250" w:type="pct"/>
            <w:vAlign w:val="center"/>
          </w:tcPr>
          <w:p w14:paraId="08FF8F9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34192D" w14:textId="77777777" w:rsidR="00A53EA0" w:rsidRPr="006B1E10" w:rsidRDefault="00A53EA0" w:rsidP="00A53EA0">
            <w:pPr>
              <w:rPr>
                <w:rFonts w:ascii="Calibri" w:hAnsi="Calibri"/>
                <w:color w:val="000000"/>
                <w:sz w:val="18"/>
                <w:szCs w:val="18"/>
              </w:rPr>
            </w:pPr>
          </w:p>
        </w:tc>
        <w:tc>
          <w:tcPr>
            <w:tcW w:w="249" w:type="pct"/>
            <w:vAlign w:val="center"/>
          </w:tcPr>
          <w:p w14:paraId="1CB6A93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68682F7" w14:textId="77777777" w:rsidR="00A53EA0" w:rsidRPr="006B1E10" w:rsidRDefault="00A53EA0" w:rsidP="00A53EA0">
            <w:pPr>
              <w:rPr>
                <w:rFonts w:ascii="Calibri" w:hAnsi="Calibri"/>
                <w:color w:val="000000"/>
                <w:sz w:val="18"/>
                <w:szCs w:val="18"/>
              </w:rPr>
            </w:pPr>
          </w:p>
        </w:tc>
        <w:tc>
          <w:tcPr>
            <w:tcW w:w="249" w:type="pct"/>
            <w:vAlign w:val="center"/>
          </w:tcPr>
          <w:p w14:paraId="115B0B5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CCF82C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FD96C53"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031DB08E"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250AE99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AF191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61BDA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B4872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6B1CFD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7E46F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74400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4FC81F88" w14:textId="77777777" w:rsidR="00A53EA0" w:rsidRPr="006B1E10" w:rsidRDefault="00A53EA0" w:rsidP="00A53EA0">
            <w:pPr>
              <w:rPr>
                <w:rFonts w:ascii="Calibri" w:hAnsi="Calibri"/>
                <w:color w:val="000000"/>
                <w:sz w:val="18"/>
                <w:szCs w:val="18"/>
              </w:rPr>
            </w:pPr>
          </w:p>
        </w:tc>
      </w:tr>
      <w:tr w:rsidR="00A53EA0" w:rsidRPr="006B1E10" w14:paraId="47E79BB2" w14:textId="77777777" w:rsidTr="00A53EA0">
        <w:trPr>
          <w:trHeight w:val="454"/>
          <w:tblHeader/>
        </w:trPr>
        <w:tc>
          <w:tcPr>
            <w:tcW w:w="771" w:type="pct"/>
            <w:shd w:val="clear" w:color="auto" w:fill="auto"/>
            <w:noWrap/>
            <w:vAlign w:val="center"/>
          </w:tcPr>
          <w:p w14:paraId="6C55015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irinotecan</w:t>
            </w:r>
          </w:p>
        </w:tc>
        <w:tc>
          <w:tcPr>
            <w:tcW w:w="249" w:type="pct"/>
            <w:shd w:val="clear" w:color="auto" w:fill="auto"/>
            <w:noWrap/>
            <w:vAlign w:val="center"/>
          </w:tcPr>
          <w:p w14:paraId="1422843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B36D84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13A1F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63849F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87AFB3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3103A54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3E84EC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223657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000000" w:fill="FFFFFF"/>
            <w:noWrap/>
            <w:vAlign w:val="center"/>
          </w:tcPr>
          <w:p w14:paraId="12F9389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7DFDAE7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81AAD0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26C960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AC42BA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2CBD7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10AAF9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1FF10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1124B2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4BA9C2F" w14:textId="77777777" w:rsidTr="00A53EA0">
        <w:trPr>
          <w:trHeight w:val="454"/>
          <w:tblHeader/>
        </w:trPr>
        <w:tc>
          <w:tcPr>
            <w:tcW w:w="771" w:type="pct"/>
            <w:shd w:val="clear" w:color="auto" w:fill="auto"/>
            <w:noWrap/>
            <w:vAlign w:val="center"/>
          </w:tcPr>
          <w:p w14:paraId="1B4CD76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isavuconazol</w:t>
            </w:r>
          </w:p>
        </w:tc>
        <w:tc>
          <w:tcPr>
            <w:tcW w:w="249" w:type="pct"/>
            <w:shd w:val="clear" w:color="auto" w:fill="auto"/>
            <w:noWrap/>
            <w:vAlign w:val="center"/>
          </w:tcPr>
          <w:p w14:paraId="6DEF644D" w14:textId="77777777" w:rsidR="00A53EA0" w:rsidRPr="006B1E10" w:rsidRDefault="00A53EA0" w:rsidP="00A53EA0">
            <w:pPr>
              <w:rPr>
                <w:rFonts w:ascii="Calibri" w:hAnsi="Calibri"/>
                <w:color w:val="000000"/>
                <w:sz w:val="18"/>
                <w:szCs w:val="18"/>
              </w:rPr>
            </w:pPr>
          </w:p>
        </w:tc>
        <w:tc>
          <w:tcPr>
            <w:tcW w:w="250" w:type="pct"/>
            <w:vAlign w:val="center"/>
          </w:tcPr>
          <w:p w14:paraId="13E7C36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D410457" w14:textId="77777777" w:rsidR="00A53EA0" w:rsidRPr="006B1E10" w:rsidRDefault="00A53EA0" w:rsidP="00A53EA0">
            <w:pPr>
              <w:rPr>
                <w:rFonts w:ascii="Calibri" w:hAnsi="Calibri"/>
                <w:color w:val="000000"/>
                <w:sz w:val="18"/>
                <w:szCs w:val="18"/>
              </w:rPr>
            </w:pPr>
          </w:p>
        </w:tc>
        <w:tc>
          <w:tcPr>
            <w:tcW w:w="249" w:type="pct"/>
            <w:vAlign w:val="center"/>
          </w:tcPr>
          <w:p w14:paraId="02504BF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5D7FB5DF" w14:textId="77777777" w:rsidR="00A53EA0" w:rsidRPr="006B1E10" w:rsidRDefault="00A53EA0" w:rsidP="00A53EA0">
            <w:pPr>
              <w:rPr>
                <w:rFonts w:ascii="Calibri" w:hAnsi="Calibri"/>
                <w:color w:val="FF0000"/>
                <w:sz w:val="18"/>
                <w:szCs w:val="18"/>
                <w:lang w:val="en-US" w:eastAsia="en-US"/>
              </w:rPr>
            </w:pPr>
          </w:p>
        </w:tc>
        <w:tc>
          <w:tcPr>
            <w:tcW w:w="249" w:type="pct"/>
            <w:vAlign w:val="center"/>
          </w:tcPr>
          <w:p w14:paraId="0771161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6A28C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BAC519C"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000000" w:fill="FFFFFF"/>
            <w:noWrap/>
            <w:vAlign w:val="center"/>
          </w:tcPr>
          <w:p w14:paraId="5CC3A14A" w14:textId="77777777" w:rsidR="00A53EA0" w:rsidRPr="006B1E10" w:rsidRDefault="00A53EA0" w:rsidP="00A53EA0">
            <w:pPr>
              <w:rPr>
                <w:rFonts w:ascii="Calibri" w:hAnsi="Calibri"/>
                <w:color w:val="FF0000"/>
                <w:sz w:val="18"/>
                <w:szCs w:val="18"/>
                <w:lang w:val="en-US" w:eastAsia="en-US"/>
              </w:rPr>
            </w:pPr>
          </w:p>
        </w:tc>
        <w:tc>
          <w:tcPr>
            <w:tcW w:w="248" w:type="pct"/>
            <w:shd w:val="clear" w:color="auto" w:fill="auto"/>
            <w:noWrap/>
            <w:vAlign w:val="center"/>
          </w:tcPr>
          <w:p w14:paraId="580F88F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70774CD"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418D85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82FF20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648C0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65D873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D194789"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DDA2498" w14:textId="77777777" w:rsidR="00A53EA0" w:rsidRPr="006B1E10" w:rsidRDefault="00A53EA0" w:rsidP="00A53EA0">
            <w:pPr>
              <w:rPr>
                <w:rFonts w:ascii="Calibri" w:hAnsi="Calibri"/>
                <w:color w:val="000000"/>
                <w:sz w:val="18"/>
                <w:szCs w:val="18"/>
              </w:rPr>
            </w:pPr>
          </w:p>
        </w:tc>
      </w:tr>
    </w:tbl>
    <w:p w14:paraId="06067D10"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7DCBE0C3"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1F874F4"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3AB799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3DA7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5BFD30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0F934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F92D00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4962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8424E8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2CB9FD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8C0765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A88C30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BAE616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BDA491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032A71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240C58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9E6409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1484FB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E26490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6F5882A0" w14:textId="77777777" w:rsidTr="00A53EA0">
        <w:trPr>
          <w:trHeight w:val="454"/>
          <w:tblHeader/>
        </w:trPr>
        <w:tc>
          <w:tcPr>
            <w:tcW w:w="771" w:type="pct"/>
            <w:shd w:val="clear" w:color="auto" w:fill="auto"/>
            <w:noWrap/>
            <w:vAlign w:val="center"/>
          </w:tcPr>
          <w:p w14:paraId="117A8F8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itraconazol</w:t>
            </w:r>
          </w:p>
        </w:tc>
        <w:tc>
          <w:tcPr>
            <w:tcW w:w="249" w:type="pct"/>
            <w:shd w:val="clear" w:color="auto" w:fill="auto"/>
            <w:noWrap/>
            <w:vAlign w:val="center"/>
          </w:tcPr>
          <w:p w14:paraId="25E0FD1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35A4D6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A58070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E13D5D1"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9FE871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vAlign w:val="center"/>
          </w:tcPr>
          <w:p w14:paraId="349096B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9F257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1090BC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6314FA7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8" w:type="pct"/>
            <w:shd w:val="clear" w:color="auto" w:fill="auto"/>
            <w:noWrap/>
            <w:vAlign w:val="center"/>
          </w:tcPr>
          <w:p w14:paraId="36D8F9F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3CFAAA6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7767652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549FF3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4816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38752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96A566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F81BDB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612564C" w14:textId="77777777" w:rsidTr="00A53EA0">
        <w:trPr>
          <w:trHeight w:val="454"/>
          <w:tblHeader/>
        </w:trPr>
        <w:tc>
          <w:tcPr>
            <w:tcW w:w="771" w:type="pct"/>
            <w:shd w:val="clear" w:color="auto" w:fill="auto"/>
            <w:noWrap/>
            <w:vAlign w:val="center"/>
          </w:tcPr>
          <w:p w14:paraId="3198303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ivabradina</w:t>
            </w:r>
          </w:p>
        </w:tc>
        <w:tc>
          <w:tcPr>
            <w:tcW w:w="249" w:type="pct"/>
            <w:shd w:val="clear" w:color="auto" w:fill="auto"/>
            <w:noWrap/>
            <w:vAlign w:val="center"/>
          </w:tcPr>
          <w:p w14:paraId="367E334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282E6D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DEA61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2968DF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4D1B6E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5C631BF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34548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F9BA6A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155CFF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54188C3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4CC76D5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9B9E49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B82593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2A5FC0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4C1AE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55C7C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82D1F3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1254053" w14:textId="77777777" w:rsidTr="00A53EA0">
        <w:trPr>
          <w:trHeight w:val="454"/>
          <w:tblHeader/>
        </w:trPr>
        <w:tc>
          <w:tcPr>
            <w:tcW w:w="771" w:type="pct"/>
            <w:shd w:val="clear" w:color="auto" w:fill="auto"/>
            <w:noWrap/>
            <w:vAlign w:val="center"/>
          </w:tcPr>
          <w:p w14:paraId="28855DA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ketoconazol</w:t>
            </w:r>
          </w:p>
        </w:tc>
        <w:tc>
          <w:tcPr>
            <w:tcW w:w="249" w:type="pct"/>
            <w:shd w:val="clear" w:color="auto" w:fill="auto"/>
            <w:noWrap/>
            <w:vAlign w:val="center"/>
          </w:tcPr>
          <w:p w14:paraId="1F65AF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B1AC0A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C5ECC2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BCA87B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3C5ADC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vAlign w:val="center"/>
          </w:tcPr>
          <w:p w14:paraId="01A8A8E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E635D5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5007C6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7EB1E17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8" w:type="pct"/>
            <w:shd w:val="clear" w:color="auto" w:fill="auto"/>
            <w:noWrap/>
            <w:vAlign w:val="center"/>
          </w:tcPr>
          <w:p w14:paraId="0922C4A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15E0213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5266812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26</w:t>
            </w:r>
          </w:p>
        </w:tc>
        <w:tc>
          <w:tcPr>
            <w:tcW w:w="249" w:type="pct"/>
            <w:shd w:val="clear" w:color="auto" w:fill="auto"/>
            <w:noWrap/>
            <w:vAlign w:val="center"/>
          </w:tcPr>
          <w:p w14:paraId="4174ECD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AFA94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6FD340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AC29FD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77B52D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AB60ABD" w14:textId="77777777" w:rsidTr="00A53EA0">
        <w:trPr>
          <w:trHeight w:val="454"/>
          <w:tblHeader/>
        </w:trPr>
        <w:tc>
          <w:tcPr>
            <w:tcW w:w="771" w:type="pct"/>
            <w:shd w:val="clear" w:color="auto" w:fill="auto"/>
            <w:noWrap/>
            <w:vAlign w:val="center"/>
          </w:tcPr>
          <w:p w14:paraId="0D2151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lamivudina (3TC)</w:t>
            </w:r>
          </w:p>
        </w:tc>
        <w:tc>
          <w:tcPr>
            <w:tcW w:w="249" w:type="pct"/>
            <w:shd w:val="clear" w:color="auto" w:fill="auto"/>
            <w:noWrap/>
            <w:vAlign w:val="center"/>
          </w:tcPr>
          <w:p w14:paraId="5234C8F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E0EEDA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DC1200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4F7658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FE6E2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8D4383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7D675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5F2E29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51EB1D6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43D4103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97F34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15704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3180FE94" w14:textId="77777777" w:rsidR="00A53EA0" w:rsidRPr="006B1E10" w:rsidRDefault="00A53EA0" w:rsidP="00A53EA0">
            <w:pPr>
              <w:rPr>
                <w:rFonts w:ascii="Calibri" w:hAnsi="Calibri"/>
                <w:b/>
                <w:bCs/>
                <w:color w:val="000000"/>
                <w:sz w:val="18"/>
                <w:szCs w:val="18"/>
              </w:rPr>
            </w:pPr>
          </w:p>
        </w:tc>
        <w:tc>
          <w:tcPr>
            <w:tcW w:w="249" w:type="pct"/>
            <w:shd w:val="clear" w:color="auto" w:fill="BFBFBF"/>
            <w:noWrap/>
            <w:vAlign w:val="center"/>
          </w:tcPr>
          <w:p w14:paraId="3CB342B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41437B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6AAF06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FFFFFF"/>
            <w:noWrap/>
            <w:vAlign w:val="center"/>
          </w:tcPr>
          <w:p w14:paraId="76D66A3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7A06333" w14:textId="77777777" w:rsidTr="00A53EA0">
        <w:trPr>
          <w:trHeight w:val="454"/>
          <w:tblHeader/>
        </w:trPr>
        <w:tc>
          <w:tcPr>
            <w:tcW w:w="771" w:type="pct"/>
            <w:shd w:val="clear" w:color="auto" w:fill="auto"/>
            <w:noWrap/>
            <w:vAlign w:val="center"/>
          </w:tcPr>
          <w:p w14:paraId="54C6BC3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lansoprazol</w:t>
            </w:r>
          </w:p>
        </w:tc>
        <w:tc>
          <w:tcPr>
            <w:tcW w:w="249" w:type="pct"/>
            <w:shd w:val="clear" w:color="auto" w:fill="auto"/>
            <w:noWrap/>
            <w:vAlign w:val="center"/>
          </w:tcPr>
          <w:p w14:paraId="672F75B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2C4420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26D2A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26B1F2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975C5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3BE0D0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D07CCA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F439C4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FCE452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val="en-US" w:eastAsia="en-US"/>
              </w:rPr>
              <w:t>p</w:t>
            </w:r>
          </w:p>
        </w:tc>
        <w:tc>
          <w:tcPr>
            <w:tcW w:w="248" w:type="pct"/>
            <w:shd w:val="clear" w:color="auto" w:fill="auto"/>
            <w:noWrap/>
            <w:vAlign w:val="center"/>
          </w:tcPr>
          <w:p w14:paraId="1740A7D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color w:val="000000"/>
                <w:sz w:val="18"/>
                <w:szCs w:val="18"/>
              </w:rPr>
              <w:t xml:space="preserve"> </w:t>
            </w:r>
          </w:p>
        </w:tc>
        <w:tc>
          <w:tcPr>
            <w:tcW w:w="249" w:type="pct"/>
            <w:shd w:val="clear" w:color="auto" w:fill="auto"/>
            <w:noWrap/>
            <w:vAlign w:val="center"/>
          </w:tcPr>
          <w:p w14:paraId="2673AA7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E5E618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5D065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6E19A3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E7222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9150B2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759B5C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7C0C7B4" w14:textId="77777777" w:rsidTr="00A53EA0">
        <w:trPr>
          <w:trHeight w:val="454"/>
          <w:tblHeader/>
        </w:trPr>
        <w:tc>
          <w:tcPr>
            <w:tcW w:w="771" w:type="pct"/>
            <w:shd w:val="clear" w:color="auto" w:fill="auto"/>
            <w:noWrap/>
            <w:vAlign w:val="center"/>
          </w:tcPr>
          <w:p w14:paraId="2F0A5A5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lapatinib</w:t>
            </w:r>
          </w:p>
        </w:tc>
        <w:tc>
          <w:tcPr>
            <w:tcW w:w="249" w:type="pct"/>
            <w:shd w:val="clear" w:color="auto" w:fill="auto"/>
            <w:noWrap/>
            <w:vAlign w:val="center"/>
          </w:tcPr>
          <w:p w14:paraId="3B37B7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387C72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EFDD3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F073E3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3EB4BF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27</w:t>
            </w:r>
          </w:p>
        </w:tc>
        <w:tc>
          <w:tcPr>
            <w:tcW w:w="249" w:type="pct"/>
            <w:vAlign w:val="center"/>
          </w:tcPr>
          <w:p w14:paraId="14CDA66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075CAA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1EC77E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57C1CAB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27</w:t>
            </w:r>
          </w:p>
        </w:tc>
        <w:tc>
          <w:tcPr>
            <w:tcW w:w="248" w:type="pct"/>
            <w:shd w:val="clear" w:color="auto" w:fill="auto"/>
            <w:noWrap/>
            <w:vAlign w:val="center"/>
          </w:tcPr>
          <w:p w14:paraId="4089AAF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27</w:t>
            </w:r>
          </w:p>
        </w:tc>
        <w:tc>
          <w:tcPr>
            <w:tcW w:w="249" w:type="pct"/>
            <w:shd w:val="clear" w:color="auto" w:fill="auto"/>
            <w:noWrap/>
            <w:vAlign w:val="center"/>
          </w:tcPr>
          <w:p w14:paraId="7C7178B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27</w:t>
            </w:r>
          </w:p>
        </w:tc>
        <w:tc>
          <w:tcPr>
            <w:tcW w:w="249" w:type="pct"/>
            <w:shd w:val="clear" w:color="auto" w:fill="auto"/>
            <w:noWrap/>
            <w:vAlign w:val="center"/>
          </w:tcPr>
          <w:p w14:paraId="2830BEE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27</w:t>
            </w:r>
          </w:p>
        </w:tc>
        <w:tc>
          <w:tcPr>
            <w:tcW w:w="249" w:type="pct"/>
            <w:shd w:val="clear" w:color="auto" w:fill="auto"/>
            <w:noWrap/>
            <w:vAlign w:val="center"/>
          </w:tcPr>
          <w:p w14:paraId="711957A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444551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C805E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3B20D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0CA30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609282F" w14:textId="77777777" w:rsidTr="00A53EA0">
        <w:trPr>
          <w:trHeight w:val="454"/>
          <w:tblHeader/>
        </w:trPr>
        <w:tc>
          <w:tcPr>
            <w:tcW w:w="771" w:type="pct"/>
            <w:shd w:val="clear" w:color="auto" w:fill="auto"/>
            <w:noWrap/>
            <w:vAlign w:val="center"/>
          </w:tcPr>
          <w:p w14:paraId="29BA1A2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lercanidipino</w:t>
            </w:r>
          </w:p>
        </w:tc>
        <w:tc>
          <w:tcPr>
            <w:tcW w:w="249" w:type="pct"/>
            <w:shd w:val="clear" w:color="auto" w:fill="auto"/>
            <w:noWrap/>
            <w:vAlign w:val="center"/>
          </w:tcPr>
          <w:p w14:paraId="638B56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372821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F5FF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A634C1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E6AE86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1663377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5303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6C8A50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A70ED8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7954BC3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2C56CF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AF1F14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EC14D4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8BEE1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DD73E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58050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69DFD3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56DF6DD" w14:textId="77777777" w:rsidTr="00A53EA0">
        <w:trPr>
          <w:trHeight w:val="454"/>
          <w:tblHeader/>
        </w:trPr>
        <w:tc>
          <w:tcPr>
            <w:tcW w:w="771" w:type="pct"/>
            <w:shd w:val="clear" w:color="auto" w:fill="auto"/>
            <w:noWrap/>
            <w:vAlign w:val="center"/>
          </w:tcPr>
          <w:p w14:paraId="08578C2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lesinurad</w:t>
            </w:r>
          </w:p>
        </w:tc>
        <w:tc>
          <w:tcPr>
            <w:tcW w:w="249" w:type="pct"/>
            <w:shd w:val="clear" w:color="auto" w:fill="auto"/>
            <w:noWrap/>
            <w:vAlign w:val="center"/>
          </w:tcPr>
          <w:p w14:paraId="21A8C8C1" w14:textId="77777777" w:rsidR="00A53EA0" w:rsidRPr="006B1E10" w:rsidRDefault="00A53EA0" w:rsidP="00A53EA0">
            <w:pPr>
              <w:rPr>
                <w:rFonts w:ascii="Calibri" w:hAnsi="Calibri"/>
                <w:color w:val="000000"/>
                <w:sz w:val="18"/>
                <w:szCs w:val="18"/>
              </w:rPr>
            </w:pPr>
          </w:p>
        </w:tc>
        <w:tc>
          <w:tcPr>
            <w:tcW w:w="250" w:type="pct"/>
            <w:shd w:val="clear" w:color="auto" w:fill="auto"/>
            <w:vAlign w:val="center"/>
          </w:tcPr>
          <w:p w14:paraId="632A4F0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25D0B9"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6AC530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9E69DA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vAlign w:val="center"/>
          </w:tcPr>
          <w:p w14:paraId="0F39CB9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6</w:t>
            </w:r>
          </w:p>
        </w:tc>
        <w:tc>
          <w:tcPr>
            <w:tcW w:w="249" w:type="pct"/>
            <w:shd w:val="clear" w:color="auto" w:fill="auto"/>
            <w:noWrap/>
            <w:vAlign w:val="center"/>
          </w:tcPr>
          <w:p w14:paraId="3743DF6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1DE6F2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D5BD563"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1715E7B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E68476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187288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92AD08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A8DE2A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03D93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3F97AA"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33AA4035" w14:textId="77777777" w:rsidR="00A53EA0" w:rsidRPr="006B1E10" w:rsidRDefault="00A53EA0" w:rsidP="00A53EA0">
            <w:pPr>
              <w:rPr>
                <w:rFonts w:ascii="Calibri" w:hAnsi="Calibri"/>
                <w:color w:val="000000"/>
                <w:sz w:val="18"/>
                <w:szCs w:val="18"/>
              </w:rPr>
            </w:pPr>
          </w:p>
        </w:tc>
      </w:tr>
      <w:tr w:rsidR="00A53EA0" w:rsidRPr="006B1E10" w14:paraId="7C9F4656" w14:textId="77777777" w:rsidTr="00A53EA0">
        <w:trPr>
          <w:trHeight w:val="454"/>
          <w:tblHeader/>
        </w:trPr>
        <w:tc>
          <w:tcPr>
            <w:tcW w:w="771" w:type="pct"/>
            <w:shd w:val="clear" w:color="auto" w:fill="auto"/>
            <w:noWrap/>
            <w:vAlign w:val="center"/>
          </w:tcPr>
          <w:p w14:paraId="06A44C5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levonorgestrel </w:t>
            </w:r>
          </w:p>
        </w:tc>
        <w:tc>
          <w:tcPr>
            <w:tcW w:w="249" w:type="pct"/>
            <w:shd w:val="clear" w:color="auto" w:fill="auto"/>
            <w:noWrap/>
            <w:vAlign w:val="center"/>
          </w:tcPr>
          <w:p w14:paraId="68104C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54499C5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6FEDFA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AD7497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2AF3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ADB1D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2F9A11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DA6570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1165C0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784722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F1C496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B393C0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DC0AE2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3E7329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8CAB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AA8260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FC8923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892D0B5" w14:textId="77777777" w:rsidTr="00A53EA0">
        <w:trPr>
          <w:trHeight w:val="454"/>
          <w:tblHeader/>
        </w:trPr>
        <w:tc>
          <w:tcPr>
            <w:tcW w:w="771" w:type="pct"/>
            <w:shd w:val="clear" w:color="auto" w:fill="auto"/>
            <w:noWrap/>
            <w:vAlign w:val="center"/>
          </w:tcPr>
          <w:p w14:paraId="055A4E2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lidocaína sistémica y tópica</w:t>
            </w:r>
          </w:p>
        </w:tc>
        <w:tc>
          <w:tcPr>
            <w:tcW w:w="249" w:type="pct"/>
            <w:shd w:val="clear" w:color="auto" w:fill="auto"/>
            <w:noWrap/>
            <w:vAlign w:val="center"/>
          </w:tcPr>
          <w:p w14:paraId="7474D9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1D656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B083F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CC2B67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4DF3E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FE25E7">
              <w:rPr>
                <w:rFonts w:ascii="Calibri" w:hAnsi="Calibri"/>
                <w:sz w:val="18"/>
                <w:szCs w:val="18"/>
                <w:vertAlign w:val="superscript"/>
                <w:lang w:val="en-US" w:eastAsia="en-US"/>
              </w:rPr>
              <w:t>44</w:t>
            </w:r>
          </w:p>
        </w:tc>
        <w:tc>
          <w:tcPr>
            <w:tcW w:w="249" w:type="pct"/>
            <w:vAlign w:val="center"/>
          </w:tcPr>
          <w:p w14:paraId="637978E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61FC00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B16E0C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47B90A8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FE25E7">
              <w:rPr>
                <w:rFonts w:ascii="Calibri" w:hAnsi="Calibri"/>
                <w:sz w:val="18"/>
                <w:szCs w:val="18"/>
                <w:vertAlign w:val="superscript"/>
                <w:lang w:val="en-US" w:eastAsia="en-US"/>
              </w:rPr>
              <w:t>44</w:t>
            </w:r>
          </w:p>
        </w:tc>
        <w:tc>
          <w:tcPr>
            <w:tcW w:w="248" w:type="pct"/>
            <w:shd w:val="clear" w:color="auto" w:fill="auto"/>
            <w:noWrap/>
            <w:vAlign w:val="center"/>
          </w:tcPr>
          <w:p w14:paraId="20D5C2A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FE25E7">
              <w:rPr>
                <w:rFonts w:ascii="Calibri" w:hAnsi="Calibri"/>
                <w:sz w:val="18"/>
                <w:szCs w:val="18"/>
                <w:vertAlign w:val="superscript"/>
                <w:lang w:val="en-US" w:eastAsia="en-US"/>
              </w:rPr>
              <w:t>44</w:t>
            </w:r>
          </w:p>
        </w:tc>
        <w:tc>
          <w:tcPr>
            <w:tcW w:w="249" w:type="pct"/>
            <w:shd w:val="clear" w:color="auto" w:fill="FFFFFF"/>
            <w:noWrap/>
            <w:vAlign w:val="center"/>
          </w:tcPr>
          <w:p w14:paraId="4399197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FE25E7">
              <w:rPr>
                <w:rFonts w:ascii="Calibri" w:hAnsi="Calibri"/>
                <w:sz w:val="18"/>
                <w:szCs w:val="18"/>
                <w:vertAlign w:val="superscript"/>
                <w:lang w:val="en-US" w:eastAsia="en-US"/>
              </w:rPr>
              <w:t>44</w:t>
            </w:r>
          </w:p>
        </w:tc>
        <w:tc>
          <w:tcPr>
            <w:tcW w:w="249" w:type="pct"/>
            <w:shd w:val="clear" w:color="auto" w:fill="auto"/>
            <w:noWrap/>
            <w:vAlign w:val="center"/>
          </w:tcPr>
          <w:p w14:paraId="6372EF2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FE25E7">
              <w:rPr>
                <w:rFonts w:ascii="Calibri" w:hAnsi="Calibri"/>
                <w:sz w:val="18"/>
                <w:szCs w:val="18"/>
                <w:vertAlign w:val="superscript"/>
                <w:lang w:val="en-US" w:eastAsia="en-US"/>
              </w:rPr>
              <w:t>44</w:t>
            </w:r>
          </w:p>
        </w:tc>
        <w:tc>
          <w:tcPr>
            <w:tcW w:w="249" w:type="pct"/>
            <w:shd w:val="clear" w:color="auto" w:fill="auto"/>
            <w:noWrap/>
            <w:vAlign w:val="center"/>
          </w:tcPr>
          <w:p w14:paraId="4B4D8DD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947A02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BD7448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C6D5CA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A87D8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B8A1439" w14:textId="77777777" w:rsidTr="00A53EA0">
        <w:trPr>
          <w:trHeight w:val="454"/>
          <w:tblHeader/>
        </w:trPr>
        <w:tc>
          <w:tcPr>
            <w:tcW w:w="771" w:type="pct"/>
            <w:shd w:val="clear" w:color="auto" w:fill="FFFFFF"/>
            <w:noWrap/>
            <w:vAlign w:val="center"/>
          </w:tcPr>
          <w:p w14:paraId="735D87D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lopinavir/ritonavir (LPV/r)</w:t>
            </w:r>
          </w:p>
        </w:tc>
        <w:tc>
          <w:tcPr>
            <w:tcW w:w="249" w:type="pct"/>
            <w:shd w:val="clear" w:color="auto" w:fill="auto"/>
            <w:noWrap/>
            <w:vAlign w:val="center"/>
          </w:tcPr>
          <w:p w14:paraId="663240D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0EF49C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6EF56C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6E0DC3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noWrap/>
            <w:vAlign w:val="center"/>
          </w:tcPr>
          <w:p w14:paraId="7B6C4413" w14:textId="77777777" w:rsidR="00A53EA0" w:rsidRPr="006B1E10" w:rsidRDefault="00A53EA0" w:rsidP="00A53EA0">
            <w:pPr>
              <w:rPr>
                <w:rFonts w:ascii="Calibri" w:hAnsi="Calibri"/>
                <w:color w:val="000000"/>
                <w:sz w:val="18"/>
                <w:szCs w:val="18"/>
              </w:rPr>
            </w:pPr>
          </w:p>
        </w:tc>
        <w:tc>
          <w:tcPr>
            <w:tcW w:w="249" w:type="pct"/>
            <w:vAlign w:val="center"/>
          </w:tcPr>
          <w:p w14:paraId="037C8BE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1018A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08D87B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28</w:t>
            </w:r>
          </w:p>
        </w:tc>
        <w:tc>
          <w:tcPr>
            <w:tcW w:w="249" w:type="pct"/>
            <w:shd w:val="clear" w:color="auto" w:fill="BFBFBF"/>
            <w:noWrap/>
            <w:vAlign w:val="center"/>
          </w:tcPr>
          <w:p w14:paraId="009B7BC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BFBFBF"/>
            <w:noWrap/>
            <w:vAlign w:val="center"/>
          </w:tcPr>
          <w:p w14:paraId="67E8391D"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52E3F3BD"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E0A75A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251236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C8BB3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8C292F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B8D7FE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E7076C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CDF9FE1" w14:textId="77777777" w:rsidTr="00A53EA0">
        <w:trPr>
          <w:trHeight w:val="454"/>
          <w:tblHeader/>
        </w:trPr>
        <w:tc>
          <w:tcPr>
            <w:tcW w:w="771" w:type="pct"/>
            <w:shd w:val="clear" w:color="auto" w:fill="auto"/>
            <w:noWrap/>
            <w:vAlign w:val="center"/>
          </w:tcPr>
          <w:p w14:paraId="7B36BDA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lovastatina</w:t>
            </w:r>
          </w:p>
        </w:tc>
        <w:tc>
          <w:tcPr>
            <w:tcW w:w="249" w:type="pct"/>
            <w:shd w:val="clear" w:color="auto" w:fill="auto"/>
            <w:noWrap/>
            <w:vAlign w:val="center"/>
          </w:tcPr>
          <w:p w14:paraId="7E1770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435C3E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DA9895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C07150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66BE13B1"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2506540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D26B8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973215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00D2A24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2BA7726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1DD9F22"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E2EB10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04A619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8F987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FD9755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47819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1E7BC27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FE4917E" w14:textId="77777777" w:rsidTr="00A53EA0">
        <w:trPr>
          <w:trHeight w:val="454"/>
          <w:tblHeader/>
        </w:trPr>
        <w:tc>
          <w:tcPr>
            <w:tcW w:w="771" w:type="pct"/>
            <w:shd w:val="clear" w:color="auto" w:fill="auto"/>
            <w:noWrap/>
            <w:vAlign w:val="center"/>
          </w:tcPr>
          <w:p w14:paraId="7A05360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lumacaftor/ivacaftor</w:t>
            </w:r>
          </w:p>
        </w:tc>
        <w:tc>
          <w:tcPr>
            <w:tcW w:w="249" w:type="pct"/>
            <w:shd w:val="clear" w:color="auto" w:fill="auto"/>
            <w:noWrap/>
            <w:vAlign w:val="center"/>
          </w:tcPr>
          <w:p w14:paraId="34F5B834" w14:textId="77777777" w:rsidR="00A53EA0" w:rsidRPr="006B1E10" w:rsidRDefault="00A53EA0" w:rsidP="00A53EA0">
            <w:pPr>
              <w:rPr>
                <w:rFonts w:ascii="Calibri" w:hAnsi="Calibri"/>
                <w:color w:val="000000"/>
                <w:sz w:val="18"/>
                <w:szCs w:val="18"/>
              </w:rPr>
            </w:pPr>
          </w:p>
        </w:tc>
        <w:tc>
          <w:tcPr>
            <w:tcW w:w="250" w:type="pct"/>
            <w:vAlign w:val="center"/>
          </w:tcPr>
          <w:p w14:paraId="51A875D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6BD6F81" w14:textId="77777777" w:rsidR="00A53EA0" w:rsidRPr="006B1E10" w:rsidRDefault="00A53EA0" w:rsidP="00A53EA0">
            <w:pPr>
              <w:rPr>
                <w:rFonts w:ascii="Calibri" w:hAnsi="Calibri"/>
                <w:color w:val="000000"/>
                <w:sz w:val="18"/>
                <w:szCs w:val="18"/>
              </w:rPr>
            </w:pPr>
          </w:p>
        </w:tc>
        <w:tc>
          <w:tcPr>
            <w:tcW w:w="249" w:type="pct"/>
            <w:vAlign w:val="center"/>
          </w:tcPr>
          <w:p w14:paraId="6C6B7CC1"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29DF09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3023FA6B"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6F4AB6C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2053F82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506462D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3631789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2EB736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3DB6DB4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B07411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5899F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189D8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6058B4"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4C37B341" w14:textId="77777777" w:rsidR="00A53EA0" w:rsidRPr="006B1E10" w:rsidRDefault="00A53EA0" w:rsidP="00A53EA0">
            <w:pPr>
              <w:rPr>
                <w:rFonts w:ascii="Calibri" w:hAnsi="Calibri"/>
                <w:color w:val="000000"/>
                <w:sz w:val="18"/>
                <w:szCs w:val="18"/>
              </w:rPr>
            </w:pPr>
          </w:p>
        </w:tc>
      </w:tr>
      <w:tr w:rsidR="00A53EA0" w:rsidRPr="006B1E10" w14:paraId="3811F86F" w14:textId="77777777" w:rsidTr="00A53EA0">
        <w:trPr>
          <w:trHeight w:val="454"/>
          <w:tblHeader/>
        </w:trPr>
        <w:tc>
          <w:tcPr>
            <w:tcW w:w="771" w:type="pct"/>
            <w:shd w:val="clear" w:color="auto" w:fill="auto"/>
            <w:noWrap/>
            <w:vAlign w:val="center"/>
          </w:tcPr>
          <w:p w14:paraId="4EAE502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lumefantrina</w:t>
            </w:r>
          </w:p>
        </w:tc>
        <w:tc>
          <w:tcPr>
            <w:tcW w:w="249" w:type="pct"/>
            <w:shd w:val="clear" w:color="auto" w:fill="auto"/>
            <w:noWrap/>
            <w:vAlign w:val="center"/>
          </w:tcPr>
          <w:p w14:paraId="10470ADF" w14:textId="77777777" w:rsidR="00A53EA0" w:rsidRPr="006B1E10" w:rsidRDefault="00A53EA0" w:rsidP="00A53EA0">
            <w:pPr>
              <w:rPr>
                <w:rFonts w:ascii="Calibri" w:hAnsi="Calibri"/>
                <w:color w:val="000000"/>
                <w:sz w:val="18"/>
                <w:szCs w:val="18"/>
              </w:rPr>
            </w:pPr>
          </w:p>
        </w:tc>
        <w:tc>
          <w:tcPr>
            <w:tcW w:w="250" w:type="pct"/>
            <w:vAlign w:val="center"/>
          </w:tcPr>
          <w:p w14:paraId="1078C0C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388CC92" w14:textId="77777777" w:rsidR="00A53EA0" w:rsidRPr="006B1E10" w:rsidRDefault="00A53EA0" w:rsidP="00A53EA0">
            <w:pPr>
              <w:rPr>
                <w:rFonts w:ascii="Calibri" w:hAnsi="Calibri"/>
                <w:color w:val="000000"/>
                <w:sz w:val="18"/>
                <w:szCs w:val="18"/>
              </w:rPr>
            </w:pPr>
          </w:p>
        </w:tc>
        <w:tc>
          <w:tcPr>
            <w:tcW w:w="249" w:type="pct"/>
            <w:vAlign w:val="center"/>
          </w:tcPr>
          <w:p w14:paraId="321C9F9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22E6DB" w14:textId="77777777" w:rsidR="00A53EA0" w:rsidRPr="006B1E10" w:rsidRDefault="00A53EA0" w:rsidP="00A53EA0">
            <w:pPr>
              <w:rPr>
                <w:rFonts w:ascii="Calibri" w:hAnsi="Calibri"/>
                <w:color w:val="000000"/>
                <w:sz w:val="18"/>
                <w:szCs w:val="18"/>
              </w:rPr>
            </w:pPr>
          </w:p>
        </w:tc>
        <w:tc>
          <w:tcPr>
            <w:tcW w:w="249" w:type="pct"/>
            <w:vAlign w:val="center"/>
          </w:tcPr>
          <w:p w14:paraId="48FF1D3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11005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D476511"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66FD3E6D"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1C50C22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3605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79033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D7D894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407840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605B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EA70E18"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9D47ED2" w14:textId="77777777" w:rsidR="00A53EA0" w:rsidRPr="006B1E10" w:rsidRDefault="00A53EA0" w:rsidP="00A53EA0">
            <w:pPr>
              <w:rPr>
                <w:rFonts w:ascii="Calibri" w:hAnsi="Calibri"/>
                <w:color w:val="000000"/>
                <w:sz w:val="18"/>
                <w:szCs w:val="18"/>
              </w:rPr>
            </w:pPr>
          </w:p>
        </w:tc>
      </w:tr>
      <w:tr w:rsidR="00A53EA0" w:rsidRPr="006B1E10" w14:paraId="03DB4E09" w14:textId="77777777" w:rsidTr="00A53EA0">
        <w:trPr>
          <w:trHeight w:val="454"/>
          <w:tblHeader/>
        </w:trPr>
        <w:tc>
          <w:tcPr>
            <w:tcW w:w="771" w:type="pct"/>
            <w:shd w:val="clear" w:color="auto" w:fill="auto"/>
            <w:noWrap/>
            <w:vAlign w:val="center"/>
          </w:tcPr>
          <w:p w14:paraId="2474925E"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lurasidona</w:t>
            </w:r>
          </w:p>
        </w:tc>
        <w:tc>
          <w:tcPr>
            <w:tcW w:w="249" w:type="pct"/>
            <w:shd w:val="clear" w:color="auto" w:fill="auto"/>
            <w:noWrap/>
            <w:vAlign w:val="center"/>
          </w:tcPr>
          <w:p w14:paraId="271FE409"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0D7BF67A"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67AB6B8D"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3649FA22"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4F0DB222"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9" w:type="pct"/>
            <w:vAlign w:val="center"/>
          </w:tcPr>
          <w:p w14:paraId="5B779CA4" w14:textId="77777777" w:rsidR="00A53EA0" w:rsidRPr="006B1E10" w:rsidRDefault="00A53EA0" w:rsidP="00A53EA0">
            <w:pPr>
              <w:rPr>
                <w:rFonts w:asciiTheme="minorHAnsi" w:hAnsiTheme="minorHAnsi"/>
                <w:color w:val="000000"/>
                <w:sz w:val="18"/>
                <w:szCs w:val="18"/>
                <w:highlight w:val="yellow"/>
              </w:rPr>
            </w:pPr>
          </w:p>
        </w:tc>
        <w:tc>
          <w:tcPr>
            <w:tcW w:w="249" w:type="pct"/>
            <w:shd w:val="clear" w:color="auto" w:fill="auto"/>
            <w:noWrap/>
            <w:vAlign w:val="center"/>
          </w:tcPr>
          <w:p w14:paraId="16C114B3"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Pr>
                <w:rFonts w:asciiTheme="minorHAnsi" w:hAnsiTheme="minorHAnsi"/>
                <w:sz w:val="18"/>
                <w:szCs w:val="18"/>
                <w:highlight w:val="yellow"/>
                <w:vertAlign w:val="superscript"/>
                <w:lang w:val="en-US"/>
              </w:rPr>
              <w:t>17</w:t>
            </w:r>
          </w:p>
        </w:tc>
        <w:tc>
          <w:tcPr>
            <w:tcW w:w="249" w:type="pct"/>
            <w:shd w:val="clear" w:color="auto" w:fill="auto"/>
            <w:noWrap/>
            <w:vAlign w:val="center"/>
          </w:tcPr>
          <w:p w14:paraId="0843D7B2"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FCO</w:t>
            </w:r>
          </w:p>
        </w:tc>
        <w:tc>
          <w:tcPr>
            <w:tcW w:w="249" w:type="pct"/>
            <w:shd w:val="clear" w:color="000000" w:fill="FFFFFF"/>
            <w:noWrap/>
            <w:vAlign w:val="center"/>
          </w:tcPr>
          <w:p w14:paraId="2DB671C6"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8" w:type="pct"/>
            <w:shd w:val="clear" w:color="auto" w:fill="auto"/>
            <w:noWrap/>
            <w:vAlign w:val="center"/>
          </w:tcPr>
          <w:p w14:paraId="4B3795EA"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9" w:type="pct"/>
            <w:shd w:val="clear" w:color="auto" w:fill="auto"/>
            <w:noWrap/>
            <w:vAlign w:val="center"/>
          </w:tcPr>
          <w:p w14:paraId="2E7F1BCF"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9" w:type="pct"/>
            <w:shd w:val="clear" w:color="auto" w:fill="auto"/>
            <w:noWrap/>
            <w:vAlign w:val="center"/>
          </w:tcPr>
          <w:p w14:paraId="5D5A99F5"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9" w:type="pct"/>
            <w:shd w:val="clear" w:color="auto" w:fill="auto"/>
            <w:noWrap/>
            <w:vAlign w:val="center"/>
          </w:tcPr>
          <w:p w14:paraId="77D129F6"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2E43BA0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77447B8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1943D3D8" w14:textId="77777777" w:rsidR="00A53EA0" w:rsidRPr="006B1E10" w:rsidRDefault="00A53EA0" w:rsidP="00A53EA0">
            <w:pPr>
              <w:rPr>
                <w:rFonts w:asciiTheme="minorHAnsi" w:hAnsiTheme="minorHAnsi"/>
                <w:sz w:val="18"/>
                <w:szCs w:val="18"/>
              </w:rPr>
            </w:pPr>
          </w:p>
        </w:tc>
        <w:tc>
          <w:tcPr>
            <w:tcW w:w="245" w:type="pct"/>
            <w:shd w:val="clear" w:color="auto" w:fill="auto"/>
            <w:noWrap/>
            <w:vAlign w:val="center"/>
          </w:tcPr>
          <w:p w14:paraId="5A22CB3A" w14:textId="77777777" w:rsidR="00A53EA0" w:rsidRPr="006B1E10" w:rsidRDefault="00A53EA0" w:rsidP="00A53EA0">
            <w:pPr>
              <w:rPr>
                <w:rFonts w:asciiTheme="minorHAnsi" w:hAnsiTheme="minorHAnsi"/>
                <w:sz w:val="18"/>
                <w:szCs w:val="18"/>
              </w:rPr>
            </w:pPr>
          </w:p>
        </w:tc>
      </w:tr>
    </w:tbl>
    <w:p w14:paraId="0F4D5A35"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041C7088"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58A59CE"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7A3F04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46AA3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CFCDD9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CCD89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C9D2B3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90809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6A26BA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00A0D6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CB06FA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7B70CB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4709E4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F75E28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880978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843111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FF40F9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106614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CCEC9B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34B38EC2" w14:textId="77777777" w:rsidTr="00A53EA0">
        <w:trPr>
          <w:trHeight w:val="454"/>
          <w:tblHeader/>
        </w:trPr>
        <w:tc>
          <w:tcPr>
            <w:tcW w:w="771" w:type="pct"/>
            <w:shd w:val="clear" w:color="auto" w:fill="auto"/>
            <w:noWrap/>
            <w:vAlign w:val="center"/>
          </w:tcPr>
          <w:p w14:paraId="5215D41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macitentan</w:t>
            </w:r>
          </w:p>
        </w:tc>
        <w:tc>
          <w:tcPr>
            <w:tcW w:w="249" w:type="pct"/>
            <w:shd w:val="clear" w:color="auto" w:fill="auto"/>
            <w:noWrap/>
            <w:vAlign w:val="center"/>
          </w:tcPr>
          <w:p w14:paraId="2A7669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BBAF42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343D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51BC1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4CC406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ACF016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76054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4B4DFA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79F54E0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52C04BF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630587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7BEBD7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B77A88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889B16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5671B8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F97C7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CCCB7C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EF6498C" w14:textId="77777777" w:rsidTr="00A53EA0">
        <w:trPr>
          <w:trHeight w:val="454"/>
          <w:tblHeader/>
        </w:trPr>
        <w:tc>
          <w:tcPr>
            <w:tcW w:w="771" w:type="pct"/>
            <w:shd w:val="clear" w:color="auto" w:fill="auto"/>
            <w:noWrap/>
            <w:vAlign w:val="center"/>
          </w:tcPr>
          <w:p w14:paraId="6778822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meperidina</w:t>
            </w:r>
          </w:p>
        </w:tc>
        <w:tc>
          <w:tcPr>
            <w:tcW w:w="249" w:type="pct"/>
            <w:shd w:val="clear" w:color="auto" w:fill="auto"/>
            <w:noWrap/>
            <w:vAlign w:val="center"/>
          </w:tcPr>
          <w:p w14:paraId="15266F5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E8AD7B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F816EC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3839B3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AE74F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6F1E5A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03239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879F48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69A5FB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1F9E6F5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C22D34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F0FD6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DA1338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C43145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4712E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51DEB8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7E09D1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4ABF6E2" w14:textId="77777777" w:rsidTr="00A53EA0">
        <w:trPr>
          <w:trHeight w:val="454"/>
          <w:tblHeader/>
        </w:trPr>
        <w:tc>
          <w:tcPr>
            <w:tcW w:w="771" w:type="pct"/>
            <w:shd w:val="clear" w:color="auto" w:fill="auto"/>
            <w:noWrap/>
            <w:vAlign w:val="center"/>
          </w:tcPr>
          <w:p w14:paraId="79707EC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metilergometrina=metilergonovina</w:t>
            </w:r>
          </w:p>
        </w:tc>
        <w:tc>
          <w:tcPr>
            <w:tcW w:w="249" w:type="pct"/>
            <w:shd w:val="clear" w:color="auto" w:fill="auto"/>
            <w:noWrap/>
            <w:vAlign w:val="center"/>
          </w:tcPr>
          <w:p w14:paraId="6BBCD9D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6FDA1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B1A9C3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6E6E8A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33783B3D"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2685749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8D5BD9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AD7E8D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80C011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7F9244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9492381"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5E3C6A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E49F19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5C68C7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D07A4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931F7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1CFF996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0C256321" w14:textId="77777777" w:rsidTr="00A53EA0">
        <w:trPr>
          <w:trHeight w:val="454"/>
          <w:tblHeader/>
        </w:trPr>
        <w:tc>
          <w:tcPr>
            <w:tcW w:w="771" w:type="pct"/>
            <w:shd w:val="clear" w:color="auto" w:fill="auto"/>
            <w:noWrap/>
            <w:vAlign w:val="center"/>
          </w:tcPr>
          <w:p w14:paraId="242AEB0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metotrexate</w:t>
            </w:r>
          </w:p>
        </w:tc>
        <w:tc>
          <w:tcPr>
            <w:tcW w:w="249" w:type="pct"/>
            <w:shd w:val="clear" w:color="auto" w:fill="auto"/>
            <w:noWrap/>
            <w:vAlign w:val="center"/>
          </w:tcPr>
          <w:p w14:paraId="1D867A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B0FB0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FC6D2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5F3210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B467FB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A9EE45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CAB2C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C7F8B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3B9DC72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2EEDAC8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F00D24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D906E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8FA42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3E700E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01A606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EF0477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72F3C04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AF442EC" w14:textId="77777777" w:rsidTr="00A53EA0">
        <w:trPr>
          <w:trHeight w:val="454"/>
          <w:tblHeader/>
        </w:trPr>
        <w:tc>
          <w:tcPr>
            <w:tcW w:w="771" w:type="pct"/>
            <w:shd w:val="clear" w:color="auto" w:fill="auto"/>
            <w:noWrap/>
            <w:vAlign w:val="center"/>
          </w:tcPr>
          <w:p w14:paraId="1158A6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midazolam (oral)</w:t>
            </w:r>
          </w:p>
        </w:tc>
        <w:tc>
          <w:tcPr>
            <w:tcW w:w="249" w:type="pct"/>
            <w:shd w:val="clear" w:color="auto" w:fill="auto"/>
            <w:noWrap/>
            <w:vAlign w:val="center"/>
          </w:tcPr>
          <w:p w14:paraId="1109C0C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E362A0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EF61E5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2F5B48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271ACA13"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49C7157E"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759064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3F68B74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F4B31EC"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72C7077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8776808"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77DECD1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96F424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C4D68F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0C1A6A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23082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AFC45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BA5F275" w14:textId="77777777" w:rsidTr="00A53EA0">
        <w:trPr>
          <w:trHeight w:val="454"/>
          <w:tblHeader/>
        </w:trPr>
        <w:tc>
          <w:tcPr>
            <w:tcW w:w="771" w:type="pct"/>
            <w:shd w:val="clear" w:color="auto" w:fill="auto"/>
            <w:noWrap/>
            <w:vAlign w:val="center"/>
          </w:tcPr>
          <w:p w14:paraId="07B84C54"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midostaurina</w:t>
            </w:r>
          </w:p>
        </w:tc>
        <w:tc>
          <w:tcPr>
            <w:tcW w:w="249" w:type="pct"/>
            <w:shd w:val="clear" w:color="auto" w:fill="auto"/>
            <w:noWrap/>
            <w:vAlign w:val="center"/>
          </w:tcPr>
          <w:p w14:paraId="4454D7E8" w14:textId="77777777" w:rsidR="00A53EA0" w:rsidRPr="006B1E10" w:rsidRDefault="00A53EA0" w:rsidP="00A53EA0">
            <w:pPr>
              <w:rPr>
                <w:rFonts w:asciiTheme="minorHAnsi" w:hAnsiTheme="minorHAnsi"/>
                <w:sz w:val="18"/>
                <w:szCs w:val="18"/>
                <w:highlight w:val="magenta"/>
              </w:rPr>
            </w:pPr>
          </w:p>
        </w:tc>
        <w:tc>
          <w:tcPr>
            <w:tcW w:w="250" w:type="pct"/>
            <w:vAlign w:val="center"/>
          </w:tcPr>
          <w:p w14:paraId="05EBAB43"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D15E3DC"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0BD34372"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42CF1BB2"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lang w:val="en-US"/>
              </w:rPr>
              <w:t>X C</w:t>
            </w:r>
          </w:p>
        </w:tc>
        <w:tc>
          <w:tcPr>
            <w:tcW w:w="249" w:type="pct"/>
            <w:vAlign w:val="center"/>
          </w:tcPr>
          <w:p w14:paraId="1E6646BF"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6</w:t>
            </w:r>
          </w:p>
        </w:tc>
        <w:tc>
          <w:tcPr>
            <w:tcW w:w="249" w:type="pct"/>
            <w:shd w:val="clear" w:color="auto" w:fill="auto"/>
            <w:noWrap/>
            <w:vAlign w:val="center"/>
          </w:tcPr>
          <w:p w14:paraId="54B4C103"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355D6FB3"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 xml:space="preserve">C </w:t>
            </w:r>
          </w:p>
        </w:tc>
        <w:tc>
          <w:tcPr>
            <w:tcW w:w="249" w:type="pct"/>
            <w:shd w:val="clear" w:color="auto" w:fill="auto"/>
            <w:noWrap/>
            <w:vAlign w:val="center"/>
          </w:tcPr>
          <w:p w14:paraId="5C92F72C"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0D214853"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Pr>
                <w:rFonts w:asciiTheme="minorHAnsi" w:hAnsiTheme="minorHAnsi"/>
                <w:sz w:val="18"/>
                <w:szCs w:val="18"/>
                <w:highlight w:val="yellow"/>
                <w:vertAlign w:val="superscript"/>
                <w:lang w:val="en-US"/>
              </w:rPr>
              <w:t>17</w:t>
            </w:r>
          </w:p>
        </w:tc>
        <w:tc>
          <w:tcPr>
            <w:tcW w:w="248" w:type="pct"/>
            <w:shd w:val="clear" w:color="auto" w:fill="auto"/>
            <w:noWrap/>
            <w:vAlign w:val="center"/>
          </w:tcPr>
          <w:p w14:paraId="50E05CDC"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p>
        </w:tc>
        <w:tc>
          <w:tcPr>
            <w:tcW w:w="249" w:type="pct"/>
            <w:shd w:val="clear" w:color="auto" w:fill="auto"/>
            <w:noWrap/>
            <w:vAlign w:val="center"/>
          </w:tcPr>
          <w:p w14:paraId="4A57536A"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1327EE24"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lang w:val="en-US"/>
              </w:rPr>
              <w:t>X C</w:t>
            </w:r>
          </w:p>
        </w:tc>
        <w:tc>
          <w:tcPr>
            <w:tcW w:w="249" w:type="pct"/>
            <w:shd w:val="clear" w:color="auto" w:fill="auto"/>
            <w:noWrap/>
            <w:vAlign w:val="center"/>
          </w:tcPr>
          <w:p w14:paraId="7DE78C61"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7015302"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48DA519D"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A79BE5C" w14:textId="77777777" w:rsidR="00A53EA0" w:rsidRPr="006B1E10" w:rsidRDefault="00A53EA0" w:rsidP="00A53EA0">
            <w:pPr>
              <w:rPr>
                <w:rFonts w:asciiTheme="minorHAnsi" w:hAnsiTheme="minorHAnsi"/>
                <w:sz w:val="18"/>
                <w:szCs w:val="18"/>
                <w:highlight w:val="magenta"/>
              </w:rPr>
            </w:pPr>
          </w:p>
        </w:tc>
        <w:tc>
          <w:tcPr>
            <w:tcW w:w="245" w:type="pct"/>
            <w:shd w:val="clear" w:color="auto" w:fill="auto"/>
            <w:noWrap/>
            <w:vAlign w:val="center"/>
          </w:tcPr>
          <w:p w14:paraId="2B88D6D2" w14:textId="77777777" w:rsidR="00A53EA0" w:rsidRPr="006B1E10" w:rsidRDefault="00A53EA0" w:rsidP="00A53EA0">
            <w:pPr>
              <w:rPr>
                <w:rFonts w:asciiTheme="minorHAnsi" w:hAnsiTheme="minorHAnsi"/>
                <w:sz w:val="18"/>
                <w:szCs w:val="18"/>
                <w:highlight w:val="magenta"/>
              </w:rPr>
            </w:pPr>
          </w:p>
        </w:tc>
      </w:tr>
      <w:tr w:rsidR="00A53EA0" w:rsidRPr="006B1E10" w14:paraId="5B643556" w14:textId="77777777" w:rsidTr="00A53EA0">
        <w:trPr>
          <w:trHeight w:val="454"/>
          <w:tblHeader/>
        </w:trPr>
        <w:tc>
          <w:tcPr>
            <w:tcW w:w="771" w:type="pct"/>
            <w:shd w:val="clear" w:color="auto" w:fill="auto"/>
            <w:noWrap/>
            <w:vAlign w:val="center"/>
          </w:tcPr>
          <w:p w14:paraId="685346D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mitomicina</w:t>
            </w:r>
          </w:p>
        </w:tc>
        <w:tc>
          <w:tcPr>
            <w:tcW w:w="249" w:type="pct"/>
            <w:shd w:val="clear" w:color="auto" w:fill="auto"/>
            <w:noWrap/>
            <w:vAlign w:val="center"/>
          </w:tcPr>
          <w:p w14:paraId="5DD2C7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A2C43F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F379A8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32FA0A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340E2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9109B7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D28997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99357E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49FCF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41F861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0C18AB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BF3B48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F613FE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0DEAA1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92EF36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93D0DE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464B8CC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2FA142E" w14:textId="77777777" w:rsidTr="00A53EA0">
        <w:trPr>
          <w:trHeight w:val="454"/>
          <w:tblHeader/>
        </w:trPr>
        <w:tc>
          <w:tcPr>
            <w:tcW w:w="771" w:type="pct"/>
            <w:shd w:val="clear" w:color="auto" w:fill="auto"/>
            <w:noWrap/>
            <w:vAlign w:val="center"/>
          </w:tcPr>
          <w:p w14:paraId="2E5F00E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mitotano</w:t>
            </w:r>
          </w:p>
        </w:tc>
        <w:tc>
          <w:tcPr>
            <w:tcW w:w="249" w:type="pct"/>
            <w:shd w:val="clear" w:color="auto" w:fill="auto"/>
            <w:noWrap/>
            <w:vAlign w:val="center"/>
          </w:tcPr>
          <w:p w14:paraId="0DB37864" w14:textId="77777777" w:rsidR="00A53EA0" w:rsidRPr="006B1E10" w:rsidRDefault="00A53EA0" w:rsidP="00A53EA0">
            <w:pPr>
              <w:rPr>
                <w:rFonts w:ascii="Calibri" w:hAnsi="Calibri"/>
                <w:color w:val="000000"/>
                <w:sz w:val="18"/>
                <w:szCs w:val="18"/>
              </w:rPr>
            </w:pPr>
          </w:p>
        </w:tc>
        <w:tc>
          <w:tcPr>
            <w:tcW w:w="250" w:type="pct"/>
            <w:vAlign w:val="center"/>
          </w:tcPr>
          <w:p w14:paraId="391E443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92B81B7" w14:textId="77777777" w:rsidR="00A53EA0" w:rsidRPr="006B1E10" w:rsidRDefault="00A53EA0" w:rsidP="00A53EA0">
            <w:pPr>
              <w:rPr>
                <w:rFonts w:ascii="Calibri" w:hAnsi="Calibri"/>
                <w:color w:val="000000"/>
                <w:sz w:val="18"/>
                <w:szCs w:val="18"/>
              </w:rPr>
            </w:pPr>
          </w:p>
        </w:tc>
        <w:tc>
          <w:tcPr>
            <w:tcW w:w="249" w:type="pct"/>
            <w:vAlign w:val="center"/>
          </w:tcPr>
          <w:p w14:paraId="751C28DC"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45888E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63886E2A"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3F72B3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C4163F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3A436F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3DDEA6A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1AD5D7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2E6980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3635EE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63C57E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05E5A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49221A"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DADE369" w14:textId="77777777" w:rsidR="00A53EA0" w:rsidRPr="006B1E10" w:rsidRDefault="00A53EA0" w:rsidP="00A53EA0">
            <w:pPr>
              <w:rPr>
                <w:rFonts w:ascii="Calibri" w:hAnsi="Calibri"/>
                <w:color w:val="000000"/>
                <w:sz w:val="18"/>
                <w:szCs w:val="18"/>
              </w:rPr>
            </w:pPr>
          </w:p>
        </w:tc>
      </w:tr>
      <w:tr w:rsidR="00A53EA0" w:rsidRPr="006B1E10" w14:paraId="66FE7FEA" w14:textId="77777777" w:rsidTr="00A53EA0">
        <w:trPr>
          <w:trHeight w:val="454"/>
          <w:tblHeader/>
        </w:trPr>
        <w:tc>
          <w:tcPr>
            <w:tcW w:w="771" w:type="pct"/>
            <w:shd w:val="clear" w:color="auto" w:fill="auto"/>
            <w:noWrap/>
            <w:vAlign w:val="center"/>
          </w:tcPr>
          <w:p w14:paraId="0EE4F06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modafinilo</w:t>
            </w:r>
          </w:p>
        </w:tc>
        <w:tc>
          <w:tcPr>
            <w:tcW w:w="249" w:type="pct"/>
            <w:shd w:val="clear" w:color="auto" w:fill="auto"/>
            <w:noWrap/>
            <w:vAlign w:val="center"/>
          </w:tcPr>
          <w:p w14:paraId="7FE80C3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4288D0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2B79F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7969676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5BB0081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0B3282EB"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6</w:t>
            </w:r>
          </w:p>
        </w:tc>
        <w:tc>
          <w:tcPr>
            <w:tcW w:w="249" w:type="pct"/>
            <w:shd w:val="clear" w:color="auto" w:fill="auto"/>
            <w:noWrap/>
            <w:vAlign w:val="center"/>
          </w:tcPr>
          <w:p w14:paraId="2BD525D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2B18C8D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70DD10D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8" w:type="pct"/>
            <w:shd w:val="clear" w:color="auto" w:fill="auto"/>
            <w:noWrap/>
            <w:vAlign w:val="center"/>
          </w:tcPr>
          <w:p w14:paraId="6BDB8E7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0F5A2B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4A70B3A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0A7FD3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7A9AC4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343DBD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D55A71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9F7EAFB" w14:textId="77777777" w:rsidR="00A53EA0" w:rsidRPr="006B1E10" w:rsidRDefault="00A53EA0" w:rsidP="00A53EA0">
            <w:pPr>
              <w:rPr>
                <w:rFonts w:ascii="Calibri" w:hAnsi="Calibri"/>
                <w:color w:val="000000"/>
                <w:sz w:val="18"/>
                <w:szCs w:val="18"/>
              </w:rPr>
            </w:pPr>
          </w:p>
        </w:tc>
      </w:tr>
      <w:tr w:rsidR="00A53EA0" w:rsidRPr="006B1E10" w14:paraId="741DF7B1" w14:textId="77777777" w:rsidTr="00A53EA0">
        <w:trPr>
          <w:trHeight w:val="454"/>
          <w:tblHeader/>
        </w:trPr>
        <w:tc>
          <w:tcPr>
            <w:tcW w:w="771" w:type="pct"/>
            <w:shd w:val="clear" w:color="auto" w:fill="auto"/>
            <w:noWrap/>
            <w:vAlign w:val="center"/>
          </w:tcPr>
          <w:p w14:paraId="4C7E20F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mometasona</w:t>
            </w:r>
          </w:p>
        </w:tc>
        <w:tc>
          <w:tcPr>
            <w:tcW w:w="249" w:type="pct"/>
            <w:shd w:val="clear" w:color="auto" w:fill="auto"/>
            <w:noWrap/>
            <w:vAlign w:val="center"/>
          </w:tcPr>
          <w:p w14:paraId="1DC30E87" w14:textId="77777777" w:rsidR="00A53EA0" w:rsidRPr="006B1E10" w:rsidRDefault="00A53EA0" w:rsidP="00A53EA0">
            <w:pPr>
              <w:rPr>
                <w:rFonts w:ascii="Calibri" w:hAnsi="Calibri"/>
                <w:color w:val="000000"/>
                <w:sz w:val="18"/>
                <w:szCs w:val="18"/>
              </w:rPr>
            </w:pPr>
          </w:p>
        </w:tc>
        <w:tc>
          <w:tcPr>
            <w:tcW w:w="250" w:type="pct"/>
            <w:vAlign w:val="center"/>
          </w:tcPr>
          <w:p w14:paraId="5F111B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53EC8C" w14:textId="77777777" w:rsidR="00A53EA0" w:rsidRPr="006B1E10" w:rsidRDefault="00A53EA0" w:rsidP="00A53EA0">
            <w:pPr>
              <w:rPr>
                <w:rFonts w:ascii="Calibri" w:hAnsi="Calibri"/>
                <w:color w:val="000000"/>
                <w:sz w:val="18"/>
                <w:szCs w:val="18"/>
              </w:rPr>
            </w:pPr>
          </w:p>
        </w:tc>
        <w:tc>
          <w:tcPr>
            <w:tcW w:w="249" w:type="pct"/>
            <w:vAlign w:val="center"/>
          </w:tcPr>
          <w:p w14:paraId="64A672F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094C8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vAlign w:val="center"/>
          </w:tcPr>
          <w:p w14:paraId="46CB19D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8AA869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FA785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3E79D0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8</w:t>
            </w:r>
          </w:p>
        </w:tc>
        <w:tc>
          <w:tcPr>
            <w:tcW w:w="248" w:type="pct"/>
            <w:shd w:val="clear" w:color="auto" w:fill="auto"/>
            <w:noWrap/>
            <w:vAlign w:val="center"/>
          </w:tcPr>
          <w:p w14:paraId="477F5C2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7BFEF26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Pr>
                <w:rFonts w:ascii="Calibri" w:hAnsi="Calibri"/>
                <w:sz w:val="18"/>
                <w:szCs w:val="18"/>
                <w:vertAlign w:val="superscript"/>
                <w:lang w:val="en-US" w:eastAsia="en-US"/>
              </w:rPr>
              <w:t>8</w:t>
            </w:r>
          </w:p>
        </w:tc>
        <w:tc>
          <w:tcPr>
            <w:tcW w:w="249" w:type="pct"/>
            <w:shd w:val="clear" w:color="auto" w:fill="auto"/>
            <w:noWrap/>
            <w:vAlign w:val="center"/>
          </w:tcPr>
          <w:p w14:paraId="7EA60FA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43B3DA1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5C20BB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047DB7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FBA8333"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1480CBF" w14:textId="77777777" w:rsidR="00A53EA0" w:rsidRPr="006B1E10" w:rsidRDefault="00A53EA0" w:rsidP="00A53EA0">
            <w:pPr>
              <w:rPr>
                <w:rFonts w:ascii="Calibri" w:hAnsi="Calibri"/>
                <w:color w:val="000000"/>
                <w:sz w:val="18"/>
                <w:szCs w:val="18"/>
              </w:rPr>
            </w:pPr>
          </w:p>
        </w:tc>
      </w:tr>
      <w:tr w:rsidR="00A53EA0" w:rsidRPr="006B1E10" w14:paraId="1C3E370F" w14:textId="77777777" w:rsidTr="00A53EA0">
        <w:trPr>
          <w:trHeight w:val="454"/>
          <w:tblHeader/>
        </w:trPr>
        <w:tc>
          <w:tcPr>
            <w:tcW w:w="771" w:type="pct"/>
            <w:shd w:val="clear" w:color="auto" w:fill="auto"/>
            <w:noWrap/>
            <w:vAlign w:val="center"/>
          </w:tcPr>
          <w:p w14:paraId="3CB428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naloxegol</w:t>
            </w:r>
          </w:p>
        </w:tc>
        <w:tc>
          <w:tcPr>
            <w:tcW w:w="249" w:type="pct"/>
            <w:shd w:val="clear" w:color="auto" w:fill="auto"/>
            <w:noWrap/>
            <w:vAlign w:val="center"/>
          </w:tcPr>
          <w:p w14:paraId="667BEF10" w14:textId="77777777" w:rsidR="00A53EA0" w:rsidRPr="006B1E10" w:rsidRDefault="00A53EA0" w:rsidP="00A53EA0">
            <w:pPr>
              <w:rPr>
                <w:rFonts w:ascii="Calibri" w:hAnsi="Calibri"/>
                <w:color w:val="000000"/>
                <w:sz w:val="18"/>
                <w:szCs w:val="18"/>
              </w:rPr>
            </w:pPr>
          </w:p>
        </w:tc>
        <w:tc>
          <w:tcPr>
            <w:tcW w:w="250" w:type="pct"/>
            <w:vAlign w:val="center"/>
          </w:tcPr>
          <w:p w14:paraId="3B8F1CC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4F70E1" w14:textId="77777777" w:rsidR="00A53EA0" w:rsidRPr="006B1E10" w:rsidRDefault="00A53EA0" w:rsidP="00A53EA0">
            <w:pPr>
              <w:rPr>
                <w:rFonts w:ascii="Calibri" w:hAnsi="Calibri"/>
                <w:color w:val="000000"/>
                <w:sz w:val="18"/>
                <w:szCs w:val="18"/>
              </w:rPr>
            </w:pPr>
          </w:p>
        </w:tc>
        <w:tc>
          <w:tcPr>
            <w:tcW w:w="249" w:type="pct"/>
            <w:vAlign w:val="center"/>
          </w:tcPr>
          <w:p w14:paraId="0EAA543D"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376E5C3C"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1FD54CD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F225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8A7DF67"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0B326EBA"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FFFFFF"/>
            <w:noWrap/>
            <w:vAlign w:val="center"/>
          </w:tcPr>
          <w:p w14:paraId="28CE9629"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18636C6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3942662A"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3561C5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9893F1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4561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C38572"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30E354F0" w14:textId="77777777" w:rsidR="00A53EA0" w:rsidRPr="006B1E10" w:rsidRDefault="00A53EA0" w:rsidP="00A53EA0">
            <w:pPr>
              <w:rPr>
                <w:rFonts w:ascii="Calibri" w:hAnsi="Calibri"/>
                <w:color w:val="000000"/>
                <w:sz w:val="18"/>
                <w:szCs w:val="18"/>
              </w:rPr>
            </w:pPr>
          </w:p>
        </w:tc>
      </w:tr>
      <w:tr w:rsidR="00A53EA0" w:rsidRPr="006B1E10" w14:paraId="28E69673" w14:textId="77777777" w:rsidTr="00A53EA0">
        <w:trPr>
          <w:trHeight w:val="454"/>
          <w:tblHeader/>
        </w:trPr>
        <w:tc>
          <w:tcPr>
            <w:tcW w:w="771" w:type="pct"/>
            <w:shd w:val="clear" w:color="auto" w:fill="auto"/>
            <w:noWrap/>
            <w:vAlign w:val="center"/>
          </w:tcPr>
          <w:p w14:paraId="19D2F2F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nevirapina (NVP)</w:t>
            </w:r>
          </w:p>
        </w:tc>
        <w:tc>
          <w:tcPr>
            <w:tcW w:w="249" w:type="pct"/>
            <w:shd w:val="clear" w:color="auto" w:fill="auto"/>
            <w:noWrap/>
            <w:vAlign w:val="center"/>
          </w:tcPr>
          <w:p w14:paraId="4CBF061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rPr>
              <w:t xml:space="preserve">X </w:t>
            </w:r>
            <w:r w:rsidRPr="006B1E10">
              <w:rPr>
                <w:rFonts w:ascii="Calibri" w:hAnsi="Calibri"/>
                <w:color w:val="000000"/>
                <w:sz w:val="18"/>
                <w:szCs w:val="18"/>
              </w:rPr>
              <w:t>NR</w:t>
            </w:r>
            <w:r>
              <w:rPr>
                <w:rFonts w:ascii="Calibri" w:hAnsi="Calibri"/>
                <w:color w:val="000000"/>
                <w:sz w:val="18"/>
                <w:szCs w:val="18"/>
                <w:vertAlign w:val="superscript"/>
              </w:rPr>
              <w:t>9</w:t>
            </w:r>
          </w:p>
        </w:tc>
        <w:tc>
          <w:tcPr>
            <w:tcW w:w="250" w:type="pct"/>
            <w:vAlign w:val="center"/>
          </w:tcPr>
          <w:p w14:paraId="575A0BA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47D06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B7B45E9"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335C82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themeFill="background1" w:themeFillShade="BF"/>
            <w:vAlign w:val="center"/>
          </w:tcPr>
          <w:p w14:paraId="414C1EBD"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04416B3"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6F2799EE"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5D49358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val="en-US" w:eastAsia="en-US"/>
              </w:rPr>
              <w:t>i</w:t>
            </w:r>
          </w:p>
        </w:tc>
        <w:tc>
          <w:tcPr>
            <w:tcW w:w="248" w:type="pct"/>
            <w:shd w:val="clear" w:color="auto" w:fill="FFFFFF"/>
            <w:noWrap/>
            <w:vAlign w:val="center"/>
          </w:tcPr>
          <w:p w14:paraId="5C981FE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530C341C"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1637FE8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7D2D1BA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68B750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F150B1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5568B9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43679AC" w14:textId="77777777" w:rsidR="00A53EA0" w:rsidRPr="006B1E10" w:rsidRDefault="00A53EA0" w:rsidP="00A53EA0">
            <w:pPr>
              <w:rPr>
                <w:rFonts w:ascii="Calibri" w:hAnsi="Calibri"/>
                <w:color w:val="000000"/>
                <w:sz w:val="18"/>
                <w:szCs w:val="18"/>
              </w:rPr>
            </w:pPr>
          </w:p>
        </w:tc>
      </w:tr>
      <w:tr w:rsidR="00A53EA0" w:rsidRPr="006B1E10" w14:paraId="789258A4" w14:textId="77777777" w:rsidTr="00A53EA0">
        <w:trPr>
          <w:trHeight w:val="454"/>
          <w:tblHeader/>
        </w:trPr>
        <w:tc>
          <w:tcPr>
            <w:tcW w:w="771" w:type="pct"/>
            <w:shd w:val="clear" w:color="auto" w:fill="auto"/>
            <w:noWrap/>
            <w:vAlign w:val="center"/>
          </w:tcPr>
          <w:p w14:paraId="312680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nilotinib</w:t>
            </w:r>
          </w:p>
        </w:tc>
        <w:tc>
          <w:tcPr>
            <w:tcW w:w="249" w:type="pct"/>
            <w:shd w:val="clear" w:color="auto" w:fill="auto"/>
            <w:noWrap/>
            <w:vAlign w:val="center"/>
          </w:tcPr>
          <w:p w14:paraId="2D2B46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038B14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9F53AF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FE5129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2070F6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9" w:type="pct"/>
            <w:vAlign w:val="center"/>
          </w:tcPr>
          <w:p w14:paraId="13E6FFD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1FF1CD1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1A550FF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4C5179A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8" w:type="pct"/>
            <w:shd w:val="clear" w:color="auto" w:fill="auto"/>
            <w:noWrap/>
            <w:vAlign w:val="center"/>
          </w:tcPr>
          <w:p w14:paraId="6CB5B59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9" w:type="pct"/>
            <w:shd w:val="clear" w:color="auto" w:fill="auto"/>
            <w:noWrap/>
            <w:vAlign w:val="center"/>
          </w:tcPr>
          <w:p w14:paraId="12054B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9" w:type="pct"/>
            <w:shd w:val="clear" w:color="auto" w:fill="auto"/>
            <w:noWrap/>
            <w:vAlign w:val="center"/>
          </w:tcPr>
          <w:p w14:paraId="701E58F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r w:rsidRPr="006B1E10">
              <w:rPr>
                <w:rFonts w:ascii="Calibri" w:hAnsi="Calibri"/>
                <w:color w:val="000000"/>
                <w:sz w:val="18"/>
                <w:szCs w:val="18"/>
              </w:rPr>
              <w:t> </w:t>
            </w:r>
          </w:p>
        </w:tc>
        <w:tc>
          <w:tcPr>
            <w:tcW w:w="249" w:type="pct"/>
            <w:shd w:val="clear" w:color="auto" w:fill="auto"/>
            <w:noWrap/>
            <w:vAlign w:val="center"/>
          </w:tcPr>
          <w:p w14:paraId="5748E5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2989E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4011BB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991674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A346EF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bl>
    <w:p w14:paraId="215F7408"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220030C9"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5F31279"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918954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24BA0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F00D56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08128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6BCC3A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A9BC8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4B1392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DE9EE3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264F0D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57997F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4C8C43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51C3CC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753C2F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6AFAB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A21CDF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DE699F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2ADD63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6BCC2A4A" w14:textId="77777777" w:rsidTr="00A53EA0">
        <w:trPr>
          <w:trHeight w:val="454"/>
          <w:tblHeader/>
        </w:trPr>
        <w:tc>
          <w:tcPr>
            <w:tcW w:w="771" w:type="pct"/>
            <w:shd w:val="clear" w:color="auto" w:fill="auto"/>
            <w:noWrap/>
            <w:vAlign w:val="center"/>
          </w:tcPr>
          <w:p w14:paraId="7C5C4D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noretindrona (noretisterona)</w:t>
            </w:r>
          </w:p>
        </w:tc>
        <w:tc>
          <w:tcPr>
            <w:tcW w:w="249" w:type="pct"/>
            <w:shd w:val="clear" w:color="auto" w:fill="auto"/>
            <w:noWrap/>
            <w:vAlign w:val="center"/>
          </w:tcPr>
          <w:p w14:paraId="7C27A00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732CEF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3398F0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231B29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9D7F5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02BB5D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7EC465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E53186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64DCD68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71DE29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08A788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B3E72F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5CD2F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BAD66E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651DF2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DEA7AD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77843C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660C7234" w14:textId="77777777" w:rsidTr="00A53EA0">
        <w:trPr>
          <w:trHeight w:val="454"/>
          <w:tblHeader/>
        </w:trPr>
        <w:tc>
          <w:tcPr>
            <w:tcW w:w="771" w:type="pct"/>
            <w:shd w:val="clear" w:color="auto" w:fill="auto"/>
            <w:noWrap/>
            <w:vAlign w:val="center"/>
          </w:tcPr>
          <w:p w14:paraId="127F374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norgestimato (+etinilestradiol)</w:t>
            </w:r>
          </w:p>
        </w:tc>
        <w:tc>
          <w:tcPr>
            <w:tcW w:w="249" w:type="pct"/>
            <w:shd w:val="clear" w:color="auto" w:fill="auto"/>
            <w:noWrap/>
            <w:vAlign w:val="center"/>
          </w:tcPr>
          <w:p w14:paraId="35790CF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FF4307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5F3DD9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788785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7C977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BCA7FA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8EF21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0EA5BC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79D0ECE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5F1DC03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36518D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875BAE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7910E5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2E0A75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F810F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54C9D9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747517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D3172BD" w14:textId="77777777" w:rsidTr="00A53EA0">
        <w:trPr>
          <w:trHeight w:val="454"/>
          <w:tblHeader/>
        </w:trPr>
        <w:tc>
          <w:tcPr>
            <w:tcW w:w="771" w:type="pct"/>
            <w:shd w:val="clear" w:color="auto" w:fill="auto"/>
            <w:noWrap/>
            <w:vAlign w:val="center"/>
          </w:tcPr>
          <w:p w14:paraId="06863565"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olaparib</w:t>
            </w:r>
          </w:p>
        </w:tc>
        <w:tc>
          <w:tcPr>
            <w:tcW w:w="249" w:type="pct"/>
            <w:shd w:val="clear" w:color="auto" w:fill="auto"/>
            <w:noWrap/>
            <w:vAlign w:val="center"/>
          </w:tcPr>
          <w:p w14:paraId="65BB2ADF" w14:textId="77777777" w:rsidR="00A53EA0" w:rsidRPr="006B1E10" w:rsidRDefault="00A53EA0" w:rsidP="00A53EA0">
            <w:pPr>
              <w:rPr>
                <w:rFonts w:asciiTheme="minorHAnsi" w:hAnsiTheme="minorHAnsi"/>
                <w:sz w:val="18"/>
                <w:szCs w:val="18"/>
                <w:highlight w:val="magenta"/>
              </w:rPr>
            </w:pPr>
          </w:p>
        </w:tc>
        <w:tc>
          <w:tcPr>
            <w:tcW w:w="250" w:type="pct"/>
            <w:vAlign w:val="center"/>
          </w:tcPr>
          <w:p w14:paraId="58689C47"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404045E1"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7CC5ACC4"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FFFFFF"/>
            <w:noWrap/>
            <w:vAlign w:val="center"/>
          </w:tcPr>
          <w:p w14:paraId="4681C7D9"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30</w:t>
            </w:r>
          </w:p>
        </w:tc>
        <w:tc>
          <w:tcPr>
            <w:tcW w:w="249" w:type="pct"/>
            <w:vAlign w:val="center"/>
          </w:tcPr>
          <w:p w14:paraId="7BDCB85B"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5D9963CF"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6096D3A4"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15421372" w14:textId="77777777" w:rsidR="00A53EA0" w:rsidRPr="006B1E10" w:rsidRDefault="00A53EA0" w:rsidP="00A53EA0">
            <w:pPr>
              <w:rPr>
                <w:rFonts w:asciiTheme="minorHAnsi" w:hAnsiTheme="minorHAnsi"/>
                <w:color w:val="000000"/>
                <w:sz w:val="18"/>
                <w:szCs w:val="18"/>
                <w:highlight w:val="yellow"/>
                <w:vertAlign w:val="superscript"/>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30</w:t>
            </w:r>
          </w:p>
        </w:tc>
        <w:tc>
          <w:tcPr>
            <w:tcW w:w="248" w:type="pct"/>
            <w:shd w:val="clear" w:color="auto" w:fill="FFFFFF"/>
            <w:noWrap/>
            <w:vAlign w:val="center"/>
          </w:tcPr>
          <w:p w14:paraId="22F0C03A"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30</w:t>
            </w:r>
          </w:p>
        </w:tc>
        <w:tc>
          <w:tcPr>
            <w:tcW w:w="249" w:type="pct"/>
            <w:shd w:val="clear" w:color="auto" w:fill="auto"/>
            <w:noWrap/>
            <w:vAlign w:val="center"/>
          </w:tcPr>
          <w:p w14:paraId="090B3350"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30</w:t>
            </w:r>
          </w:p>
        </w:tc>
        <w:tc>
          <w:tcPr>
            <w:tcW w:w="249" w:type="pct"/>
            <w:shd w:val="clear" w:color="auto" w:fill="FFFFFF"/>
            <w:noWrap/>
            <w:vAlign w:val="center"/>
          </w:tcPr>
          <w:p w14:paraId="0DBC270F"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30</w:t>
            </w:r>
          </w:p>
        </w:tc>
        <w:tc>
          <w:tcPr>
            <w:tcW w:w="249" w:type="pct"/>
            <w:shd w:val="clear" w:color="auto" w:fill="auto"/>
            <w:noWrap/>
            <w:vAlign w:val="center"/>
          </w:tcPr>
          <w:p w14:paraId="06331743"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71100A4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0F6734B1"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055D1730" w14:textId="77777777" w:rsidR="00A53EA0" w:rsidRPr="006B1E10" w:rsidRDefault="00A53EA0" w:rsidP="00A53EA0">
            <w:pPr>
              <w:rPr>
                <w:rFonts w:asciiTheme="minorHAnsi" w:hAnsiTheme="minorHAnsi"/>
                <w:sz w:val="18"/>
                <w:szCs w:val="18"/>
                <w:highlight w:val="yellow"/>
              </w:rPr>
            </w:pPr>
          </w:p>
        </w:tc>
        <w:tc>
          <w:tcPr>
            <w:tcW w:w="245" w:type="pct"/>
            <w:shd w:val="clear" w:color="auto" w:fill="auto"/>
            <w:noWrap/>
            <w:vAlign w:val="center"/>
          </w:tcPr>
          <w:p w14:paraId="5F4F3858" w14:textId="77777777" w:rsidR="00A53EA0" w:rsidRPr="006B1E10" w:rsidRDefault="00A53EA0" w:rsidP="00A53EA0">
            <w:pPr>
              <w:rPr>
                <w:rFonts w:asciiTheme="minorHAnsi" w:hAnsiTheme="minorHAnsi"/>
                <w:sz w:val="18"/>
                <w:szCs w:val="18"/>
                <w:highlight w:val="yellow"/>
              </w:rPr>
            </w:pPr>
          </w:p>
        </w:tc>
      </w:tr>
      <w:tr w:rsidR="00A53EA0" w:rsidRPr="006B1E10" w14:paraId="20D43D5E" w14:textId="77777777" w:rsidTr="00A53EA0">
        <w:trPr>
          <w:trHeight w:val="454"/>
          <w:tblHeader/>
        </w:trPr>
        <w:tc>
          <w:tcPr>
            <w:tcW w:w="771" w:type="pct"/>
            <w:shd w:val="clear" w:color="auto" w:fill="auto"/>
            <w:noWrap/>
            <w:vAlign w:val="center"/>
          </w:tcPr>
          <w:p w14:paraId="6D0BB6A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ombitasvir/paritaprevir/r/dasabuvir </w:t>
            </w:r>
            <w:r w:rsidRPr="006B1E10">
              <w:rPr>
                <w:rFonts w:ascii="Calibri" w:hAnsi="Calibri"/>
                <w:color w:val="000000"/>
                <w:sz w:val="18"/>
                <w:szCs w:val="18"/>
                <w:highlight w:val="yellow"/>
              </w:rPr>
              <w:t>(no comercializado en España)</w:t>
            </w:r>
          </w:p>
        </w:tc>
        <w:tc>
          <w:tcPr>
            <w:tcW w:w="249" w:type="pct"/>
            <w:shd w:val="clear" w:color="auto" w:fill="auto"/>
            <w:noWrap/>
            <w:vAlign w:val="center"/>
          </w:tcPr>
          <w:p w14:paraId="756AA6B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789AA8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760730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A29E04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638D227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6B1E10">
              <w:rPr>
                <w:rFonts w:ascii="Calibri" w:hAnsi="Calibri"/>
                <w:color w:val="000000"/>
                <w:sz w:val="18"/>
                <w:szCs w:val="18"/>
                <w:vertAlign w:val="superscript"/>
              </w:rPr>
              <w:t xml:space="preserve"> </w:t>
            </w:r>
          </w:p>
        </w:tc>
        <w:tc>
          <w:tcPr>
            <w:tcW w:w="249" w:type="pct"/>
            <w:vAlign w:val="center"/>
          </w:tcPr>
          <w:p w14:paraId="386FE49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37A0E83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32F88541"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31CE635" w14:textId="77777777" w:rsidR="00A53EA0" w:rsidRPr="006B1E10" w:rsidRDefault="00A53EA0" w:rsidP="00A53EA0">
            <w:pPr>
              <w:rPr>
                <w:rFonts w:ascii="Calibri" w:hAnsi="Calibri"/>
                <w:color w:val="000000"/>
                <w:sz w:val="18"/>
                <w:szCs w:val="18"/>
                <w:vertAlign w:val="superscript"/>
              </w:rPr>
            </w:pPr>
            <w:r w:rsidRPr="006B1E10">
              <w:rPr>
                <w:rFonts w:ascii="Calibri" w:hAnsi="Calibri"/>
                <w:color w:val="000000"/>
                <w:sz w:val="18"/>
                <w:szCs w:val="18"/>
              </w:rPr>
              <w:t>ARV</w:t>
            </w:r>
            <w:r>
              <w:rPr>
                <w:rFonts w:ascii="Calibri" w:hAnsi="Calibri"/>
                <w:color w:val="000000"/>
                <w:sz w:val="18"/>
                <w:szCs w:val="18"/>
                <w:vertAlign w:val="superscript"/>
              </w:rPr>
              <w:t>31</w:t>
            </w:r>
          </w:p>
        </w:tc>
        <w:tc>
          <w:tcPr>
            <w:tcW w:w="248" w:type="pct"/>
            <w:shd w:val="clear" w:color="auto" w:fill="FFFFFF"/>
            <w:noWrap/>
            <w:vAlign w:val="center"/>
          </w:tcPr>
          <w:p w14:paraId="06B83FB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65704B3C" w14:textId="77777777" w:rsidR="00A53EA0" w:rsidRPr="006B1E10" w:rsidRDefault="00A53EA0" w:rsidP="00A53EA0">
            <w:pPr>
              <w:rPr>
                <w:rFonts w:ascii="Calibri" w:hAnsi="Calibri"/>
                <w:color w:val="000000"/>
                <w:sz w:val="18"/>
                <w:szCs w:val="18"/>
                <w:vertAlign w:val="superscript"/>
              </w:rPr>
            </w:pPr>
            <w:r w:rsidRPr="006B1E10">
              <w:rPr>
                <w:rFonts w:ascii="Calibri" w:hAnsi="Calibri"/>
                <w:color w:val="000000"/>
                <w:sz w:val="18"/>
                <w:szCs w:val="18"/>
              </w:rPr>
              <w:t>ARV</w:t>
            </w:r>
            <w:r>
              <w:rPr>
                <w:rFonts w:ascii="Calibri" w:hAnsi="Calibri"/>
                <w:color w:val="000000"/>
                <w:sz w:val="18"/>
                <w:szCs w:val="18"/>
                <w:vertAlign w:val="superscript"/>
              </w:rPr>
              <w:t>31</w:t>
            </w:r>
          </w:p>
        </w:tc>
        <w:tc>
          <w:tcPr>
            <w:tcW w:w="249" w:type="pct"/>
            <w:shd w:val="clear" w:color="auto" w:fill="FFFFFF"/>
            <w:noWrap/>
            <w:vAlign w:val="center"/>
          </w:tcPr>
          <w:p w14:paraId="200316C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18DA09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1579C7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919B3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A06548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FE50A9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F201372" w14:textId="77777777" w:rsidTr="00A53EA0">
        <w:trPr>
          <w:trHeight w:val="454"/>
          <w:tblHeader/>
        </w:trPr>
        <w:tc>
          <w:tcPr>
            <w:tcW w:w="771" w:type="pct"/>
            <w:shd w:val="clear" w:color="auto" w:fill="auto"/>
            <w:noWrap/>
            <w:vAlign w:val="center"/>
          </w:tcPr>
          <w:p w14:paraId="0942F1F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omeprazol</w:t>
            </w:r>
          </w:p>
        </w:tc>
        <w:tc>
          <w:tcPr>
            <w:tcW w:w="249" w:type="pct"/>
            <w:shd w:val="clear" w:color="auto" w:fill="auto"/>
            <w:noWrap/>
            <w:vAlign w:val="center"/>
          </w:tcPr>
          <w:p w14:paraId="6848D6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D6B737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3A26E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7F3310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7ABB8F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1E3F87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1C0603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C3846D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auto"/>
            <w:noWrap/>
            <w:vAlign w:val="center"/>
          </w:tcPr>
          <w:p w14:paraId="36039C8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20</w:t>
            </w:r>
          </w:p>
        </w:tc>
        <w:tc>
          <w:tcPr>
            <w:tcW w:w="248" w:type="pct"/>
            <w:shd w:val="clear" w:color="auto" w:fill="auto"/>
            <w:noWrap/>
            <w:vAlign w:val="center"/>
          </w:tcPr>
          <w:p w14:paraId="43988D6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color w:val="000000"/>
                <w:sz w:val="18"/>
                <w:szCs w:val="18"/>
              </w:rPr>
              <w:t xml:space="preserve"> </w:t>
            </w:r>
          </w:p>
        </w:tc>
        <w:tc>
          <w:tcPr>
            <w:tcW w:w="249" w:type="pct"/>
            <w:shd w:val="clear" w:color="auto" w:fill="auto"/>
            <w:noWrap/>
            <w:vAlign w:val="center"/>
          </w:tcPr>
          <w:p w14:paraId="4E75A8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2D2AD7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75454B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942BEB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09AF18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32FD43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CECAFC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DA07D4C" w14:textId="77777777" w:rsidTr="00A53EA0">
        <w:trPr>
          <w:trHeight w:val="454"/>
          <w:tblHeader/>
        </w:trPr>
        <w:tc>
          <w:tcPr>
            <w:tcW w:w="771" w:type="pct"/>
            <w:shd w:val="clear" w:color="auto" w:fill="auto"/>
            <w:noWrap/>
            <w:vAlign w:val="center"/>
          </w:tcPr>
          <w:p w14:paraId="6C96F86B"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osimertinib</w:t>
            </w:r>
          </w:p>
        </w:tc>
        <w:tc>
          <w:tcPr>
            <w:tcW w:w="249" w:type="pct"/>
            <w:shd w:val="clear" w:color="auto" w:fill="FFFFFF"/>
            <w:noWrap/>
            <w:vAlign w:val="center"/>
          </w:tcPr>
          <w:p w14:paraId="76C5124F" w14:textId="77777777" w:rsidR="00A53EA0" w:rsidRPr="006B1E10" w:rsidRDefault="00A53EA0" w:rsidP="00A53EA0">
            <w:pPr>
              <w:rPr>
                <w:rFonts w:asciiTheme="minorHAnsi" w:hAnsiTheme="minorHAnsi"/>
                <w:sz w:val="18"/>
                <w:szCs w:val="18"/>
                <w:highlight w:val="yellow"/>
                <w:lang w:val="en-US"/>
              </w:rPr>
            </w:pPr>
          </w:p>
        </w:tc>
        <w:tc>
          <w:tcPr>
            <w:tcW w:w="250" w:type="pct"/>
            <w:vAlign w:val="center"/>
          </w:tcPr>
          <w:p w14:paraId="015C6135"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5009CF26"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235CB4A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68C4E47"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3FA3D62E"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FFFFFF"/>
            <w:noWrap/>
            <w:vAlign w:val="center"/>
          </w:tcPr>
          <w:p w14:paraId="0B5C7B21" w14:textId="77777777" w:rsidR="00A53EA0" w:rsidRPr="006B1E10" w:rsidRDefault="00A53EA0" w:rsidP="00A53EA0">
            <w:pPr>
              <w:rPr>
                <w:rFonts w:asciiTheme="minorHAnsi" w:hAnsiTheme="minorHAnsi"/>
                <w:color w:val="FF0000"/>
                <w:sz w:val="18"/>
                <w:szCs w:val="18"/>
                <w:highlight w:val="magenta"/>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sidRPr="006B1E10">
              <w:rPr>
                <w:rFonts w:asciiTheme="minorHAnsi" w:hAnsiTheme="minorHAnsi"/>
                <w:sz w:val="18"/>
                <w:szCs w:val="18"/>
                <w:highlight w:val="yellow"/>
                <w:vertAlign w:val="superscript"/>
                <w:lang w:val="es-ES_tradnl"/>
              </w:rPr>
              <w:t xml:space="preserve"> </w:t>
            </w:r>
            <w:r>
              <w:rPr>
                <w:rFonts w:asciiTheme="minorHAnsi" w:hAnsiTheme="minorHAnsi"/>
                <w:sz w:val="18"/>
                <w:szCs w:val="18"/>
                <w:highlight w:val="yellow"/>
                <w:vertAlign w:val="superscript"/>
                <w:lang w:val="es-ES_tradnl"/>
              </w:rPr>
              <w:t>17</w:t>
            </w:r>
          </w:p>
        </w:tc>
        <w:tc>
          <w:tcPr>
            <w:tcW w:w="249" w:type="pct"/>
            <w:shd w:val="clear" w:color="auto" w:fill="auto"/>
            <w:noWrap/>
            <w:vAlign w:val="center"/>
          </w:tcPr>
          <w:p w14:paraId="75EC6159" w14:textId="77777777" w:rsidR="00A53EA0" w:rsidRPr="006B1E10" w:rsidRDefault="00A53EA0" w:rsidP="00A53EA0">
            <w:pPr>
              <w:rPr>
                <w:rFonts w:asciiTheme="minorHAnsi" w:hAnsiTheme="minorHAnsi"/>
                <w:color w:val="000000"/>
                <w:sz w:val="18"/>
                <w:szCs w:val="18"/>
                <w:highlight w:val="magenta"/>
              </w:rPr>
            </w:pPr>
            <w:r w:rsidRPr="00016EE4">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085F94A9"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sidRPr="006B1E10">
              <w:rPr>
                <w:rFonts w:ascii="Calibri" w:hAnsi="Calibri"/>
                <w:sz w:val="18"/>
                <w:szCs w:val="18"/>
                <w:highlight w:val="yellow"/>
                <w:vertAlign w:val="superscript"/>
                <w:lang w:val="es-ES_tradnl"/>
              </w:rPr>
              <w:t xml:space="preserve"> </w:t>
            </w:r>
            <w:r>
              <w:rPr>
                <w:rFonts w:asciiTheme="minorHAnsi" w:hAnsiTheme="minorHAnsi"/>
                <w:sz w:val="18"/>
                <w:szCs w:val="18"/>
                <w:highlight w:val="yellow"/>
                <w:vertAlign w:val="superscript"/>
                <w:lang w:val="es-ES_tradnl"/>
              </w:rPr>
              <w:t>17</w:t>
            </w:r>
          </w:p>
        </w:tc>
        <w:tc>
          <w:tcPr>
            <w:tcW w:w="248" w:type="pct"/>
            <w:shd w:val="clear" w:color="auto" w:fill="auto"/>
            <w:noWrap/>
            <w:vAlign w:val="center"/>
          </w:tcPr>
          <w:p w14:paraId="55D6DEA6"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sidRPr="006B1E10">
              <w:rPr>
                <w:rFonts w:ascii="Calibri" w:hAnsi="Calibri"/>
                <w:sz w:val="18"/>
                <w:szCs w:val="18"/>
                <w:highlight w:val="yellow"/>
                <w:vertAlign w:val="superscript"/>
                <w:lang w:val="es-ES_tradnl"/>
              </w:rPr>
              <w:t xml:space="preserve"> </w:t>
            </w:r>
            <w:r>
              <w:rPr>
                <w:rFonts w:asciiTheme="minorHAnsi" w:hAnsiTheme="minorHAnsi"/>
                <w:sz w:val="18"/>
                <w:szCs w:val="18"/>
                <w:highlight w:val="yellow"/>
                <w:vertAlign w:val="superscript"/>
                <w:lang w:val="es-ES_tradnl"/>
              </w:rPr>
              <w:t>17</w:t>
            </w:r>
          </w:p>
        </w:tc>
        <w:tc>
          <w:tcPr>
            <w:tcW w:w="249" w:type="pct"/>
            <w:shd w:val="clear" w:color="auto" w:fill="auto"/>
            <w:noWrap/>
            <w:vAlign w:val="center"/>
          </w:tcPr>
          <w:p w14:paraId="2F287C8B"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F3EAC19"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625D1F7C"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298DC12C"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3E3888C1"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19E330CD" w14:textId="77777777" w:rsidR="00A53EA0" w:rsidRPr="006B1E10" w:rsidRDefault="00A53EA0" w:rsidP="00A53EA0">
            <w:pPr>
              <w:rPr>
                <w:rFonts w:asciiTheme="minorHAnsi" w:hAnsiTheme="minorHAnsi"/>
                <w:sz w:val="18"/>
                <w:szCs w:val="18"/>
                <w:highlight w:val="yellow"/>
              </w:rPr>
            </w:pPr>
          </w:p>
        </w:tc>
        <w:tc>
          <w:tcPr>
            <w:tcW w:w="245" w:type="pct"/>
            <w:shd w:val="clear" w:color="auto" w:fill="auto"/>
            <w:noWrap/>
            <w:vAlign w:val="center"/>
          </w:tcPr>
          <w:p w14:paraId="3BD3F666" w14:textId="77777777" w:rsidR="00A53EA0" w:rsidRPr="006B1E10" w:rsidRDefault="00A53EA0" w:rsidP="00A53EA0">
            <w:pPr>
              <w:rPr>
                <w:rFonts w:asciiTheme="minorHAnsi" w:hAnsiTheme="minorHAnsi"/>
                <w:sz w:val="18"/>
                <w:szCs w:val="18"/>
                <w:highlight w:val="yellow"/>
              </w:rPr>
            </w:pPr>
          </w:p>
        </w:tc>
      </w:tr>
      <w:tr w:rsidR="00A53EA0" w:rsidRPr="006B1E10" w14:paraId="258E5CB1" w14:textId="77777777" w:rsidTr="00A53EA0">
        <w:trPr>
          <w:trHeight w:val="454"/>
          <w:tblHeader/>
        </w:trPr>
        <w:tc>
          <w:tcPr>
            <w:tcW w:w="771" w:type="pct"/>
            <w:shd w:val="clear" w:color="auto" w:fill="auto"/>
            <w:noWrap/>
            <w:vAlign w:val="center"/>
          </w:tcPr>
          <w:p w14:paraId="20F3A91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oxcarbazepina</w:t>
            </w:r>
          </w:p>
        </w:tc>
        <w:tc>
          <w:tcPr>
            <w:tcW w:w="249" w:type="pct"/>
            <w:shd w:val="clear" w:color="auto" w:fill="FFFFFF"/>
            <w:noWrap/>
            <w:vAlign w:val="center"/>
          </w:tcPr>
          <w:p w14:paraId="3EA9F6EC" w14:textId="77777777" w:rsidR="00A53EA0" w:rsidRPr="006B1E10" w:rsidRDefault="00A53EA0" w:rsidP="00A53EA0">
            <w:pPr>
              <w:widowControl w:val="0"/>
              <w:autoSpaceDE w:val="0"/>
              <w:autoSpaceDN w:val="0"/>
              <w:adjustRightInd w:val="0"/>
              <w:rPr>
                <w:rFonts w:ascii="Calibri" w:hAnsi="Calibri"/>
                <w:strike/>
                <w:color w:val="000000"/>
                <w:sz w:val="18"/>
                <w:szCs w:val="18"/>
              </w:rPr>
            </w:pPr>
          </w:p>
        </w:tc>
        <w:tc>
          <w:tcPr>
            <w:tcW w:w="250" w:type="pct"/>
            <w:vAlign w:val="center"/>
          </w:tcPr>
          <w:p w14:paraId="19729E5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D314A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714E98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84EA73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4C70FEE2"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5EEF626"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B65E5A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F28D77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CDEE43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DE6191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F5CDAD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84494B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A0A21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1A7760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6759E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67F10D0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4B5305D1" w14:textId="77777777" w:rsidTr="00A53EA0">
        <w:trPr>
          <w:trHeight w:val="454"/>
          <w:tblHeader/>
        </w:trPr>
        <w:tc>
          <w:tcPr>
            <w:tcW w:w="771" w:type="pct"/>
            <w:shd w:val="clear" w:color="auto" w:fill="auto"/>
            <w:noWrap/>
            <w:vAlign w:val="center"/>
          </w:tcPr>
          <w:p w14:paraId="6186AD7E" w14:textId="77777777" w:rsidR="00A53EA0" w:rsidRPr="006B1E10" w:rsidRDefault="00A53EA0" w:rsidP="00A53EA0">
            <w:pPr>
              <w:rPr>
                <w:rFonts w:ascii="Calibri" w:hAnsi="Calibri"/>
                <w:color w:val="000000"/>
                <w:sz w:val="18"/>
                <w:szCs w:val="18"/>
              </w:rPr>
            </w:pPr>
            <w:r>
              <w:rPr>
                <w:rFonts w:ascii="Calibri" w:hAnsi="Calibri"/>
                <w:color w:val="000000"/>
                <w:sz w:val="18"/>
                <w:szCs w:val="18"/>
              </w:rPr>
              <w:t>p</w:t>
            </w:r>
            <w:r w:rsidRPr="006B1E10">
              <w:rPr>
                <w:rFonts w:ascii="Calibri" w:hAnsi="Calibri"/>
                <w:color w:val="000000"/>
                <w:sz w:val="18"/>
                <w:szCs w:val="18"/>
              </w:rPr>
              <w:t>albociclib</w:t>
            </w:r>
          </w:p>
        </w:tc>
        <w:tc>
          <w:tcPr>
            <w:tcW w:w="249" w:type="pct"/>
            <w:shd w:val="clear" w:color="auto" w:fill="auto"/>
            <w:noWrap/>
            <w:vAlign w:val="center"/>
          </w:tcPr>
          <w:p w14:paraId="06BAA7A6" w14:textId="77777777" w:rsidR="00A53EA0" w:rsidRPr="006B1E10" w:rsidRDefault="00A53EA0" w:rsidP="00A53EA0">
            <w:pPr>
              <w:rPr>
                <w:rFonts w:ascii="Calibri" w:hAnsi="Calibri"/>
                <w:color w:val="000000"/>
                <w:sz w:val="18"/>
                <w:szCs w:val="18"/>
              </w:rPr>
            </w:pPr>
          </w:p>
        </w:tc>
        <w:tc>
          <w:tcPr>
            <w:tcW w:w="250" w:type="pct"/>
            <w:vAlign w:val="center"/>
          </w:tcPr>
          <w:p w14:paraId="41BE3BD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A0B355F" w14:textId="77777777" w:rsidR="00A53EA0" w:rsidRPr="006B1E10" w:rsidRDefault="00A53EA0" w:rsidP="00A53EA0">
            <w:pPr>
              <w:rPr>
                <w:rFonts w:ascii="Calibri" w:hAnsi="Calibri"/>
                <w:color w:val="000000"/>
                <w:sz w:val="18"/>
                <w:szCs w:val="18"/>
              </w:rPr>
            </w:pPr>
          </w:p>
        </w:tc>
        <w:tc>
          <w:tcPr>
            <w:tcW w:w="249" w:type="pct"/>
            <w:vAlign w:val="center"/>
          </w:tcPr>
          <w:p w14:paraId="5B0B5E2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287D9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32</w:t>
            </w:r>
          </w:p>
        </w:tc>
        <w:tc>
          <w:tcPr>
            <w:tcW w:w="249" w:type="pct"/>
            <w:vAlign w:val="center"/>
          </w:tcPr>
          <w:p w14:paraId="52673896"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CF2C2C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82863C0" w14:textId="77777777" w:rsidR="00A53EA0" w:rsidRPr="006B1E10" w:rsidRDefault="00A53EA0" w:rsidP="00A53EA0">
            <w:pPr>
              <w:rPr>
                <w:rFonts w:ascii="Calibri" w:hAnsi="Calibri"/>
                <w:color w:val="000000"/>
                <w:sz w:val="18"/>
                <w:szCs w:val="18"/>
              </w:rPr>
            </w:pPr>
          </w:p>
        </w:tc>
        <w:tc>
          <w:tcPr>
            <w:tcW w:w="249" w:type="pct"/>
            <w:shd w:val="clear" w:color="000000" w:fill="auto"/>
            <w:noWrap/>
            <w:vAlign w:val="center"/>
          </w:tcPr>
          <w:p w14:paraId="7087B3C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sidRPr="006B1E10">
              <w:rPr>
                <w:rFonts w:ascii="Calibri" w:hAnsi="Calibri"/>
                <w:sz w:val="18"/>
                <w:szCs w:val="18"/>
                <w:vertAlign w:val="superscript"/>
                <w:lang w:val="en-US" w:eastAsia="en-US"/>
              </w:rPr>
              <w:t xml:space="preserve"> </w:t>
            </w:r>
            <w:r>
              <w:rPr>
                <w:rFonts w:ascii="Calibri" w:hAnsi="Calibri"/>
                <w:sz w:val="18"/>
                <w:szCs w:val="18"/>
                <w:vertAlign w:val="superscript"/>
                <w:lang w:val="en-US" w:eastAsia="en-US"/>
              </w:rPr>
              <w:t>32</w:t>
            </w:r>
          </w:p>
        </w:tc>
        <w:tc>
          <w:tcPr>
            <w:tcW w:w="248" w:type="pct"/>
            <w:shd w:val="clear" w:color="auto" w:fill="auto"/>
            <w:noWrap/>
            <w:vAlign w:val="center"/>
          </w:tcPr>
          <w:p w14:paraId="2109FE18"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sidRPr="006B1E10">
              <w:rPr>
                <w:rFonts w:ascii="Calibri" w:hAnsi="Calibri"/>
                <w:sz w:val="18"/>
                <w:szCs w:val="18"/>
                <w:vertAlign w:val="superscript"/>
                <w:lang w:val="en-US" w:eastAsia="en-US"/>
              </w:rPr>
              <w:t xml:space="preserve"> </w:t>
            </w:r>
            <w:r>
              <w:rPr>
                <w:rFonts w:ascii="Calibri" w:hAnsi="Calibri"/>
                <w:sz w:val="18"/>
                <w:szCs w:val="18"/>
                <w:vertAlign w:val="superscript"/>
                <w:lang w:val="en-US" w:eastAsia="en-US"/>
              </w:rPr>
              <w:t>32</w:t>
            </w:r>
          </w:p>
        </w:tc>
        <w:tc>
          <w:tcPr>
            <w:tcW w:w="249" w:type="pct"/>
            <w:shd w:val="clear" w:color="auto" w:fill="auto"/>
            <w:noWrap/>
            <w:vAlign w:val="center"/>
          </w:tcPr>
          <w:p w14:paraId="176595C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sidRPr="006B1E10">
              <w:rPr>
                <w:rFonts w:ascii="Calibri" w:hAnsi="Calibri"/>
                <w:sz w:val="18"/>
                <w:szCs w:val="18"/>
                <w:vertAlign w:val="superscript"/>
                <w:lang w:val="en-US" w:eastAsia="en-US"/>
              </w:rPr>
              <w:t xml:space="preserve"> </w:t>
            </w:r>
            <w:r>
              <w:rPr>
                <w:rFonts w:ascii="Calibri" w:hAnsi="Calibri"/>
                <w:sz w:val="18"/>
                <w:szCs w:val="18"/>
                <w:vertAlign w:val="superscript"/>
                <w:lang w:val="en-US" w:eastAsia="en-US"/>
              </w:rPr>
              <w:t>32</w:t>
            </w:r>
          </w:p>
        </w:tc>
        <w:tc>
          <w:tcPr>
            <w:tcW w:w="249" w:type="pct"/>
            <w:shd w:val="clear" w:color="auto" w:fill="auto"/>
            <w:noWrap/>
            <w:vAlign w:val="center"/>
          </w:tcPr>
          <w:p w14:paraId="2F3053A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r>
              <w:rPr>
                <w:rFonts w:ascii="Calibri" w:hAnsi="Calibri"/>
                <w:sz w:val="18"/>
                <w:szCs w:val="18"/>
                <w:vertAlign w:val="superscript"/>
                <w:lang w:val="en-US" w:eastAsia="en-US"/>
              </w:rPr>
              <w:t>32</w:t>
            </w:r>
          </w:p>
        </w:tc>
        <w:tc>
          <w:tcPr>
            <w:tcW w:w="249" w:type="pct"/>
            <w:shd w:val="clear" w:color="auto" w:fill="auto"/>
            <w:noWrap/>
            <w:vAlign w:val="center"/>
          </w:tcPr>
          <w:p w14:paraId="6C051AE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AE5305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57B293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E990C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B64F68A" w14:textId="77777777" w:rsidR="00A53EA0" w:rsidRPr="006B1E10" w:rsidRDefault="00A53EA0" w:rsidP="00A53EA0">
            <w:pPr>
              <w:rPr>
                <w:rFonts w:ascii="Calibri" w:hAnsi="Calibri"/>
                <w:color w:val="000000"/>
                <w:sz w:val="18"/>
                <w:szCs w:val="18"/>
              </w:rPr>
            </w:pPr>
          </w:p>
        </w:tc>
      </w:tr>
      <w:tr w:rsidR="00A53EA0" w:rsidRPr="006B1E10" w14:paraId="3C807ED0" w14:textId="77777777" w:rsidTr="00A53EA0">
        <w:trPr>
          <w:trHeight w:val="454"/>
          <w:tblHeader/>
        </w:trPr>
        <w:tc>
          <w:tcPr>
            <w:tcW w:w="771" w:type="pct"/>
            <w:shd w:val="clear" w:color="auto" w:fill="auto"/>
            <w:noWrap/>
            <w:vAlign w:val="center"/>
          </w:tcPr>
          <w:p w14:paraId="4B12FC2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pantoprazol</w:t>
            </w:r>
          </w:p>
        </w:tc>
        <w:tc>
          <w:tcPr>
            <w:tcW w:w="249" w:type="pct"/>
            <w:shd w:val="clear" w:color="auto" w:fill="auto"/>
            <w:noWrap/>
            <w:vAlign w:val="center"/>
          </w:tcPr>
          <w:p w14:paraId="3260BDE9" w14:textId="77777777" w:rsidR="00A53EA0" w:rsidRPr="006B1E10" w:rsidRDefault="00A53EA0" w:rsidP="00A53EA0">
            <w:pPr>
              <w:rPr>
                <w:rFonts w:ascii="Calibri" w:hAnsi="Calibri"/>
                <w:color w:val="000000"/>
                <w:sz w:val="18"/>
                <w:szCs w:val="18"/>
              </w:rPr>
            </w:pPr>
          </w:p>
        </w:tc>
        <w:tc>
          <w:tcPr>
            <w:tcW w:w="250" w:type="pct"/>
            <w:vAlign w:val="center"/>
          </w:tcPr>
          <w:p w14:paraId="446267A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2EC9CF" w14:textId="77777777" w:rsidR="00A53EA0" w:rsidRPr="006B1E10" w:rsidRDefault="00A53EA0" w:rsidP="00A53EA0">
            <w:pPr>
              <w:rPr>
                <w:rFonts w:ascii="Calibri" w:hAnsi="Calibri"/>
                <w:color w:val="000000"/>
                <w:sz w:val="18"/>
                <w:szCs w:val="18"/>
              </w:rPr>
            </w:pPr>
          </w:p>
        </w:tc>
        <w:tc>
          <w:tcPr>
            <w:tcW w:w="249" w:type="pct"/>
            <w:vAlign w:val="center"/>
          </w:tcPr>
          <w:p w14:paraId="3400CBC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D95CF35" w14:textId="77777777" w:rsidR="00A53EA0" w:rsidRPr="006B1E10" w:rsidRDefault="00A53EA0" w:rsidP="00A53EA0">
            <w:pPr>
              <w:rPr>
                <w:rFonts w:ascii="Calibri" w:hAnsi="Calibri"/>
                <w:color w:val="000000"/>
                <w:sz w:val="18"/>
                <w:szCs w:val="18"/>
              </w:rPr>
            </w:pPr>
          </w:p>
        </w:tc>
        <w:tc>
          <w:tcPr>
            <w:tcW w:w="249" w:type="pct"/>
            <w:vAlign w:val="center"/>
          </w:tcPr>
          <w:p w14:paraId="173AF627"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C01FE1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37DED50" w14:textId="77777777" w:rsidR="00A53EA0" w:rsidRPr="006B1E10" w:rsidRDefault="00A53EA0" w:rsidP="00A53EA0">
            <w:pPr>
              <w:rPr>
                <w:rFonts w:ascii="Calibri" w:hAnsi="Calibri"/>
                <w:color w:val="000000"/>
                <w:sz w:val="18"/>
                <w:szCs w:val="18"/>
              </w:rPr>
            </w:pPr>
          </w:p>
        </w:tc>
        <w:tc>
          <w:tcPr>
            <w:tcW w:w="249" w:type="pct"/>
            <w:shd w:val="clear" w:color="000000" w:fill="auto"/>
            <w:noWrap/>
            <w:vAlign w:val="center"/>
          </w:tcPr>
          <w:p w14:paraId="1105BC9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20</w:t>
            </w:r>
          </w:p>
        </w:tc>
        <w:tc>
          <w:tcPr>
            <w:tcW w:w="248" w:type="pct"/>
            <w:shd w:val="clear" w:color="auto" w:fill="auto"/>
            <w:noWrap/>
            <w:vAlign w:val="center"/>
          </w:tcPr>
          <w:p w14:paraId="24203B2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038B1D2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E9C83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B2D38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869AAF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8CFFC0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037008"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4EDA930" w14:textId="77777777" w:rsidR="00A53EA0" w:rsidRPr="006B1E10" w:rsidRDefault="00A53EA0" w:rsidP="00A53EA0">
            <w:pPr>
              <w:rPr>
                <w:rFonts w:ascii="Calibri" w:hAnsi="Calibri"/>
                <w:color w:val="000000"/>
                <w:sz w:val="18"/>
                <w:szCs w:val="18"/>
              </w:rPr>
            </w:pPr>
          </w:p>
        </w:tc>
      </w:tr>
      <w:tr w:rsidR="00A53EA0" w:rsidRPr="006B1E10" w14:paraId="724984A5" w14:textId="77777777" w:rsidTr="00A53EA0">
        <w:trPr>
          <w:trHeight w:val="454"/>
          <w:tblHeader/>
        </w:trPr>
        <w:tc>
          <w:tcPr>
            <w:tcW w:w="771" w:type="pct"/>
            <w:shd w:val="clear" w:color="auto" w:fill="auto"/>
            <w:noWrap/>
            <w:vAlign w:val="center"/>
          </w:tcPr>
          <w:p w14:paraId="288DCC61"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pazopanib</w:t>
            </w:r>
          </w:p>
        </w:tc>
        <w:tc>
          <w:tcPr>
            <w:tcW w:w="249" w:type="pct"/>
            <w:shd w:val="clear" w:color="auto" w:fill="auto"/>
            <w:noWrap/>
            <w:vAlign w:val="center"/>
          </w:tcPr>
          <w:p w14:paraId="62E65E68" w14:textId="77777777" w:rsidR="00A53EA0" w:rsidRPr="006B1E10" w:rsidRDefault="00A53EA0" w:rsidP="00A53EA0">
            <w:pPr>
              <w:rPr>
                <w:rFonts w:asciiTheme="minorHAnsi" w:hAnsiTheme="minorHAnsi"/>
                <w:color w:val="000000"/>
                <w:sz w:val="18"/>
                <w:szCs w:val="18"/>
                <w:highlight w:val="yellow"/>
              </w:rPr>
            </w:pPr>
          </w:p>
        </w:tc>
        <w:tc>
          <w:tcPr>
            <w:tcW w:w="250" w:type="pct"/>
            <w:vAlign w:val="center"/>
          </w:tcPr>
          <w:p w14:paraId="3AC0AC53"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0C9FBF40"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6778BE95"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1E344D25"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color w:val="FF0000"/>
                <w:sz w:val="18"/>
                <w:szCs w:val="18"/>
                <w:highlight w:val="yellow"/>
              </w:rPr>
              <w:t xml:space="preserve">X </w:t>
            </w:r>
            <w:r w:rsidRPr="006B1E10">
              <w:rPr>
                <w:rFonts w:asciiTheme="minorHAnsi" w:hAnsiTheme="minorHAnsi"/>
                <w:sz w:val="18"/>
                <w:szCs w:val="18"/>
                <w:highlight w:val="yellow"/>
              </w:rPr>
              <w:t>NR</w:t>
            </w:r>
            <w:r>
              <w:rPr>
                <w:rFonts w:asciiTheme="minorHAnsi" w:hAnsiTheme="minorHAnsi"/>
                <w:sz w:val="18"/>
                <w:szCs w:val="18"/>
                <w:highlight w:val="yellow"/>
                <w:vertAlign w:val="superscript"/>
              </w:rPr>
              <w:t>33</w:t>
            </w:r>
          </w:p>
        </w:tc>
        <w:tc>
          <w:tcPr>
            <w:tcW w:w="249" w:type="pct"/>
            <w:vAlign w:val="center"/>
          </w:tcPr>
          <w:p w14:paraId="57805750"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71A26DDA"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TOX</w:t>
            </w:r>
            <w:r>
              <w:rPr>
                <w:rFonts w:asciiTheme="minorHAnsi" w:hAnsiTheme="minorHAnsi"/>
                <w:sz w:val="18"/>
                <w:szCs w:val="18"/>
                <w:highlight w:val="yellow"/>
                <w:vertAlign w:val="superscript"/>
              </w:rPr>
              <w:t>17</w:t>
            </w:r>
          </w:p>
        </w:tc>
        <w:tc>
          <w:tcPr>
            <w:tcW w:w="249" w:type="pct"/>
            <w:shd w:val="clear" w:color="auto" w:fill="auto"/>
            <w:noWrap/>
            <w:vAlign w:val="center"/>
          </w:tcPr>
          <w:p w14:paraId="7F5D4392"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37F63026"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NR</w:t>
            </w:r>
          </w:p>
          <w:p w14:paraId="7AA2023C"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TOX</w:t>
            </w:r>
          </w:p>
        </w:tc>
        <w:tc>
          <w:tcPr>
            <w:tcW w:w="248" w:type="pct"/>
            <w:shd w:val="clear" w:color="auto" w:fill="auto"/>
            <w:noWrap/>
            <w:vAlign w:val="center"/>
          </w:tcPr>
          <w:p w14:paraId="343CAF3C"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NR</w:t>
            </w:r>
          </w:p>
          <w:p w14:paraId="171B58F5"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TOX</w:t>
            </w:r>
          </w:p>
        </w:tc>
        <w:tc>
          <w:tcPr>
            <w:tcW w:w="249" w:type="pct"/>
            <w:shd w:val="clear" w:color="auto" w:fill="auto"/>
            <w:noWrap/>
            <w:vAlign w:val="center"/>
          </w:tcPr>
          <w:p w14:paraId="0F305F69"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NR</w:t>
            </w:r>
            <w:r>
              <w:rPr>
                <w:rFonts w:asciiTheme="minorHAnsi" w:hAnsiTheme="minorHAnsi"/>
                <w:sz w:val="18"/>
                <w:szCs w:val="18"/>
                <w:highlight w:val="yellow"/>
                <w:vertAlign w:val="superscript"/>
                <w:lang w:val="en-US"/>
              </w:rPr>
              <w:t>33</w:t>
            </w:r>
          </w:p>
        </w:tc>
        <w:tc>
          <w:tcPr>
            <w:tcW w:w="249" w:type="pct"/>
            <w:shd w:val="clear" w:color="auto" w:fill="auto"/>
            <w:noWrap/>
            <w:vAlign w:val="center"/>
          </w:tcPr>
          <w:p w14:paraId="4DC8FFA8"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NR</w:t>
            </w:r>
            <w:r>
              <w:rPr>
                <w:rFonts w:asciiTheme="minorHAnsi" w:hAnsiTheme="minorHAnsi"/>
                <w:sz w:val="18"/>
                <w:szCs w:val="18"/>
                <w:highlight w:val="yellow"/>
                <w:vertAlign w:val="superscript"/>
                <w:lang w:val="en-US"/>
              </w:rPr>
              <w:t>33</w:t>
            </w:r>
          </w:p>
        </w:tc>
        <w:tc>
          <w:tcPr>
            <w:tcW w:w="249" w:type="pct"/>
            <w:shd w:val="clear" w:color="auto" w:fill="auto"/>
            <w:noWrap/>
            <w:vAlign w:val="center"/>
          </w:tcPr>
          <w:p w14:paraId="3304B8EF"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573767B0"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0391B3F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07B2BDB7" w14:textId="77777777" w:rsidR="00A53EA0" w:rsidRPr="006B1E10" w:rsidRDefault="00A53EA0" w:rsidP="00A53EA0">
            <w:pPr>
              <w:rPr>
                <w:rFonts w:asciiTheme="minorHAnsi" w:hAnsiTheme="minorHAnsi"/>
                <w:sz w:val="18"/>
                <w:szCs w:val="18"/>
                <w:highlight w:val="magenta"/>
              </w:rPr>
            </w:pPr>
          </w:p>
        </w:tc>
        <w:tc>
          <w:tcPr>
            <w:tcW w:w="245" w:type="pct"/>
            <w:shd w:val="clear" w:color="auto" w:fill="auto"/>
            <w:noWrap/>
            <w:vAlign w:val="center"/>
          </w:tcPr>
          <w:p w14:paraId="6F24CFEC" w14:textId="77777777" w:rsidR="00A53EA0" w:rsidRPr="006B1E10" w:rsidRDefault="00A53EA0" w:rsidP="00A53EA0">
            <w:pPr>
              <w:rPr>
                <w:rFonts w:asciiTheme="minorHAnsi" w:hAnsiTheme="minorHAnsi"/>
                <w:sz w:val="18"/>
                <w:szCs w:val="18"/>
                <w:highlight w:val="magenta"/>
              </w:rPr>
            </w:pPr>
          </w:p>
        </w:tc>
      </w:tr>
      <w:tr w:rsidR="00A53EA0" w:rsidRPr="006B1E10" w14:paraId="7EB89A91" w14:textId="77777777" w:rsidTr="00A53EA0">
        <w:trPr>
          <w:trHeight w:val="454"/>
          <w:tblHeader/>
        </w:trPr>
        <w:tc>
          <w:tcPr>
            <w:tcW w:w="771" w:type="pct"/>
            <w:shd w:val="clear" w:color="auto" w:fill="auto"/>
            <w:noWrap/>
            <w:vAlign w:val="center"/>
          </w:tcPr>
          <w:p w14:paraId="0972AE2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pentamidina</w:t>
            </w:r>
          </w:p>
        </w:tc>
        <w:tc>
          <w:tcPr>
            <w:tcW w:w="249" w:type="pct"/>
            <w:shd w:val="clear" w:color="auto" w:fill="auto"/>
            <w:noWrap/>
            <w:vAlign w:val="center"/>
          </w:tcPr>
          <w:p w14:paraId="0F8F9331" w14:textId="77777777" w:rsidR="00A53EA0" w:rsidRPr="006B1E10" w:rsidRDefault="00A53EA0" w:rsidP="00A53EA0">
            <w:pPr>
              <w:rPr>
                <w:rFonts w:ascii="Calibri" w:hAnsi="Calibri"/>
                <w:color w:val="000000"/>
                <w:sz w:val="18"/>
                <w:szCs w:val="18"/>
              </w:rPr>
            </w:pPr>
          </w:p>
        </w:tc>
        <w:tc>
          <w:tcPr>
            <w:tcW w:w="250" w:type="pct"/>
            <w:vAlign w:val="center"/>
          </w:tcPr>
          <w:p w14:paraId="120E78C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3CF436" w14:textId="77777777" w:rsidR="00A53EA0" w:rsidRPr="006B1E10" w:rsidRDefault="00A53EA0" w:rsidP="00A53EA0">
            <w:pPr>
              <w:rPr>
                <w:rFonts w:ascii="Calibri" w:hAnsi="Calibri"/>
                <w:color w:val="000000"/>
                <w:sz w:val="18"/>
                <w:szCs w:val="18"/>
              </w:rPr>
            </w:pPr>
          </w:p>
        </w:tc>
        <w:tc>
          <w:tcPr>
            <w:tcW w:w="249" w:type="pct"/>
            <w:vAlign w:val="center"/>
          </w:tcPr>
          <w:p w14:paraId="4D71AE1B"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1D3130A1" w14:textId="77777777" w:rsidR="00A53EA0" w:rsidRPr="006B1E10" w:rsidRDefault="00A53EA0" w:rsidP="00A53EA0">
            <w:pPr>
              <w:rPr>
                <w:rFonts w:ascii="Calibri" w:hAnsi="Calibri"/>
                <w:b/>
                <w:bCs/>
                <w:color w:val="000000"/>
                <w:sz w:val="18"/>
                <w:szCs w:val="18"/>
              </w:rPr>
            </w:pPr>
          </w:p>
        </w:tc>
        <w:tc>
          <w:tcPr>
            <w:tcW w:w="249" w:type="pct"/>
            <w:vAlign w:val="center"/>
          </w:tcPr>
          <w:p w14:paraId="03235CC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AAA19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3062E9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F37519E" w14:textId="77777777" w:rsidR="00A53EA0" w:rsidRPr="006B1E10" w:rsidRDefault="00A53EA0" w:rsidP="00A53EA0">
            <w:pPr>
              <w:rPr>
                <w:rFonts w:ascii="Calibri" w:hAnsi="Calibri"/>
                <w:b/>
                <w:bCs/>
                <w:color w:val="000000"/>
                <w:sz w:val="18"/>
                <w:szCs w:val="18"/>
              </w:rPr>
            </w:pPr>
          </w:p>
        </w:tc>
        <w:tc>
          <w:tcPr>
            <w:tcW w:w="248" w:type="pct"/>
            <w:shd w:val="clear" w:color="auto" w:fill="auto"/>
            <w:noWrap/>
            <w:vAlign w:val="center"/>
          </w:tcPr>
          <w:p w14:paraId="1842FBB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CC00CE6"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4EBBB6D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261FD1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436606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1D001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49A81A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5" w:type="pct"/>
            <w:shd w:val="clear" w:color="auto" w:fill="auto"/>
            <w:noWrap/>
            <w:vAlign w:val="center"/>
          </w:tcPr>
          <w:p w14:paraId="366C95B9" w14:textId="77777777" w:rsidR="00A53EA0" w:rsidRPr="006B1E10" w:rsidRDefault="00A53EA0" w:rsidP="00A53EA0">
            <w:pPr>
              <w:rPr>
                <w:rFonts w:ascii="Calibri" w:hAnsi="Calibri"/>
                <w:color w:val="000000"/>
                <w:sz w:val="18"/>
                <w:szCs w:val="18"/>
              </w:rPr>
            </w:pPr>
          </w:p>
        </w:tc>
      </w:tr>
      <w:tr w:rsidR="00A53EA0" w:rsidRPr="006B1E10" w14:paraId="57DE41C4" w14:textId="77777777" w:rsidTr="00A53EA0">
        <w:trPr>
          <w:trHeight w:val="454"/>
          <w:tblHeader/>
        </w:trPr>
        <w:tc>
          <w:tcPr>
            <w:tcW w:w="771" w:type="pct"/>
            <w:shd w:val="clear" w:color="auto" w:fill="auto"/>
            <w:noWrap/>
            <w:vAlign w:val="center"/>
          </w:tcPr>
          <w:p w14:paraId="0B0EAE0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pimozida</w:t>
            </w:r>
          </w:p>
        </w:tc>
        <w:tc>
          <w:tcPr>
            <w:tcW w:w="249" w:type="pct"/>
            <w:shd w:val="clear" w:color="auto" w:fill="auto"/>
            <w:noWrap/>
            <w:vAlign w:val="center"/>
          </w:tcPr>
          <w:p w14:paraId="4D36239F" w14:textId="77777777" w:rsidR="00A53EA0" w:rsidRPr="006B1E10" w:rsidRDefault="00A53EA0" w:rsidP="00A53EA0">
            <w:pPr>
              <w:rPr>
                <w:rFonts w:ascii="Calibri" w:hAnsi="Calibri"/>
                <w:color w:val="000000"/>
                <w:sz w:val="18"/>
                <w:szCs w:val="18"/>
              </w:rPr>
            </w:pPr>
          </w:p>
        </w:tc>
        <w:tc>
          <w:tcPr>
            <w:tcW w:w="250" w:type="pct"/>
            <w:vAlign w:val="center"/>
          </w:tcPr>
          <w:p w14:paraId="31015AA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BFEEAD2" w14:textId="77777777" w:rsidR="00A53EA0" w:rsidRPr="006B1E10" w:rsidRDefault="00A53EA0" w:rsidP="00A53EA0">
            <w:pPr>
              <w:rPr>
                <w:rFonts w:ascii="Calibri" w:hAnsi="Calibri"/>
                <w:color w:val="000000"/>
                <w:sz w:val="18"/>
                <w:szCs w:val="18"/>
              </w:rPr>
            </w:pPr>
          </w:p>
        </w:tc>
        <w:tc>
          <w:tcPr>
            <w:tcW w:w="249" w:type="pct"/>
            <w:vAlign w:val="center"/>
          </w:tcPr>
          <w:p w14:paraId="1D83385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E14D7A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10A1825A"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1F126D05"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20ED26B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44F41D4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6413962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E74A8A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C767E2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8D3AC6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B8A221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4AC66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AAA63A"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5B7D11D" w14:textId="77777777" w:rsidR="00A53EA0" w:rsidRPr="006B1E10" w:rsidRDefault="00A53EA0" w:rsidP="00A53EA0">
            <w:pPr>
              <w:rPr>
                <w:rFonts w:ascii="Calibri" w:hAnsi="Calibri"/>
                <w:color w:val="000000"/>
                <w:sz w:val="18"/>
                <w:szCs w:val="18"/>
              </w:rPr>
            </w:pPr>
          </w:p>
        </w:tc>
      </w:tr>
      <w:tr w:rsidR="00A53EA0" w:rsidRPr="006B1E10" w14:paraId="674BF83D" w14:textId="77777777" w:rsidTr="00A53EA0">
        <w:trPr>
          <w:trHeight w:val="454"/>
          <w:tblHeader/>
        </w:trPr>
        <w:tc>
          <w:tcPr>
            <w:tcW w:w="771" w:type="pct"/>
            <w:shd w:val="clear" w:color="auto" w:fill="auto"/>
            <w:noWrap/>
            <w:vAlign w:val="center"/>
          </w:tcPr>
          <w:p w14:paraId="048DDC31"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ponatinib</w:t>
            </w:r>
          </w:p>
        </w:tc>
        <w:tc>
          <w:tcPr>
            <w:tcW w:w="249" w:type="pct"/>
            <w:shd w:val="clear" w:color="auto" w:fill="auto"/>
            <w:noWrap/>
            <w:vAlign w:val="center"/>
          </w:tcPr>
          <w:p w14:paraId="5144EB10" w14:textId="77777777" w:rsidR="00A53EA0" w:rsidRPr="006B1E10" w:rsidRDefault="00A53EA0" w:rsidP="00A53EA0">
            <w:pPr>
              <w:rPr>
                <w:rFonts w:asciiTheme="minorHAnsi" w:hAnsiTheme="minorHAnsi"/>
                <w:color w:val="000000"/>
                <w:sz w:val="18"/>
                <w:szCs w:val="18"/>
                <w:highlight w:val="yellow"/>
              </w:rPr>
            </w:pPr>
          </w:p>
        </w:tc>
        <w:tc>
          <w:tcPr>
            <w:tcW w:w="250" w:type="pct"/>
            <w:vAlign w:val="center"/>
          </w:tcPr>
          <w:p w14:paraId="5BFAA58B"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39ADB271"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57A376EF"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35169F84"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FCO</w:t>
            </w:r>
            <w:r>
              <w:rPr>
                <w:rFonts w:asciiTheme="minorHAnsi" w:hAnsiTheme="minorHAnsi"/>
                <w:sz w:val="18"/>
                <w:szCs w:val="18"/>
                <w:highlight w:val="yellow"/>
                <w:vertAlign w:val="superscript"/>
                <w:lang w:val="en-US"/>
              </w:rPr>
              <w:t>34</w:t>
            </w:r>
          </w:p>
        </w:tc>
        <w:tc>
          <w:tcPr>
            <w:tcW w:w="249" w:type="pct"/>
            <w:vAlign w:val="center"/>
          </w:tcPr>
          <w:p w14:paraId="3FF26BFC"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52258500"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046C44C5"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lang w:val="en-US"/>
              </w:rPr>
              <w:t xml:space="preserve"> </w:t>
            </w:r>
            <w:r w:rsidRPr="006B1E10">
              <w:rPr>
                <w:rFonts w:asciiTheme="minorHAnsi" w:hAnsiTheme="minorHAnsi"/>
                <w:sz w:val="18"/>
                <w:szCs w:val="18"/>
                <w:highlight w:val="yellow"/>
                <w:lang w:val="en-US"/>
              </w:rPr>
              <w:t>NR</w:t>
            </w:r>
          </w:p>
        </w:tc>
        <w:tc>
          <w:tcPr>
            <w:tcW w:w="249" w:type="pct"/>
            <w:shd w:val="clear" w:color="000000" w:fill="FFFFFF"/>
            <w:noWrap/>
            <w:vAlign w:val="center"/>
          </w:tcPr>
          <w:p w14:paraId="4896DF08"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FCO</w:t>
            </w:r>
            <w:r>
              <w:rPr>
                <w:rFonts w:asciiTheme="minorHAnsi" w:hAnsiTheme="minorHAnsi"/>
                <w:sz w:val="18"/>
                <w:szCs w:val="18"/>
                <w:highlight w:val="yellow"/>
                <w:vertAlign w:val="superscript"/>
                <w:lang w:val="en-US"/>
              </w:rPr>
              <w:t>34</w:t>
            </w:r>
          </w:p>
        </w:tc>
        <w:tc>
          <w:tcPr>
            <w:tcW w:w="248" w:type="pct"/>
            <w:shd w:val="clear" w:color="auto" w:fill="auto"/>
            <w:noWrap/>
            <w:vAlign w:val="center"/>
          </w:tcPr>
          <w:p w14:paraId="5EF708DA"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FCO</w:t>
            </w:r>
            <w:r>
              <w:rPr>
                <w:rFonts w:asciiTheme="minorHAnsi" w:hAnsiTheme="minorHAnsi"/>
                <w:sz w:val="18"/>
                <w:szCs w:val="18"/>
                <w:highlight w:val="yellow"/>
                <w:vertAlign w:val="superscript"/>
                <w:lang w:val="en-US"/>
              </w:rPr>
              <w:t>34</w:t>
            </w:r>
          </w:p>
        </w:tc>
        <w:tc>
          <w:tcPr>
            <w:tcW w:w="249" w:type="pct"/>
            <w:shd w:val="clear" w:color="auto" w:fill="auto"/>
            <w:noWrap/>
            <w:vAlign w:val="center"/>
          </w:tcPr>
          <w:p w14:paraId="461B6FF5"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FCO</w:t>
            </w:r>
            <w:r>
              <w:rPr>
                <w:rFonts w:asciiTheme="minorHAnsi" w:hAnsiTheme="minorHAnsi"/>
                <w:sz w:val="18"/>
                <w:szCs w:val="18"/>
                <w:highlight w:val="yellow"/>
                <w:vertAlign w:val="superscript"/>
                <w:lang w:val="en-US"/>
              </w:rPr>
              <w:t>34</w:t>
            </w:r>
          </w:p>
        </w:tc>
        <w:tc>
          <w:tcPr>
            <w:tcW w:w="249" w:type="pct"/>
            <w:shd w:val="clear" w:color="auto" w:fill="auto"/>
            <w:noWrap/>
            <w:vAlign w:val="center"/>
          </w:tcPr>
          <w:p w14:paraId="25A2DEE6"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FCO</w:t>
            </w:r>
            <w:r>
              <w:rPr>
                <w:rFonts w:asciiTheme="minorHAnsi" w:hAnsiTheme="minorHAnsi"/>
                <w:sz w:val="18"/>
                <w:szCs w:val="18"/>
                <w:highlight w:val="yellow"/>
                <w:vertAlign w:val="superscript"/>
                <w:lang w:val="en-US"/>
              </w:rPr>
              <w:t>34</w:t>
            </w:r>
          </w:p>
        </w:tc>
        <w:tc>
          <w:tcPr>
            <w:tcW w:w="249" w:type="pct"/>
            <w:shd w:val="clear" w:color="auto" w:fill="auto"/>
            <w:noWrap/>
            <w:vAlign w:val="center"/>
          </w:tcPr>
          <w:p w14:paraId="744DEFAC"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6CF09CA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65B7C182"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558793A2" w14:textId="77777777" w:rsidR="00A53EA0" w:rsidRPr="006B1E10" w:rsidRDefault="00A53EA0" w:rsidP="00A53EA0">
            <w:pPr>
              <w:rPr>
                <w:rFonts w:asciiTheme="minorHAnsi" w:hAnsiTheme="minorHAnsi"/>
                <w:sz w:val="18"/>
                <w:szCs w:val="18"/>
                <w:highlight w:val="magenta"/>
              </w:rPr>
            </w:pPr>
          </w:p>
        </w:tc>
        <w:tc>
          <w:tcPr>
            <w:tcW w:w="245" w:type="pct"/>
            <w:shd w:val="clear" w:color="auto" w:fill="auto"/>
            <w:noWrap/>
            <w:vAlign w:val="center"/>
          </w:tcPr>
          <w:p w14:paraId="4D378DE9" w14:textId="77777777" w:rsidR="00A53EA0" w:rsidRPr="006B1E10" w:rsidRDefault="00A53EA0" w:rsidP="00A53EA0">
            <w:pPr>
              <w:rPr>
                <w:rFonts w:asciiTheme="minorHAnsi" w:hAnsiTheme="minorHAnsi"/>
                <w:sz w:val="18"/>
                <w:szCs w:val="18"/>
                <w:highlight w:val="magenta"/>
              </w:rPr>
            </w:pPr>
          </w:p>
        </w:tc>
      </w:tr>
      <w:tr w:rsidR="00A53EA0" w:rsidRPr="006B1E10" w14:paraId="7E3EC63C" w14:textId="77777777" w:rsidTr="00A53EA0">
        <w:trPr>
          <w:trHeight w:val="454"/>
          <w:tblHeader/>
        </w:trPr>
        <w:tc>
          <w:tcPr>
            <w:tcW w:w="771" w:type="pct"/>
            <w:shd w:val="clear" w:color="auto" w:fill="auto"/>
            <w:noWrap/>
            <w:vAlign w:val="center"/>
          </w:tcPr>
          <w:p w14:paraId="687F18C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posaconazol</w:t>
            </w:r>
          </w:p>
        </w:tc>
        <w:tc>
          <w:tcPr>
            <w:tcW w:w="249" w:type="pct"/>
            <w:shd w:val="clear" w:color="auto" w:fill="auto"/>
            <w:noWrap/>
            <w:vAlign w:val="center"/>
          </w:tcPr>
          <w:p w14:paraId="6EE62AE2" w14:textId="77777777" w:rsidR="00A53EA0" w:rsidRPr="006B1E10" w:rsidRDefault="00A53EA0" w:rsidP="00A53EA0">
            <w:pPr>
              <w:rPr>
                <w:rFonts w:ascii="Calibri" w:hAnsi="Calibri"/>
                <w:color w:val="000000"/>
                <w:sz w:val="18"/>
                <w:szCs w:val="18"/>
              </w:rPr>
            </w:pPr>
          </w:p>
        </w:tc>
        <w:tc>
          <w:tcPr>
            <w:tcW w:w="250" w:type="pct"/>
            <w:vAlign w:val="center"/>
          </w:tcPr>
          <w:p w14:paraId="0F0820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E04141" w14:textId="77777777" w:rsidR="00A53EA0" w:rsidRPr="006B1E10" w:rsidRDefault="00A53EA0" w:rsidP="00A53EA0">
            <w:pPr>
              <w:rPr>
                <w:rFonts w:ascii="Calibri" w:hAnsi="Calibri"/>
                <w:color w:val="000000"/>
                <w:sz w:val="18"/>
                <w:szCs w:val="18"/>
              </w:rPr>
            </w:pPr>
          </w:p>
        </w:tc>
        <w:tc>
          <w:tcPr>
            <w:tcW w:w="249" w:type="pct"/>
            <w:vAlign w:val="center"/>
          </w:tcPr>
          <w:p w14:paraId="4734251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67FD253" w14:textId="77777777" w:rsidR="00A53EA0" w:rsidRPr="006B1E10" w:rsidRDefault="00A53EA0" w:rsidP="00A53EA0">
            <w:pPr>
              <w:rPr>
                <w:rFonts w:ascii="Calibri" w:hAnsi="Calibri"/>
                <w:color w:val="000000"/>
                <w:sz w:val="18"/>
                <w:szCs w:val="18"/>
              </w:rPr>
            </w:pPr>
          </w:p>
        </w:tc>
        <w:tc>
          <w:tcPr>
            <w:tcW w:w="249" w:type="pct"/>
            <w:vAlign w:val="center"/>
          </w:tcPr>
          <w:p w14:paraId="60B4945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ACA84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CC156C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402A2093"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2B3087E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FDACDAF"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08119CD4" w14:textId="77777777" w:rsidR="00A53EA0" w:rsidRPr="006B1E10" w:rsidRDefault="00A53EA0" w:rsidP="00A53EA0">
            <w:pPr>
              <w:rPr>
                <w:rFonts w:ascii="Calibri" w:hAnsi="Calibri"/>
                <w:strike/>
                <w:color w:val="000000"/>
                <w:sz w:val="18"/>
                <w:szCs w:val="18"/>
              </w:rPr>
            </w:pPr>
          </w:p>
        </w:tc>
        <w:tc>
          <w:tcPr>
            <w:tcW w:w="249" w:type="pct"/>
            <w:shd w:val="clear" w:color="auto" w:fill="auto"/>
            <w:noWrap/>
            <w:vAlign w:val="center"/>
          </w:tcPr>
          <w:p w14:paraId="26BA140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B9E63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66B39D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977574"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F81B664" w14:textId="77777777" w:rsidR="00A53EA0" w:rsidRPr="006B1E10" w:rsidRDefault="00A53EA0" w:rsidP="00A53EA0">
            <w:pPr>
              <w:rPr>
                <w:rFonts w:ascii="Calibri" w:hAnsi="Calibri"/>
                <w:color w:val="000000"/>
                <w:sz w:val="18"/>
                <w:szCs w:val="18"/>
              </w:rPr>
            </w:pPr>
          </w:p>
        </w:tc>
      </w:tr>
    </w:tbl>
    <w:p w14:paraId="4947D692"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0575CC8E"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3FF72BB"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9E16C0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F9A78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F9BAF5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A3892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D0AB0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3EF96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0F38D0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A7756B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F464AE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6B5328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060230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32BE5E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1EE6F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A907A9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3BB9DF0"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FA6EB0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19392D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638EEA2B" w14:textId="77777777" w:rsidTr="00A53EA0">
        <w:trPr>
          <w:trHeight w:val="454"/>
          <w:tblHeader/>
        </w:trPr>
        <w:tc>
          <w:tcPr>
            <w:tcW w:w="771" w:type="pct"/>
            <w:shd w:val="clear" w:color="auto" w:fill="auto"/>
            <w:noWrap/>
            <w:vAlign w:val="center"/>
          </w:tcPr>
          <w:p w14:paraId="133513C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prednisona</w:t>
            </w:r>
          </w:p>
        </w:tc>
        <w:tc>
          <w:tcPr>
            <w:tcW w:w="249" w:type="pct"/>
            <w:shd w:val="clear" w:color="auto" w:fill="auto"/>
            <w:noWrap/>
            <w:vAlign w:val="center"/>
          </w:tcPr>
          <w:p w14:paraId="7644182C" w14:textId="77777777" w:rsidR="00A53EA0" w:rsidRPr="006B1E10" w:rsidRDefault="00A53EA0" w:rsidP="00A53EA0">
            <w:pPr>
              <w:rPr>
                <w:rFonts w:ascii="Calibri" w:hAnsi="Calibri"/>
                <w:color w:val="FF0000"/>
                <w:sz w:val="18"/>
                <w:szCs w:val="18"/>
                <w:lang w:val="en-US" w:eastAsia="en-US"/>
              </w:rPr>
            </w:pPr>
          </w:p>
        </w:tc>
        <w:tc>
          <w:tcPr>
            <w:tcW w:w="250" w:type="pct"/>
            <w:vAlign w:val="center"/>
          </w:tcPr>
          <w:p w14:paraId="2D60454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4D6610" w14:textId="77777777" w:rsidR="00A53EA0" w:rsidRPr="006B1E10" w:rsidRDefault="00A53EA0" w:rsidP="00A53EA0">
            <w:pPr>
              <w:rPr>
                <w:rFonts w:ascii="Calibri" w:hAnsi="Calibri"/>
                <w:color w:val="000000"/>
                <w:sz w:val="18"/>
                <w:szCs w:val="18"/>
              </w:rPr>
            </w:pPr>
          </w:p>
        </w:tc>
        <w:tc>
          <w:tcPr>
            <w:tcW w:w="249" w:type="pct"/>
            <w:vAlign w:val="center"/>
          </w:tcPr>
          <w:p w14:paraId="71516E6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C04F8D3"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eastAsia="en-US"/>
              </w:rPr>
              <w:sym w:font="Symbol" w:char="F0AD"/>
            </w:r>
            <w:r w:rsidRPr="006B1E10">
              <w:rPr>
                <w:rFonts w:ascii="Calibri" w:hAnsi="Calibri"/>
                <w:sz w:val="18"/>
                <w:szCs w:val="18"/>
                <w:lang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9" w:type="pct"/>
            <w:vAlign w:val="center"/>
          </w:tcPr>
          <w:p w14:paraId="45CA924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75B005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928F32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430602ED"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eastAsia="en-US"/>
              </w:rPr>
              <w:sym w:font="Symbol" w:char="F0AD"/>
            </w:r>
            <w:r w:rsidRPr="006B1E10">
              <w:rPr>
                <w:rFonts w:ascii="Calibri" w:hAnsi="Calibri"/>
                <w:sz w:val="18"/>
                <w:szCs w:val="18"/>
                <w:lang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8" w:type="pct"/>
            <w:shd w:val="clear" w:color="auto" w:fill="auto"/>
            <w:noWrap/>
            <w:vAlign w:val="center"/>
          </w:tcPr>
          <w:p w14:paraId="58AB286B"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eastAsia="en-US"/>
              </w:rPr>
              <w:sym w:font="Symbol" w:char="F0AD"/>
            </w:r>
            <w:r w:rsidRPr="006B1E10">
              <w:rPr>
                <w:rFonts w:ascii="Calibri" w:hAnsi="Calibri"/>
                <w:sz w:val="18"/>
                <w:szCs w:val="18"/>
                <w:lang w:eastAsia="en-US"/>
              </w:rPr>
              <w:t>FCO</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8</w:t>
            </w:r>
          </w:p>
        </w:tc>
        <w:tc>
          <w:tcPr>
            <w:tcW w:w="249" w:type="pct"/>
            <w:shd w:val="clear" w:color="auto" w:fill="auto"/>
            <w:noWrap/>
            <w:vAlign w:val="center"/>
          </w:tcPr>
          <w:p w14:paraId="393A8769"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eastAsia="en-US"/>
              </w:rPr>
              <w:sym w:font="Symbol" w:char="F0AD"/>
            </w:r>
            <w:r w:rsidRPr="006B1E10">
              <w:rPr>
                <w:rFonts w:ascii="Calibri" w:hAnsi="Calibri"/>
                <w:sz w:val="18"/>
                <w:szCs w:val="18"/>
                <w:lang w:eastAsia="en-US"/>
              </w:rPr>
              <w:t>FCO</w:t>
            </w:r>
            <w:r>
              <w:rPr>
                <w:rFonts w:ascii="Calibri" w:hAnsi="Calibri"/>
                <w:sz w:val="18"/>
                <w:szCs w:val="18"/>
                <w:lang w:eastAsia="en-US"/>
              </w:rPr>
              <w:t xml:space="preserve"> </w:t>
            </w:r>
            <w:r>
              <w:rPr>
                <w:rFonts w:ascii="Calibri" w:hAnsi="Calibri"/>
                <w:sz w:val="18"/>
                <w:szCs w:val="18"/>
                <w:vertAlign w:val="superscript"/>
                <w:lang w:eastAsia="en-US"/>
              </w:rPr>
              <w:t>8</w:t>
            </w:r>
          </w:p>
        </w:tc>
        <w:tc>
          <w:tcPr>
            <w:tcW w:w="249" w:type="pct"/>
            <w:shd w:val="clear" w:color="auto" w:fill="auto"/>
            <w:noWrap/>
            <w:vAlign w:val="center"/>
          </w:tcPr>
          <w:p w14:paraId="15698843" w14:textId="77777777" w:rsidR="00A53EA0" w:rsidRPr="006B1E10" w:rsidRDefault="00A53EA0" w:rsidP="00A53EA0">
            <w:pPr>
              <w:rPr>
                <w:rFonts w:ascii="Calibri" w:hAnsi="Calibri"/>
                <w:color w:val="FF0000"/>
                <w:sz w:val="18"/>
                <w:szCs w:val="18"/>
                <w:lang w:val="en-US" w:eastAsia="en-US"/>
              </w:rPr>
            </w:pPr>
            <w:r w:rsidRPr="006B1E10">
              <w:rPr>
                <w:rFonts w:ascii="Calibri" w:hAnsi="Calibri"/>
                <w:sz w:val="18"/>
                <w:szCs w:val="18"/>
                <w:lang w:eastAsia="en-US"/>
              </w:rPr>
              <w:sym w:font="Symbol" w:char="F0AD"/>
            </w:r>
            <w:r w:rsidRPr="006B1E10">
              <w:rPr>
                <w:rFonts w:ascii="Calibri" w:hAnsi="Calibri"/>
                <w:sz w:val="18"/>
                <w:szCs w:val="18"/>
                <w:lang w:eastAsia="en-US"/>
              </w:rPr>
              <w:t>FCO</w:t>
            </w:r>
            <w:r>
              <w:rPr>
                <w:rFonts w:ascii="Calibri" w:hAnsi="Calibri"/>
                <w:sz w:val="18"/>
                <w:szCs w:val="18"/>
                <w:lang w:eastAsia="en-US"/>
              </w:rPr>
              <w:t xml:space="preserve"> </w:t>
            </w:r>
            <w:r>
              <w:rPr>
                <w:rFonts w:ascii="Calibri" w:hAnsi="Calibri"/>
                <w:sz w:val="18"/>
                <w:szCs w:val="18"/>
                <w:vertAlign w:val="superscript"/>
                <w:lang w:eastAsia="en-US"/>
              </w:rPr>
              <w:t>8</w:t>
            </w:r>
          </w:p>
        </w:tc>
        <w:tc>
          <w:tcPr>
            <w:tcW w:w="249" w:type="pct"/>
            <w:shd w:val="clear" w:color="auto" w:fill="auto"/>
            <w:noWrap/>
            <w:vAlign w:val="center"/>
          </w:tcPr>
          <w:p w14:paraId="0C9D1F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DD7ED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656DD9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D8080AA"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5D4E62B" w14:textId="77777777" w:rsidR="00A53EA0" w:rsidRPr="006B1E10" w:rsidRDefault="00A53EA0" w:rsidP="00A53EA0">
            <w:pPr>
              <w:rPr>
                <w:rFonts w:ascii="Calibri" w:hAnsi="Calibri"/>
                <w:color w:val="000000"/>
                <w:sz w:val="18"/>
                <w:szCs w:val="18"/>
              </w:rPr>
            </w:pPr>
          </w:p>
        </w:tc>
      </w:tr>
      <w:tr w:rsidR="00A53EA0" w:rsidRPr="006B1E10" w14:paraId="2D0EF97E" w14:textId="77777777" w:rsidTr="00A53EA0">
        <w:trPr>
          <w:trHeight w:val="454"/>
          <w:tblHeader/>
        </w:trPr>
        <w:tc>
          <w:tcPr>
            <w:tcW w:w="771" w:type="pct"/>
            <w:shd w:val="clear" w:color="auto" w:fill="auto"/>
            <w:noWrap/>
            <w:vAlign w:val="center"/>
          </w:tcPr>
          <w:p w14:paraId="7CBA58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primidona</w:t>
            </w:r>
          </w:p>
        </w:tc>
        <w:tc>
          <w:tcPr>
            <w:tcW w:w="249" w:type="pct"/>
            <w:shd w:val="clear" w:color="auto" w:fill="auto"/>
            <w:noWrap/>
            <w:vAlign w:val="center"/>
          </w:tcPr>
          <w:p w14:paraId="13E9A62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shd w:val="clear" w:color="auto" w:fill="FFFFFF"/>
                <w:vertAlign w:val="superscript"/>
                <w:lang w:val="en-US" w:eastAsia="en-US"/>
              </w:rPr>
              <w:t>9</w:t>
            </w:r>
          </w:p>
        </w:tc>
        <w:tc>
          <w:tcPr>
            <w:tcW w:w="250" w:type="pct"/>
            <w:vAlign w:val="center"/>
          </w:tcPr>
          <w:p w14:paraId="0597882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214DED52" w14:textId="77777777" w:rsidR="00A53EA0" w:rsidRPr="006B1E10" w:rsidRDefault="00A53EA0" w:rsidP="00A53EA0">
            <w:pPr>
              <w:rPr>
                <w:rFonts w:ascii="Calibri" w:hAnsi="Calibri"/>
                <w:color w:val="000000"/>
                <w:sz w:val="18"/>
                <w:szCs w:val="18"/>
              </w:rPr>
            </w:pPr>
          </w:p>
        </w:tc>
        <w:tc>
          <w:tcPr>
            <w:tcW w:w="249" w:type="pct"/>
            <w:vAlign w:val="center"/>
          </w:tcPr>
          <w:p w14:paraId="45963762"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FFFFFF"/>
            <w:noWrap/>
            <w:vAlign w:val="center"/>
          </w:tcPr>
          <w:p w14:paraId="2ED7873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1D6B0FF1"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F4F448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F05B15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FFFFFF"/>
            <w:noWrap/>
            <w:vAlign w:val="center"/>
          </w:tcPr>
          <w:p w14:paraId="6870069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8" w:type="pct"/>
            <w:shd w:val="clear" w:color="auto" w:fill="auto"/>
            <w:noWrap/>
            <w:vAlign w:val="center"/>
          </w:tcPr>
          <w:p w14:paraId="2CBA392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F2F8CF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p>
        </w:tc>
        <w:tc>
          <w:tcPr>
            <w:tcW w:w="249" w:type="pct"/>
            <w:shd w:val="clear" w:color="auto" w:fill="auto"/>
            <w:noWrap/>
            <w:vAlign w:val="center"/>
          </w:tcPr>
          <w:p w14:paraId="5E40E7D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B0A9E1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5F855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88A274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7129BA0"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FE91D1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0EC7A8AA" w14:textId="77777777" w:rsidTr="00A53EA0">
        <w:trPr>
          <w:trHeight w:val="454"/>
          <w:tblHeader/>
        </w:trPr>
        <w:tc>
          <w:tcPr>
            <w:tcW w:w="771" w:type="pct"/>
            <w:shd w:val="clear" w:color="auto" w:fill="auto"/>
            <w:noWrap/>
            <w:vAlign w:val="center"/>
          </w:tcPr>
          <w:p w14:paraId="3286185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quetiapina</w:t>
            </w:r>
          </w:p>
        </w:tc>
        <w:tc>
          <w:tcPr>
            <w:tcW w:w="249" w:type="pct"/>
            <w:shd w:val="clear" w:color="auto" w:fill="auto"/>
            <w:noWrap/>
            <w:vAlign w:val="center"/>
          </w:tcPr>
          <w:p w14:paraId="5D60729B" w14:textId="77777777" w:rsidR="00A53EA0" w:rsidRPr="006B1E10" w:rsidRDefault="00A53EA0" w:rsidP="00A53EA0">
            <w:pPr>
              <w:rPr>
                <w:rFonts w:ascii="Calibri" w:hAnsi="Calibri"/>
                <w:color w:val="000000"/>
                <w:sz w:val="18"/>
                <w:szCs w:val="18"/>
              </w:rPr>
            </w:pPr>
          </w:p>
        </w:tc>
        <w:tc>
          <w:tcPr>
            <w:tcW w:w="250" w:type="pct"/>
            <w:vAlign w:val="center"/>
          </w:tcPr>
          <w:p w14:paraId="58199C9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9854F8" w14:textId="77777777" w:rsidR="00A53EA0" w:rsidRPr="006B1E10" w:rsidRDefault="00A53EA0" w:rsidP="00A53EA0">
            <w:pPr>
              <w:rPr>
                <w:rFonts w:ascii="Calibri" w:hAnsi="Calibri"/>
                <w:color w:val="000000"/>
                <w:sz w:val="18"/>
                <w:szCs w:val="18"/>
              </w:rPr>
            </w:pPr>
          </w:p>
        </w:tc>
        <w:tc>
          <w:tcPr>
            <w:tcW w:w="249" w:type="pct"/>
            <w:vAlign w:val="center"/>
          </w:tcPr>
          <w:p w14:paraId="1400965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59394A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39BB258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B9BC24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178D88A"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1417E93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7459EC7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8D0A91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7F4C2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43C685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090CE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41C40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60B0C67"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40E7918D" w14:textId="77777777" w:rsidR="00A53EA0" w:rsidRPr="006B1E10" w:rsidRDefault="00A53EA0" w:rsidP="00A53EA0">
            <w:pPr>
              <w:rPr>
                <w:rFonts w:ascii="Calibri" w:hAnsi="Calibri"/>
                <w:color w:val="000000"/>
                <w:sz w:val="18"/>
                <w:szCs w:val="18"/>
              </w:rPr>
            </w:pPr>
          </w:p>
        </w:tc>
      </w:tr>
      <w:tr w:rsidR="00A53EA0" w:rsidRPr="006B1E10" w14:paraId="5E9ECBEB" w14:textId="77777777" w:rsidTr="00A53EA0">
        <w:trPr>
          <w:trHeight w:val="454"/>
          <w:tblHeader/>
        </w:trPr>
        <w:tc>
          <w:tcPr>
            <w:tcW w:w="771" w:type="pct"/>
            <w:shd w:val="clear" w:color="auto" w:fill="auto"/>
            <w:noWrap/>
            <w:vAlign w:val="center"/>
          </w:tcPr>
          <w:p w14:paraId="1C9E3E7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quinidina</w:t>
            </w:r>
          </w:p>
        </w:tc>
        <w:tc>
          <w:tcPr>
            <w:tcW w:w="249" w:type="pct"/>
            <w:shd w:val="clear" w:color="auto" w:fill="auto"/>
            <w:noWrap/>
            <w:vAlign w:val="center"/>
          </w:tcPr>
          <w:p w14:paraId="7DCEA08F" w14:textId="77777777" w:rsidR="00A53EA0" w:rsidRPr="006B1E10" w:rsidRDefault="00A53EA0" w:rsidP="00A53EA0">
            <w:pPr>
              <w:rPr>
                <w:rFonts w:ascii="Calibri" w:hAnsi="Calibri"/>
                <w:color w:val="000000"/>
                <w:sz w:val="18"/>
                <w:szCs w:val="18"/>
              </w:rPr>
            </w:pPr>
          </w:p>
        </w:tc>
        <w:tc>
          <w:tcPr>
            <w:tcW w:w="250" w:type="pct"/>
            <w:vAlign w:val="center"/>
          </w:tcPr>
          <w:p w14:paraId="7AF2858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4F9AEB6" w14:textId="77777777" w:rsidR="00A53EA0" w:rsidRPr="006B1E10" w:rsidRDefault="00A53EA0" w:rsidP="00A53EA0">
            <w:pPr>
              <w:rPr>
                <w:rFonts w:ascii="Calibri" w:hAnsi="Calibri"/>
                <w:color w:val="000000"/>
                <w:sz w:val="18"/>
                <w:szCs w:val="18"/>
              </w:rPr>
            </w:pPr>
          </w:p>
        </w:tc>
        <w:tc>
          <w:tcPr>
            <w:tcW w:w="249" w:type="pct"/>
            <w:vAlign w:val="center"/>
          </w:tcPr>
          <w:p w14:paraId="39B06325"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3ED852E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0BF1B7F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32C751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B941FA9"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2C8F745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166F988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23A77B6"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80F5BB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03DF96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494FB2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738C7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5E16D48"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42A1CC8" w14:textId="77777777" w:rsidR="00A53EA0" w:rsidRPr="006B1E10" w:rsidRDefault="00A53EA0" w:rsidP="00A53EA0">
            <w:pPr>
              <w:rPr>
                <w:rFonts w:ascii="Calibri" w:hAnsi="Calibri"/>
                <w:color w:val="000000"/>
                <w:sz w:val="18"/>
                <w:szCs w:val="18"/>
              </w:rPr>
            </w:pPr>
          </w:p>
        </w:tc>
      </w:tr>
      <w:tr w:rsidR="00A53EA0" w:rsidRPr="006B1E10" w14:paraId="6A29DA53" w14:textId="77777777" w:rsidTr="00A53EA0">
        <w:trPr>
          <w:trHeight w:val="454"/>
          <w:tblHeader/>
        </w:trPr>
        <w:tc>
          <w:tcPr>
            <w:tcW w:w="771" w:type="pct"/>
            <w:shd w:val="clear" w:color="auto" w:fill="auto"/>
            <w:noWrap/>
            <w:vAlign w:val="center"/>
          </w:tcPr>
          <w:p w14:paraId="0D01D71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rabeprazol</w:t>
            </w:r>
          </w:p>
        </w:tc>
        <w:tc>
          <w:tcPr>
            <w:tcW w:w="249" w:type="pct"/>
            <w:shd w:val="clear" w:color="auto" w:fill="auto"/>
            <w:noWrap/>
            <w:vAlign w:val="center"/>
          </w:tcPr>
          <w:p w14:paraId="1AA5ED65" w14:textId="77777777" w:rsidR="00A53EA0" w:rsidRPr="006B1E10" w:rsidRDefault="00A53EA0" w:rsidP="00A53EA0">
            <w:pPr>
              <w:rPr>
                <w:rFonts w:ascii="Calibri" w:hAnsi="Calibri"/>
                <w:color w:val="000000"/>
                <w:sz w:val="18"/>
                <w:szCs w:val="18"/>
              </w:rPr>
            </w:pPr>
          </w:p>
        </w:tc>
        <w:tc>
          <w:tcPr>
            <w:tcW w:w="250" w:type="pct"/>
            <w:vAlign w:val="center"/>
          </w:tcPr>
          <w:p w14:paraId="6A90F33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5CF4F4F" w14:textId="77777777" w:rsidR="00A53EA0" w:rsidRPr="006B1E10" w:rsidRDefault="00A53EA0" w:rsidP="00A53EA0">
            <w:pPr>
              <w:rPr>
                <w:rFonts w:ascii="Calibri" w:hAnsi="Calibri"/>
                <w:color w:val="000000"/>
                <w:sz w:val="18"/>
                <w:szCs w:val="18"/>
              </w:rPr>
            </w:pPr>
          </w:p>
        </w:tc>
        <w:tc>
          <w:tcPr>
            <w:tcW w:w="249" w:type="pct"/>
            <w:vAlign w:val="center"/>
          </w:tcPr>
          <w:p w14:paraId="0D226AB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656A63" w14:textId="77777777" w:rsidR="00A53EA0" w:rsidRPr="006B1E10" w:rsidRDefault="00A53EA0" w:rsidP="00A53EA0">
            <w:pPr>
              <w:rPr>
                <w:rFonts w:ascii="Calibri" w:hAnsi="Calibri"/>
                <w:color w:val="000000"/>
                <w:sz w:val="18"/>
                <w:szCs w:val="18"/>
              </w:rPr>
            </w:pPr>
          </w:p>
        </w:tc>
        <w:tc>
          <w:tcPr>
            <w:tcW w:w="249" w:type="pct"/>
            <w:vAlign w:val="center"/>
          </w:tcPr>
          <w:p w14:paraId="59AF4BB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34F910D6"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207BBA8" w14:textId="77777777" w:rsidR="00A53EA0" w:rsidRPr="006B1E10" w:rsidRDefault="00A53EA0" w:rsidP="00A53EA0">
            <w:pPr>
              <w:rPr>
                <w:rFonts w:ascii="Calibri" w:hAnsi="Calibri"/>
                <w:color w:val="000000"/>
                <w:sz w:val="18"/>
                <w:szCs w:val="18"/>
              </w:rPr>
            </w:pPr>
          </w:p>
        </w:tc>
        <w:tc>
          <w:tcPr>
            <w:tcW w:w="249" w:type="pct"/>
            <w:shd w:val="clear" w:color="000000" w:fill="auto"/>
            <w:noWrap/>
            <w:vAlign w:val="center"/>
          </w:tcPr>
          <w:p w14:paraId="0DB6F4A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20</w:t>
            </w:r>
          </w:p>
        </w:tc>
        <w:tc>
          <w:tcPr>
            <w:tcW w:w="248" w:type="pct"/>
            <w:shd w:val="clear" w:color="auto" w:fill="auto"/>
            <w:noWrap/>
            <w:vAlign w:val="center"/>
          </w:tcPr>
          <w:p w14:paraId="3ED53FC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15FB9DB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DE3DB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F24CD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27B2A0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0818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39DC4D2"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6694811B" w14:textId="77777777" w:rsidR="00A53EA0" w:rsidRPr="006B1E10" w:rsidRDefault="00A53EA0" w:rsidP="00A53EA0">
            <w:pPr>
              <w:rPr>
                <w:rFonts w:ascii="Calibri" w:hAnsi="Calibri"/>
                <w:color w:val="000000"/>
                <w:sz w:val="18"/>
                <w:szCs w:val="18"/>
              </w:rPr>
            </w:pPr>
          </w:p>
        </w:tc>
      </w:tr>
      <w:tr w:rsidR="00A53EA0" w:rsidRPr="006B1E10" w14:paraId="2B9A4EC5" w14:textId="77777777" w:rsidTr="00A53EA0">
        <w:trPr>
          <w:trHeight w:val="454"/>
          <w:tblHeader/>
        </w:trPr>
        <w:tc>
          <w:tcPr>
            <w:tcW w:w="771" w:type="pct"/>
            <w:shd w:val="clear" w:color="auto" w:fill="auto"/>
            <w:noWrap/>
            <w:vAlign w:val="center"/>
          </w:tcPr>
          <w:p w14:paraId="62A983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raltegravir</w:t>
            </w:r>
          </w:p>
        </w:tc>
        <w:tc>
          <w:tcPr>
            <w:tcW w:w="249" w:type="pct"/>
            <w:shd w:val="clear" w:color="auto" w:fill="BFBFBF"/>
            <w:noWrap/>
            <w:vAlign w:val="center"/>
          </w:tcPr>
          <w:p w14:paraId="1C17A4A9" w14:textId="77777777" w:rsidR="00A53EA0" w:rsidRPr="006B1E10" w:rsidRDefault="00A53EA0" w:rsidP="00A53EA0">
            <w:pPr>
              <w:rPr>
                <w:rFonts w:ascii="Calibri" w:hAnsi="Calibri"/>
                <w:color w:val="000000"/>
                <w:sz w:val="18"/>
                <w:szCs w:val="18"/>
              </w:rPr>
            </w:pPr>
          </w:p>
        </w:tc>
        <w:tc>
          <w:tcPr>
            <w:tcW w:w="250" w:type="pct"/>
            <w:shd w:val="clear" w:color="auto" w:fill="BFBFBF"/>
            <w:vAlign w:val="center"/>
          </w:tcPr>
          <w:p w14:paraId="5214B8EA"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006DAD4" w14:textId="77777777" w:rsidR="00A53EA0" w:rsidRPr="006B1E10" w:rsidRDefault="00A53EA0" w:rsidP="00A53EA0">
            <w:pPr>
              <w:rPr>
                <w:rFonts w:ascii="Calibri" w:hAnsi="Calibri"/>
                <w:color w:val="000000"/>
                <w:sz w:val="18"/>
                <w:szCs w:val="18"/>
              </w:rPr>
            </w:pPr>
          </w:p>
        </w:tc>
        <w:tc>
          <w:tcPr>
            <w:tcW w:w="249" w:type="pct"/>
            <w:shd w:val="clear" w:color="auto" w:fill="BFBFBF"/>
            <w:vAlign w:val="center"/>
          </w:tcPr>
          <w:p w14:paraId="2205A71F"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noWrap/>
            <w:vAlign w:val="center"/>
          </w:tcPr>
          <w:p w14:paraId="4DE91B44" w14:textId="77777777" w:rsidR="00A53EA0" w:rsidRPr="006B1E10" w:rsidRDefault="00A53EA0" w:rsidP="00A53EA0">
            <w:pPr>
              <w:rPr>
                <w:rFonts w:ascii="Calibri" w:hAnsi="Calibri"/>
                <w:color w:val="000000"/>
                <w:sz w:val="18"/>
                <w:szCs w:val="18"/>
              </w:rPr>
            </w:pPr>
          </w:p>
        </w:tc>
        <w:tc>
          <w:tcPr>
            <w:tcW w:w="249" w:type="pct"/>
            <w:vAlign w:val="center"/>
          </w:tcPr>
          <w:p w14:paraId="02C7E05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F70F6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9169E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3BAACC6"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2B82DD0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6733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33B32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6BA91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F42C8B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01B343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EAF78CD"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1CBA2140" w14:textId="77777777" w:rsidR="00A53EA0" w:rsidRPr="006B1E10" w:rsidRDefault="00A53EA0" w:rsidP="00A53EA0">
            <w:pPr>
              <w:rPr>
                <w:rFonts w:ascii="Calibri" w:hAnsi="Calibri"/>
                <w:color w:val="000000"/>
                <w:sz w:val="18"/>
                <w:szCs w:val="18"/>
              </w:rPr>
            </w:pPr>
          </w:p>
        </w:tc>
      </w:tr>
      <w:tr w:rsidR="00A53EA0" w:rsidRPr="006B1E10" w14:paraId="2A279BD3" w14:textId="77777777" w:rsidTr="00A53EA0">
        <w:trPr>
          <w:trHeight w:val="454"/>
          <w:tblHeader/>
        </w:trPr>
        <w:tc>
          <w:tcPr>
            <w:tcW w:w="771" w:type="pct"/>
            <w:shd w:val="clear" w:color="auto" w:fill="auto"/>
            <w:noWrap/>
            <w:vAlign w:val="center"/>
          </w:tcPr>
          <w:p w14:paraId="59CCB0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ranitidina</w:t>
            </w:r>
          </w:p>
        </w:tc>
        <w:tc>
          <w:tcPr>
            <w:tcW w:w="249" w:type="pct"/>
            <w:shd w:val="clear" w:color="auto" w:fill="auto"/>
            <w:noWrap/>
            <w:vAlign w:val="center"/>
          </w:tcPr>
          <w:p w14:paraId="1C8C11A3" w14:textId="77777777" w:rsidR="00A53EA0" w:rsidRPr="006B1E10" w:rsidRDefault="00A53EA0" w:rsidP="00A53EA0">
            <w:pPr>
              <w:rPr>
                <w:rFonts w:ascii="Calibri" w:hAnsi="Calibri"/>
                <w:color w:val="000000"/>
                <w:sz w:val="18"/>
                <w:szCs w:val="18"/>
              </w:rPr>
            </w:pPr>
          </w:p>
        </w:tc>
        <w:tc>
          <w:tcPr>
            <w:tcW w:w="250" w:type="pct"/>
            <w:vAlign w:val="center"/>
          </w:tcPr>
          <w:p w14:paraId="448D654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F73C83B" w14:textId="77777777" w:rsidR="00A53EA0" w:rsidRPr="006B1E10" w:rsidRDefault="00A53EA0" w:rsidP="00A53EA0">
            <w:pPr>
              <w:rPr>
                <w:rFonts w:ascii="Calibri" w:hAnsi="Calibri"/>
                <w:color w:val="000000"/>
                <w:sz w:val="18"/>
                <w:szCs w:val="18"/>
              </w:rPr>
            </w:pPr>
          </w:p>
        </w:tc>
        <w:tc>
          <w:tcPr>
            <w:tcW w:w="249" w:type="pct"/>
            <w:vAlign w:val="center"/>
          </w:tcPr>
          <w:p w14:paraId="17D5856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56BB7ED" w14:textId="77777777" w:rsidR="00A53EA0" w:rsidRPr="006B1E10" w:rsidRDefault="00A53EA0" w:rsidP="00A53EA0">
            <w:pPr>
              <w:rPr>
                <w:rFonts w:ascii="Calibri" w:hAnsi="Calibri"/>
                <w:color w:val="000000"/>
                <w:sz w:val="18"/>
                <w:szCs w:val="18"/>
              </w:rPr>
            </w:pPr>
          </w:p>
        </w:tc>
        <w:tc>
          <w:tcPr>
            <w:tcW w:w="249" w:type="pct"/>
            <w:vAlign w:val="center"/>
          </w:tcPr>
          <w:p w14:paraId="407BF470" w14:textId="77777777" w:rsidR="00A53EA0" w:rsidRPr="006B1E10" w:rsidRDefault="00A53EA0" w:rsidP="00A53EA0">
            <w:pPr>
              <w:rPr>
                <w:rFonts w:ascii="Calibri" w:hAnsi="Calibri"/>
                <w:sz w:val="18"/>
                <w:szCs w:val="18"/>
                <w:lang w:val="en-US" w:eastAsia="en-US"/>
              </w:rPr>
            </w:pPr>
          </w:p>
        </w:tc>
        <w:tc>
          <w:tcPr>
            <w:tcW w:w="249" w:type="pct"/>
            <w:shd w:val="clear" w:color="auto" w:fill="auto"/>
            <w:noWrap/>
            <w:vAlign w:val="center"/>
          </w:tcPr>
          <w:p w14:paraId="6E5D318B"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22</w:t>
            </w:r>
          </w:p>
        </w:tc>
        <w:tc>
          <w:tcPr>
            <w:tcW w:w="249" w:type="pct"/>
            <w:shd w:val="clear" w:color="auto" w:fill="auto"/>
            <w:noWrap/>
            <w:vAlign w:val="center"/>
          </w:tcPr>
          <w:p w14:paraId="08429EE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D7C6A1"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22</w:t>
            </w:r>
          </w:p>
        </w:tc>
        <w:tc>
          <w:tcPr>
            <w:tcW w:w="248" w:type="pct"/>
            <w:shd w:val="clear" w:color="auto" w:fill="auto"/>
            <w:noWrap/>
            <w:vAlign w:val="center"/>
          </w:tcPr>
          <w:p w14:paraId="36EC1B3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22</w:t>
            </w:r>
          </w:p>
        </w:tc>
        <w:tc>
          <w:tcPr>
            <w:tcW w:w="249" w:type="pct"/>
            <w:shd w:val="clear" w:color="auto" w:fill="auto"/>
            <w:noWrap/>
            <w:vAlign w:val="center"/>
          </w:tcPr>
          <w:p w14:paraId="1ADC788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708965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F7BF2B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11AA33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F4DE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1B2723"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2B94F64" w14:textId="77777777" w:rsidR="00A53EA0" w:rsidRPr="006B1E10" w:rsidRDefault="00A53EA0" w:rsidP="00A53EA0">
            <w:pPr>
              <w:rPr>
                <w:rFonts w:ascii="Calibri" w:hAnsi="Calibri"/>
                <w:color w:val="000000"/>
                <w:sz w:val="18"/>
                <w:szCs w:val="18"/>
              </w:rPr>
            </w:pPr>
          </w:p>
        </w:tc>
      </w:tr>
      <w:tr w:rsidR="00A53EA0" w:rsidRPr="006B1E10" w14:paraId="216B76B9" w14:textId="77777777" w:rsidTr="00A53EA0">
        <w:trPr>
          <w:trHeight w:val="454"/>
          <w:tblHeader/>
        </w:trPr>
        <w:tc>
          <w:tcPr>
            <w:tcW w:w="771" w:type="pct"/>
            <w:shd w:val="clear" w:color="auto" w:fill="auto"/>
            <w:noWrap/>
            <w:vAlign w:val="center"/>
          </w:tcPr>
          <w:p w14:paraId="4C91C81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ranolazina</w:t>
            </w:r>
          </w:p>
        </w:tc>
        <w:tc>
          <w:tcPr>
            <w:tcW w:w="249" w:type="pct"/>
            <w:shd w:val="clear" w:color="auto" w:fill="auto"/>
            <w:noWrap/>
            <w:vAlign w:val="center"/>
          </w:tcPr>
          <w:p w14:paraId="0FB5FD6A" w14:textId="77777777" w:rsidR="00A53EA0" w:rsidRPr="006B1E10" w:rsidRDefault="00A53EA0" w:rsidP="00A53EA0">
            <w:pPr>
              <w:rPr>
                <w:rFonts w:ascii="Calibri" w:hAnsi="Calibri"/>
                <w:color w:val="000000"/>
                <w:sz w:val="18"/>
                <w:szCs w:val="18"/>
              </w:rPr>
            </w:pPr>
          </w:p>
        </w:tc>
        <w:tc>
          <w:tcPr>
            <w:tcW w:w="250" w:type="pct"/>
            <w:vAlign w:val="center"/>
          </w:tcPr>
          <w:p w14:paraId="53C783E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81D12AF" w14:textId="77777777" w:rsidR="00A53EA0" w:rsidRPr="006B1E10" w:rsidRDefault="00A53EA0" w:rsidP="00A53EA0">
            <w:pPr>
              <w:rPr>
                <w:rFonts w:ascii="Calibri" w:hAnsi="Calibri"/>
                <w:color w:val="000000"/>
                <w:sz w:val="18"/>
                <w:szCs w:val="18"/>
              </w:rPr>
            </w:pPr>
          </w:p>
        </w:tc>
        <w:tc>
          <w:tcPr>
            <w:tcW w:w="249" w:type="pct"/>
            <w:vAlign w:val="center"/>
          </w:tcPr>
          <w:p w14:paraId="7E629983"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27A843E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7D41E4E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3F893D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4D8C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426512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4D04021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DD0D35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F47B5A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D10785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BE6B0E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C1D3FF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92BF3D2"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16359A41" w14:textId="77777777" w:rsidR="00A53EA0" w:rsidRPr="006B1E10" w:rsidRDefault="00A53EA0" w:rsidP="00A53EA0">
            <w:pPr>
              <w:rPr>
                <w:rFonts w:ascii="Calibri" w:hAnsi="Calibri"/>
                <w:color w:val="000000"/>
                <w:sz w:val="18"/>
                <w:szCs w:val="18"/>
              </w:rPr>
            </w:pPr>
          </w:p>
        </w:tc>
      </w:tr>
      <w:tr w:rsidR="00A53EA0" w:rsidRPr="006B1E10" w14:paraId="01FA4C0B" w14:textId="77777777" w:rsidTr="00A53EA0">
        <w:trPr>
          <w:trHeight w:val="454"/>
          <w:tblHeader/>
        </w:trPr>
        <w:tc>
          <w:tcPr>
            <w:tcW w:w="771" w:type="pct"/>
            <w:shd w:val="clear" w:color="auto" w:fill="auto"/>
            <w:noWrap/>
            <w:vAlign w:val="center"/>
          </w:tcPr>
          <w:p w14:paraId="32B65925"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regorafenib</w:t>
            </w:r>
          </w:p>
        </w:tc>
        <w:tc>
          <w:tcPr>
            <w:tcW w:w="249" w:type="pct"/>
            <w:shd w:val="clear" w:color="auto" w:fill="auto"/>
            <w:noWrap/>
            <w:vAlign w:val="center"/>
          </w:tcPr>
          <w:p w14:paraId="1886B44A" w14:textId="77777777" w:rsidR="00A53EA0" w:rsidRPr="006B1E10" w:rsidRDefault="00A53EA0" w:rsidP="00A53EA0">
            <w:pPr>
              <w:rPr>
                <w:rFonts w:asciiTheme="minorHAnsi" w:hAnsiTheme="minorHAnsi"/>
                <w:color w:val="000000"/>
                <w:sz w:val="18"/>
                <w:szCs w:val="18"/>
                <w:highlight w:val="yellow"/>
              </w:rPr>
            </w:pPr>
          </w:p>
        </w:tc>
        <w:tc>
          <w:tcPr>
            <w:tcW w:w="250" w:type="pct"/>
            <w:vAlign w:val="center"/>
          </w:tcPr>
          <w:p w14:paraId="02BF382E"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7CDAE026"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73D60EC9"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76022509"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vAlign w:val="center"/>
          </w:tcPr>
          <w:p w14:paraId="4B53B963"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65FBF330"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0DAD6BAE"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000000" w:fill="FFFFFF"/>
            <w:noWrap/>
            <w:vAlign w:val="center"/>
          </w:tcPr>
          <w:p w14:paraId="5108B39F"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8" w:type="pct"/>
            <w:shd w:val="clear" w:color="auto" w:fill="auto"/>
            <w:noWrap/>
            <w:vAlign w:val="center"/>
          </w:tcPr>
          <w:p w14:paraId="55DFCA8E"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056A83BB"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624C3DC0"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21E9DE05"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23F7358B"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5DCDD329"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C2AB88B" w14:textId="77777777" w:rsidR="00A53EA0" w:rsidRPr="006B1E10" w:rsidRDefault="00A53EA0" w:rsidP="00A53EA0">
            <w:pPr>
              <w:rPr>
                <w:rFonts w:asciiTheme="minorHAnsi" w:hAnsiTheme="minorHAnsi"/>
                <w:sz w:val="18"/>
                <w:szCs w:val="18"/>
                <w:highlight w:val="magenta"/>
              </w:rPr>
            </w:pPr>
          </w:p>
        </w:tc>
        <w:tc>
          <w:tcPr>
            <w:tcW w:w="245" w:type="pct"/>
            <w:shd w:val="clear" w:color="auto" w:fill="FFFFFF"/>
            <w:noWrap/>
            <w:vAlign w:val="center"/>
          </w:tcPr>
          <w:p w14:paraId="4DF66E82" w14:textId="77777777" w:rsidR="00A53EA0" w:rsidRPr="006B1E10" w:rsidRDefault="00A53EA0" w:rsidP="00A53EA0">
            <w:pPr>
              <w:rPr>
                <w:rFonts w:asciiTheme="minorHAnsi" w:hAnsiTheme="minorHAnsi"/>
                <w:sz w:val="18"/>
                <w:szCs w:val="18"/>
                <w:lang w:val="en-US"/>
              </w:rPr>
            </w:pPr>
          </w:p>
        </w:tc>
      </w:tr>
      <w:tr w:rsidR="00A53EA0" w:rsidRPr="006B1E10" w14:paraId="14867F30" w14:textId="77777777" w:rsidTr="00A53EA0">
        <w:trPr>
          <w:trHeight w:val="454"/>
          <w:tblHeader/>
        </w:trPr>
        <w:tc>
          <w:tcPr>
            <w:tcW w:w="771" w:type="pct"/>
            <w:shd w:val="clear" w:color="auto" w:fill="auto"/>
            <w:noWrap/>
            <w:vAlign w:val="center"/>
          </w:tcPr>
          <w:p w14:paraId="7A43FB2A"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ribociclib</w:t>
            </w:r>
          </w:p>
        </w:tc>
        <w:tc>
          <w:tcPr>
            <w:tcW w:w="249" w:type="pct"/>
            <w:shd w:val="clear" w:color="auto" w:fill="auto"/>
            <w:noWrap/>
            <w:vAlign w:val="center"/>
          </w:tcPr>
          <w:p w14:paraId="1D076ACE"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409924A5" w14:textId="77777777" w:rsidR="00A53EA0" w:rsidRPr="006B1E10" w:rsidRDefault="00A53EA0" w:rsidP="00A53EA0">
            <w:pPr>
              <w:rPr>
                <w:rFonts w:asciiTheme="minorHAnsi" w:hAnsiTheme="minorHAnsi"/>
                <w:color w:val="FF0000"/>
                <w:sz w:val="18"/>
                <w:szCs w:val="18"/>
                <w:highlight w:val="yellow"/>
                <w:lang w:val="en-US"/>
              </w:rPr>
            </w:pPr>
          </w:p>
        </w:tc>
        <w:tc>
          <w:tcPr>
            <w:tcW w:w="249" w:type="pct"/>
            <w:shd w:val="clear" w:color="auto" w:fill="auto"/>
            <w:noWrap/>
            <w:vAlign w:val="center"/>
          </w:tcPr>
          <w:p w14:paraId="4E1FB68A"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31AABBDA"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7DF56D5D" w14:textId="77777777" w:rsidR="00A53EA0" w:rsidRPr="006B1E10" w:rsidRDefault="00A53EA0" w:rsidP="00A53EA0">
            <w:pPr>
              <w:rPr>
                <w:rFonts w:asciiTheme="minorHAnsi" w:hAnsiTheme="minorHAnsi"/>
                <w:color w:val="FF0000"/>
                <w:sz w:val="18"/>
                <w:szCs w:val="18"/>
                <w:highlight w:val="yellow"/>
                <w:vertAlign w:val="superscript"/>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35</w:t>
            </w:r>
          </w:p>
        </w:tc>
        <w:tc>
          <w:tcPr>
            <w:tcW w:w="249" w:type="pct"/>
            <w:vAlign w:val="center"/>
          </w:tcPr>
          <w:p w14:paraId="4B717A73"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5B737CBF" w14:textId="77777777" w:rsidR="00A53EA0" w:rsidRPr="006B1E10" w:rsidRDefault="00A53EA0" w:rsidP="00A53EA0">
            <w:pPr>
              <w:rPr>
                <w:rFonts w:asciiTheme="minorHAnsi" w:hAnsiTheme="minorHAnsi"/>
                <w:sz w:val="18"/>
                <w:szCs w:val="18"/>
                <w:highlight w:val="yellow"/>
                <w:lang w:val="en-US"/>
              </w:rPr>
            </w:pPr>
          </w:p>
          <w:p w14:paraId="78858599" w14:textId="77777777" w:rsidR="00A53EA0" w:rsidRPr="006B1E10" w:rsidRDefault="00A53EA0" w:rsidP="00A53EA0">
            <w:pPr>
              <w:rPr>
                <w:rFonts w:asciiTheme="minorHAnsi" w:hAnsiTheme="minorHAnsi"/>
                <w:sz w:val="18"/>
                <w:szCs w:val="18"/>
                <w:highlight w:val="yellow"/>
                <w:lang w:val="en-US"/>
              </w:rPr>
            </w:pPr>
          </w:p>
          <w:p w14:paraId="35633319" w14:textId="77777777" w:rsidR="00A53EA0" w:rsidRPr="006B1E10" w:rsidRDefault="00A53EA0" w:rsidP="00A53EA0">
            <w:pPr>
              <w:rPr>
                <w:rFonts w:asciiTheme="minorHAnsi" w:hAnsiTheme="minorHAnsi"/>
                <w:sz w:val="18"/>
                <w:szCs w:val="18"/>
                <w:highlight w:val="yellow"/>
                <w:lang w:val="en-US"/>
              </w:rPr>
            </w:pPr>
          </w:p>
        </w:tc>
        <w:tc>
          <w:tcPr>
            <w:tcW w:w="249" w:type="pct"/>
            <w:shd w:val="clear" w:color="auto" w:fill="auto"/>
            <w:noWrap/>
            <w:vAlign w:val="center"/>
          </w:tcPr>
          <w:p w14:paraId="39AC0AF1"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p>
        </w:tc>
        <w:tc>
          <w:tcPr>
            <w:tcW w:w="249" w:type="pct"/>
            <w:shd w:val="clear" w:color="000000" w:fill="FFFFFF"/>
            <w:noWrap/>
            <w:vAlign w:val="center"/>
          </w:tcPr>
          <w:p w14:paraId="182C969F"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r>
              <w:rPr>
                <w:rFonts w:asciiTheme="minorHAnsi" w:hAnsiTheme="minorHAnsi"/>
                <w:sz w:val="18"/>
                <w:szCs w:val="18"/>
                <w:highlight w:val="yellow"/>
                <w:vertAlign w:val="superscript"/>
                <w:lang w:val="en-US"/>
              </w:rPr>
              <w:t>35</w:t>
            </w:r>
          </w:p>
        </w:tc>
        <w:tc>
          <w:tcPr>
            <w:tcW w:w="248" w:type="pct"/>
            <w:shd w:val="clear" w:color="auto" w:fill="auto"/>
            <w:noWrap/>
            <w:vAlign w:val="center"/>
          </w:tcPr>
          <w:p w14:paraId="019B07CA"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C</w:t>
            </w:r>
            <w:r>
              <w:rPr>
                <w:rFonts w:asciiTheme="minorHAnsi" w:hAnsiTheme="minorHAnsi"/>
                <w:sz w:val="18"/>
                <w:szCs w:val="18"/>
                <w:highlight w:val="yellow"/>
                <w:vertAlign w:val="superscript"/>
                <w:lang w:val="en-US"/>
              </w:rPr>
              <w:t>35</w:t>
            </w:r>
          </w:p>
        </w:tc>
        <w:tc>
          <w:tcPr>
            <w:tcW w:w="249" w:type="pct"/>
            <w:shd w:val="clear" w:color="auto" w:fill="auto"/>
            <w:noWrap/>
            <w:vAlign w:val="center"/>
          </w:tcPr>
          <w:p w14:paraId="33868270"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35</w:t>
            </w:r>
          </w:p>
        </w:tc>
        <w:tc>
          <w:tcPr>
            <w:tcW w:w="249" w:type="pct"/>
            <w:shd w:val="clear" w:color="auto" w:fill="auto"/>
            <w:noWrap/>
            <w:vAlign w:val="center"/>
          </w:tcPr>
          <w:p w14:paraId="4A46C30D"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r>
              <w:rPr>
                <w:rFonts w:asciiTheme="minorHAnsi" w:hAnsiTheme="minorHAnsi"/>
                <w:sz w:val="18"/>
                <w:szCs w:val="18"/>
                <w:highlight w:val="yellow"/>
                <w:vertAlign w:val="superscript"/>
                <w:lang w:val="en-US"/>
              </w:rPr>
              <w:t>35</w:t>
            </w:r>
          </w:p>
        </w:tc>
        <w:tc>
          <w:tcPr>
            <w:tcW w:w="249" w:type="pct"/>
            <w:shd w:val="clear" w:color="auto" w:fill="auto"/>
            <w:noWrap/>
            <w:vAlign w:val="center"/>
          </w:tcPr>
          <w:p w14:paraId="17B5B031"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034F728"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AFA8B93"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8C982A1" w14:textId="77777777" w:rsidR="00A53EA0" w:rsidRPr="006B1E10" w:rsidRDefault="00A53EA0" w:rsidP="00A53EA0">
            <w:pPr>
              <w:rPr>
                <w:rFonts w:asciiTheme="minorHAnsi" w:hAnsiTheme="minorHAnsi"/>
                <w:sz w:val="18"/>
                <w:szCs w:val="18"/>
                <w:highlight w:val="magenta"/>
              </w:rPr>
            </w:pPr>
          </w:p>
        </w:tc>
        <w:tc>
          <w:tcPr>
            <w:tcW w:w="245" w:type="pct"/>
            <w:shd w:val="clear" w:color="auto" w:fill="FFFFFF"/>
            <w:noWrap/>
            <w:vAlign w:val="center"/>
          </w:tcPr>
          <w:p w14:paraId="65A560FC" w14:textId="77777777" w:rsidR="00A53EA0" w:rsidRPr="006B1E10" w:rsidRDefault="00A53EA0" w:rsidP="00A53EA0">
            <w:pPr>
              <w:rPr>
                <w:rFonts w:asciiTheme="minorHAnsi" w:hAnsiTheme="minorHAnsi"/>
                <w:sz w:val="18"/>
                <w:szCs w:val="18"/>
                <w:highlight w:val="yellow"/>
              </w:rPr>
            </w:pPr>
          </w:p>
        </w:tc>
      </w:tr>
      <w:tr w:rsidR="00A53EA0" w:rsidRPr="006B1E10" w14:paraId="42BEF730" w14:textId="77777777" w:rsidTr="00A53EA0">
        <w:trPr>
          <w:trHeight w:val="454"/>
          <w:tblHeader/>
        </w:trPr>
        <w:tc>
          <w:tcPr>
            <w:tcW w:w="771" w:type="pct"/>
            <w:shd w:val="clear" w:color="auto" w:fill="auto"/>
            <w:noWrap/>
            <w:vAlign w:val="center"/>
          </w:tcPr>
          <w:p w14:paraId="06CA0D8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rifabutina</w:t>
            </w:r>
          </w:p>
        </w:tc>
        <w:tc>
          <w:tcPr>
            <w:tcW w:w="249" w:type="pct"/>
            <w:shd w:val="clear" w:color="auto" w:fill="auto"/>
            <w:noWrap/>
            <w:vAlign w:val="center"/>
          </w:tcPr>
          <w:p w14:paraId="107603FC" w14:textId="77777777" w:rsidR="00A53EA0" w:rsidRPr="006B1E10" w:rsidRDefault="00A53EA0" w:rsidP="00A53EA0">
            <w:pPr>
              <w:rPr>
                <w:rFonts w:ascii="Calibri" w:hAnsi="Calibri"/>
                <w:color w:val="000000"/>
                <w:sz w:val="18"/>
                <w:szCs w:val="18"/>
              </w:rPr>
            </w:pPr>
          </w:p>
        </w:tc>
        <w:tc>
          <w:tcPr>
            <w:tcW w:w="250" w:type="pct"/>
            <w:vAlign w:val="center"/>
          </w:tcPr>
          <w:p w14:paraId="1A838B6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387B261" w14:textId="77777777" w:rsidR="00A53EA0" w:rsidRPr="006B1E10" w:rsidRDefault="00A53EA0" w:rsidP="00A53EA0">
            <w:pPr>
              <w:rPr>
                <w:rFonts w:ascii="Calibri" w:hAnsi="Calibri"/>
                <w:color w:val="000000"/>
                <w:sz w:val="18"/>
                <w:szCs w:val="18"/>
              </w:rPr>
            </w:pPr>
          </w:p>
        </w:tc>
        <w:tc>
          <w:tcPr>
            <w:tcW w:w="249" w:type="pct"/>
            <w:vAlign w:val="center"/>
          </w:tcPr>
          <w:p w14:paraId="47D30369"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536BAA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1FA239AF"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sidRPr="006B1E10">
              <w:rPr>
                <w:rFonts w:ascii="Calibri" w:hAnsi="Calibri"/>
                <w:sz w:val="18"/>
                <w:szCs w:val="18"/>
                <w:vertAlign w:val="superscript"/>
                <w:lang w:eastAsia="en-US"/>
              </w:rPr>
              <w:t xml:space="preserve"> </w:t>
            </w:r>
            <w:r>
              <w:rPr>
                <w:rFonts w:ascii="Calibri" w:hAnsi="Calibri"/>
                <w:sz w:val="18"/>
                <w:szCs w:val="18"/>
                <w:vertAlign w:val="superscript"/>
                <w:lang w:eastAsia="en-US"/>
              </w:rPr>
              <w:t>6</w:t>
            </w:r>
          </w:p>
        </w:tc>
        <w:tc>
          <w:tcPr>
            <w:tcW w:w="249" w:type="pct"/>
            <w:shd w:val="clear" w:color="auto" w:fill="auto"/>
            <w:noWrap/>
            <w:vAlign w:val="center"/>
          </w:tcPr>
          <w:p w14:paraId="2D8BB2D6" w14:textId="77777777" w:rsidR="00A53EA0" w:rsidRPr="006B1E10" w:rsidRDefault="00A53EA0" w:rsidP="00A53EA0">
            <w:pPr>
              <w:rPr>
                <w:rFonts w:ascii="Calibri" w:hAnsi="Calibri"/>
                <w:color w:val="000000"/>
                <w:sz w:val="18"/>
                <w:szCs w:val="18"/>
              </w:rPr>
            </w:pP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r>
              <w:rPr>
                <w:rFonts w:ascii="Calibri" w:hAnsi="Calibri"/>
                <w:sz w:val="18"/>
                <w:szCs w:val="18"/>
                <w:vertAlign w:val="superscript"/>
                <w:lang w:val="en-US" w:eastAsia="en-US"/>
              </w:rPr>
              <w:t>29</w:t>
            </w:r>
          </w:p>
        </w:tc>
        <w:tc>
          <w:tcPr>
            <w:tcW w:w="249" w:type="pct"/>
            <w:shd w:val="clear" w:color="auto" w:fill="auto"/>
            <w:noWrap/>
            <w:vAlign w:val="center"/>
          </w:tcPr>
          <w:p w14:paraId="6358816C"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556A0997"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5FFEBB4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A6348F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F3121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1098E1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69DCA3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E64B95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261798" w14:textId="77777777" w:rsidR="00A53EA0" w:rsidRPr="006B1E10" w:rsidRDefault="00A53EA0" w:rsidP="00A53EA0">
            <w:pPr>
              <w:rPr>
                <w:rFonts w:ascii="Calibri" w:hAnsi="Calibri"/>
                <w:color w:val="000000"/>
                <w:sz w:val="18"/>
                <w:szCs w:val="18"/>
              </w:rPr>
            </w:pPr>
          </w:p>
        </w:tc>
        <w:tc>
          <w:tcPr>
            <w:tcW w:w="245" w:type="pct"/>
            <w:shd w:val="clear" w:color="auto" w:fill="FFFFFF"/>
            <w:noWrap/>
            <w:vAlign w:val="center"/>
          </w:tcPr>
          <w:p w14:paraId="6563DA6A"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39666D2B" w14:textId="77777777" w:rsidTr="00A53EA0">
        <w:trPr>
          <w:trHeight w:val="454"/>
          <w:tblHeader/>
        </w:trPr>
        <w:tc>
          <w:tcPr>
            <w:tcW w:w="771" w:type="pct"/>
            <w:shd w:val="clear" w:color="auto" w:fill="auto"/>
            <w:noWrap/>
            <w:vAlign w:val="center"/>
          </w:tcPr>
          <w:p w14:paraId="331DCE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rifapentina (ME)</w:t>
            </w:r>
          </w:p>
        </w:tc>
        <w:tc>
          <w:tcPr>
            <w:tcW w:w="249" w:type="pct"/>
            <w:shd w:val="clear" w:color="auto" w:fill="auto"/>
            <w:noWrap/>
            <w:vAlign w:val="center"/>
          </w:tcPr>
          <w:p w14:paraId="199134DB" w14:textId="77777777" w:rsidR="00A53EA0" w:rsidRPr="006B1E10" w:rsidRDefault="00A53EA0" w:rsidP="00A53EA0">
            <w:pPr>
              <w:rPr>
                <w:rFonts w:ascii="Calibri" w:hAnsi="Calibri"/>
                <w:color w:val="000000"/>
                <w:sz w:val="18"/>
                <w:szCs w:val="18"/>
              </w:rPr>
            </w:pPr>
          </w:p>
        </w:tc>
        <w:tc>
          <w:tcPr>
            <w:tcW w:w="250" w:type="pct"/>
            <w:vAlign w:val="center"/>
          </w:tcPr>
          <w:p w14:paraId="72A5634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DDDF9E6" w14:textId="77777777" w:rsidR="00A53EA0" w:rsidRPr="006B1E10" w:rsidRDefault="00A53EA0" w:rsidP="00A53EA0">
            <w:pPr>
              <w:rPr>
                <w:rFonts w:ascii="Calibri" w:hAnsi="Calibri"/>
                <w:color w:val="000000"/>
                <w:sz w:val="18"/>
                <w:szCs w:val="18"/>
              </w:rPr>
            </w:pPr>
          </w:p>
        </w:tc>
        <w:tc>
          <w:tcPr>
            <w:tcW w:w="249" w:type="pct"/>
            <w:vAlign w:val="center"/>
          </w:tcPr>
          <w:p w14:paraId="57C8D06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4DF11108"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34275086"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6348FEBE"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261A59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71AD1F8"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8" w:type="pct"/>
            <w:shd w:val="clear" w:color="auto" w:fill="auto"/>
            <w:noWrap/>
            <w:vAlign w:val="center"/>
          </w:tcPr>
          <w:p w14:paraId="5AF60CC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C56396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NR</w:t>
            </w:r>
          </w:p>
        </w:tc>
        <w:tc>
          <w:tcPr>
            <w:tcW w:w="249" w:type="pct"/>
            <w:shd w:val="clear" w:color="auto" w:fill="auto"/>
            <w:noWrap/>
            <w:vAlign w:val="center"/>
          </w:tcPr>
          <w:p w14:paraId="02E4832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1388302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AB4E5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E91C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200AD9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F116542"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0CD71003" w14:textId="77777777" w:rsidTr="00A53EA0">
        <w:trPr>
          <w:trHeight w:val="454"/>
          <w:tblHeader/>
        </w:trPr>
        <w:tc>
          <w:tcPr>
            <w:tcW w:w="771" w:type="pct"/>
            <w:shd w:val="clear" w:color="auto" w:fill="auto"/>
            <w:noWrap/>
            <w:vAlign w:val="center"/>
          </w:tcPr>
          <w:p w14:paraId="2976DC7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rifampicina</w:t>
            </w:r>
          </w:p>
        </w:tc>
        <w:tc>
          <w:tcPr>
            <w:tcW w:w="249" w:type="pct"/>
            <w:shd w:val="clear" w:color="auto" w:fill="auto"/>
            <w:noWrap/>
            <w:vAlign w:val="center"/>
          </w:tcPr>
          <w:p w14:paraId="4FF3C26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shd w:val="clear" w:color="auto" w:fill="FFFFFF"/>
                <w:vertAlign w:val="superscript"/>
                <w:lang w:val="en-US" w:eastAsia="en-US"/>
              </w:rPr>
              <w:t>9</w:t>
            </w:r>
          </w:p>
        </w:tc>
        <w:tc>
          <w:tcPr>
            <w:tcW w:w="250" w:type="pct"/>
            <w:vAlign w:val="center"/>
          </w:tcPr>
          <w:p w14:paraId="5574C93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7C585C35" w14:textId="77777777" w:rsidR="00A53EA0" w:rsidRPr="006B1E10" w:rsidRDefault="00A53EA0" w:rsidP="00A53EA0">
            <w:pPr>
              <w:rPr>
                <w:rFonts w:ascii="Calibri" w:hAnsi="Calibri"/>
                <w:color w:val="000000"/>
                <w:sz w:val="18"/>
                <w:szCs w:val="18"/>
              </w:rPr>
            </w:pPr>
          </w:p>
        </w:tc>
        <w:tc>
          <w:tcPr>
            <w:tcW w:w="249" w:type="pct"/>
            <w:shd w:val="clear" w:color="auto" w:fill="FFFFFF"/>
            <w:vAlign w:val="center"/>
          </w:tcPr>
          <w:p w14:paraId="64D6488D"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0BAA2743"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19B0E73F"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32A40E51"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AC5F644"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77857B6C"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56DCCD9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6FC77D9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532A912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30F6A1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660E4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33DD74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67804A6" w14:textId="77777777" w:rsidR="00A53EA0" w:rsidRPr="006B1E10" w:rsidRDefault="00A53EA0" w:rsidP="00A53EA0">
            <w:pPr>
              <w:rPr>
                <w:rFonts w:ascii="Calibri" w:hAnsi="Calibri"/>
                <w:color w:val="000000"/>
                <w:sz w:val="18"/>
                <w:szCs w:val="18"/>
              </w:rPr>
            </w:pPr>
          </w:p>
        </w:tc>
        <w:tc>
          <w:tcPr>
            <w:tcW w:w="245" w:type="pct"/>
            <w:shd w:val="clear" w:color="auto" w:fill="FFFFFF"/>
            <w:noWrap/>
            <w:vAlign w:val="center"/>
          </w:tcPr>
          <w:p w14:paraId="55572FF1"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0A260D6B" w14:textId="77777777" w:rsidTr="00A53EA0">
        <w:trPr>
          <w:trHeight w:val="454"/>
          <w:tblHeader/>
        </w:trPr>
        <w:tc>
          <w:tcPr>
            <w:tcW w:w="771" w:type="pct"/>
            <w:shd w:val="clear" w:color="auto" w:fill="auto"/>
            <w:noWrap/>
            <w:vAlign w:val="center"/>
          </w:tcPr>
          <w:p w14:paraId="318E064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rilpivirina</w:t>
            </w:r>
          </w:p>
        </w:tc>
        <w:tc>
          <w:tcPr>
            <w:tcW w:w="249" w:type="pct"/>
            <w:shd w:val="clear" w:color="auto" w:fill="auto"/>
            <w:noWrap/>
            <w:vAlign w:val="center"/>
          </w:tcPr>
          <w:p w14:paraId="30948F31" w14:textId="77777777" w:rsidR="00A53EA0" w:rsidRPr="006B1E10" w:rsidRDefault="00A53EA0" w:rsidP="00A53EA0">
            <w:pPr>
              <w:rPr>
                <w:rFonts w:ascii="Calibri" w:hAnsi="Calibri"/>
                <w:color w:val="000000"/>
                <w:sz w:val="18"/>
                <w:szCs w:val="18"/>
              </w:rPr>
            </w:pPr>
          </w:p>
        </w:tc>
        <w:tc>
          <w:tcPr>
            <w:tcW w:w="250" w:type="pct"/>
            <w:vAlign w:val="center"/>
          </w:tcPr>
          <w:p w14:paraId="4E460EC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B11F03" w14:textId="77777777" w:rsidR="00A53EA0" w:rsidRPr="006B1E10" w:rsidRDefault="00A53EA0" w:rsidP="00A53EA0">
            <w:pPr>
              <w:rPr>
                <w:rFonts w:ascii="Calibri" w:hAnsi="Calibri"/>
                <w:color w:val="000000"/>
                <w:sz w:val="18"/>
                <w:szCs w:val="18"/>
              </w:rPr>
            </w:pPr>
          </w:p>
        </w:tc>
        <w:tc>
          <w:tcPr>
            <w:tcW w:w="249" w:type="pct"/>
            <w:vAlign w:val="center"/>
          </w:tcPr>
          <w:p w14:paraId="55FF9D9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A4C97AC" w14:textId="77777777" w:rsidR="00A53EA0" w:rsidRPr="006B1E10" w:rsidRDefault="00A53EA0" w:rsidP="00A53EA0">
            <w:pPr>
              <w:rPr>
                <w:rFonts w:ascii="Calibri" w:hAnsi="Calibri"/>
                <w:color w:val="000000"/>
                <w:sz w:val="18"/>
                <w:szCs w:val="18"/>
              </w:rPr>
            </w:pPr>
          </w:p>
        </w:tc>
        <w:tc>
          <w:tcPr>
            <w:tcW w:w="249" w:type="pct"/>
            <w:shd w:val="clear" w:color="auto" w:fill="BFBFBF" w:themeFill="background1" w:themeFillShade="BF"/>
            <w:vAlign w:val="center"/>
          </w:tcPr>
          <w:p w14:paraId="77636CB6"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3C4E6A0B"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746FF70" w14:textId="77777777" w:rsidR="00A53EA0" w:rsidRPr="006B1E10" w:rsidRDefault="00A53EA0" w:rsidP="00A53EA0">
            <w:pPr>
              <w:rPr>
                <w:rFonts w:ascii="Calibri" w:hAnsi="Calibri"/>
                <w:b/>
                <w:bCs/>
                <w:color w:val="000000"/>
                <w:sz w:val="18"/>
                <w:szCs w:val="18"/>
              </w:rPr>
            </w:pPr>
          </w:p>
        </w:tc>
        <w:tc>
          <w:tcPr>
            <w:tcW w:w="249" w:type="pct"/>
            <w:shd w:val="clear" w:color="000000" w:fill="FFFFFF"/>
            <w:noWrap/>
            <w:vAlign w:val="center"/>
          </w:tcPr>
          <w:p w14:paraId="69C2448D"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5CCCBF6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D76E4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4AEFC9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81D731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CD6113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B5EC06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08C27C"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2419BAF5" w14:textId="77777777" w:rsidR="00A53EA0" w:rsidRPr="006B1E10" w:rsidRDefault="00A53EA0" w:rsidP="00A53EA0">
            <w:pPr>
              <w:rPr>
                <w:rFonts w:ascii="Calibri" w:hAnsi="Calibri"/>
                <w:color w:val="000000"/>
                <w:sz w:val="18"/>
                <w:szCs w:val="18"/>
              </w:rPr>
            </w:pPr>
          </w:p>
        </w:tc>
      </w:tr>
    </w:tbl>
    <w:p w14:paraId="70DD6F20"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3CA04C96"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9FD13BC"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CEB0FE6"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CDED7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71B619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ADD2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482129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0F9E9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B43029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4C7DDA9"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28F5EB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131161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28CC5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F330B1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43DCFD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25A69E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19EA39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DF74A8D"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2F3C38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046E7139" w14:textId="77777777" w:rsidTr="00A53EA0">
        <w:trPr>
          <w:trHeight w:val="454"/>
          <w:tblHeader/>
        </w:trPr>
        <w:tc>
          <w:tcPr>
            <w:tcW w:w="771" w:type="pct"/>
            <w:shd w:val="clear" w:color="auto" w:fill="auto"/>
            <w:noWrap/>
            <w:vAlign w:val="center"/>
          </w:tcPr>
          <w:p w14:paraId="6CA6E1B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rivaroxaban</w:t>
            </w:r>
          </w:p>
        </w:tc>
        <w:tc>
          <w:tcPr>
            <w:tcW w:w="249" w:type="pct"/>
            <w:shd w:val="clear" w:color="auto" w:fill="auto"/>
            <w:noWrap/>
            <w:vAlign w:val="center"/>
          </w:tcPr>
          <w:p w14:paraId="592E37C5" w14:textId="77777777" w:rsidR="00A53EA0" w:rsidRPr="006B1E10" w:rsidRDefault="00A53EA0" w:rsidP="00A53EA0">
            <w:pPr>
              <w:rPr>
                <w:rFonts w:ascii="Calibri" w:hAnsi="Calibri"/>
                <w:color w:val="000000"/>
                <w:sz w:val="18"/>
                <w:szCs w:val="18"/>
              </w:rPr>
            </w:pPr>
          </w:p>
        </w:tc>
        <w:tc>
          <w:tcPr>
            <w:tcW w:w="250" w:type="pct"/>
            <w:vAlign w:val="center"/>
          </w:tcPr>
          <w:p w14:paraId="5D1E580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0231D97" w14:textId="77777777" w:rsidR="00A53EA0" w:rsidRPr="006B1E10" w:rsidRDefault="00A53EA0" w:rsidP="00A53EA0">
            <w:pPr>
              <w:rPr>
                <w:rFonts w:ascii="Calibri" w:hAnsi="Calibri"/>
                <w:color w:val="000000"/>
                <w:sz w:val="18"/>
                <w:szCs w:val="18"/>
              </w:rPr>
            </w:pPr>
          </w:p>
        </w:tc>
        <w:tc>
          <w:tcPr>
            <w:tcW w:w="249" w:type="pct"/>
            <w:vAlign w:val="center"/>
          </w:tcPr>
          <w:p w14:paraId="0E331408"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58943937"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3</w:t>
            </w:r>
          </w:p>
        </w:tc>
        <w:tc>
          <w:tcPr>
            <w:tcW w:w="249" w:type="pct"/>
            <w:vAlign w:val="center"/>
          </w:tcPr>
          <w:p w14:paraId="4963E9A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908142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5FAA7A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auto" w:fill="auto"/>
            <w:noWrap/>
            <w:vAlign w:val="center"/>
          </w:tcPr>
          <w:p w14:paraId="5BFEE9C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3</w:t>
            </w:r>
          </w:p>
        </w:tc>
        <w:tc>
          <w:tcPr>
            <w:tcW w:w="248" w:type="pct"/>
            <w:shd w:val="clear" w:color="auto" w:fill="auto"/>
            <w:noWrap/>
            <w:vAlign w:val="center"/>
          </w:tcPr>
          <w:p w14:paraId="5D5AE93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3</w:t>
            </w:r>
          </w:p>
        </w:tc>
        <w:tc>
          <w:tcPr>
            <w:tcW w:w="249" w:type="pct"/>
            <w:shd w:val="clear" w:color="auto" w:fill="auto"/>
            <w:noWrap/>
            <w:vAlign w:val="center"/>
          </w:tcPr>
          <w:p w14:paraId="03B16A67"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3</w:t>
            </w:r>
          </w:p>
        </w:tc>
        <w:tc>
          <w:tcPr>
            <w:tcW w:w="249" w:type="pct"/>
            <w:shd w:val="clear" w:color="auto" w:fill="auto"/>
            <w:noWrap/>
            <w:vAlign w:val="center"/>
          </w:tcPr>
          <w:p w14:paraId="484BA43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eastAsia="en-US"/>
              </w:rPr>
              <w:t>3</w:t>
            </w:r>
          </w:p>
        </w:tc>
        <w:tc>
          <w:tcPr>
            <w:tcW w:w="249" w:type="pct"/>
            <w:shd w:val="clear" w:color="auto" w:fill="auto"/>
            <w:noWrap/>
            <w:vAlign w:val="center"/>
          </w:tcPr>
          <w:p w14:paraId="18E7D80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1575CA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F8A8A3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0E67E55"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05896EDB" w14:textId="77777777" w:rsidR="00A53EA0" w:rsidRPr="006B1E10" w:rsidRDefault="00A53EA0" w:rsidP="00A53EA0">
            <w:pPr>
              <w:rPr>
                <w:rFonts w:ascii="Calibri" w:hAnsi="Calibri"/>
                <w:color w:val="000000"/>
                <w:sz w:val="18"/>
                <w:szCs w:val="18"/>
              </w:rPr>
            </w:pPr>
          </w:p>
        </w:tc>
      </w:tr>
      <w:tr w:rsidR="00A53EA0" w:rsidRPr="006B1E10" w14:paraId="00A7A6D4" w14:textId="77777777" w:rsidTr="00A53EA0">
        <w:trPr>
          <w:trHeight w:val="454"/>
          <w:tblHeader/>
        </w:trPr>
        <w:tc>
          <w:tcPr>
            <w:tcW w:w="771" w:type="pct"/>
            <w:shd w:val="clear" w:color="auto" w:fill="auto"/>
            <w:noWrap/>
            <w:vAlign w:val="center"/>
          </w:tcPr>
          <w:p w14:paraId="1BFA4AE3"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t>rolapitant</w:t>
            </w:r>
          </w:p>
        </w:tc>
        <w:tc>
          <w:tcPr>
            <w:tcW w:w="249" w:type="pct"/>
            <w:shd w:val="clear" w:color="auto" w:fill="auto"/>
            <w:noWrap/>
            <w:vAlign w:val="center"/>
          </w:tcPr>
          <w:p w14:paraId="6C179C43"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60D2A036" w14:textId="77777777" w:rsidR="00A53EA0" w:rsidRPr="006B1E10" w:rsidRDefault="00A53EA0" w:rsidP="00A53EA0">
            <w:pPr>
              <w:rPr>
                <w:rFonts w:asciiTheme="minorHAnsi" w:hAnsiTheme="minorHAnsi"/>
                <w:color w:val="FF0000"/>
                <w:sz w:val="18"/>
                <w:szCs w:val="18"/>
                <w:highlight w:val="yellow"/>
                <w:lang w:val="en-US"/>
              </w:rPr>
            </w:pPr>
          </w:p>
        </w:tc>
        <w:tc>
          <w:tcPr>
            <w:tcW w:w="249" w:type="pct"/>
            <w:shd w:val="clear" w:color="auto" w:fill="auto"/>
            <w:noWrap/>
            <w:vAlign w:val="center"/>
          </w:tcPr>
          <w:p w14:paraId="0B592AC9"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76CB1B76"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FFFFFF"/>
            <w:noWrap/>
            <w:vAlign w:val="center"/>
          </w:tcPr>
          <w:p w14:paraId="68E971C7" w14:textId="77777777" w:rsidR="00A53EA0" w:rsidRPr="006B1E10" w:rsidRDefault="00A53EA0" w:rsidP="00A53EA0">
            <w:pPr>
              <w:rPr>
                <w:rFonts w:asciiTheme="minorHAnsi" w:hAnsiTheme="minorHAnsi"/>
                <w:sz w:val="18"/>
                <w:szCs w:val="18"/>
                <w:highlight w:val="yellow"/>
                <w:lang w:val="en-US"/>
              </w:rPr>
            </w:pPr>
          </w:p>
        </w:tc>
        <w:tc>
          <w:tcPr>
            <w:tcW w:w="249" w:type="pct"/>
            <w:vAlign w:val="center"/>
          </w:tcPr>
          <w:p w14:paraId="5EBEDF7E"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5B90DCCF"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5F73CA96" w14:textId="77777777" w:rsidR="00A53EA0" w:rsidRPr="006B1E10" w:rsidRDefault="00A53EA0" w:rsidP="00A53EA0">
            <w:pPr>
              <w:rPr>
                <w:rFonts w:asciiTheme="minorHAnsi" w:hAnsiTheme="minorHAnsi"/>
                <w:sz w:val="18"/>
                <w:szCs w:val="18"/>
                <w:highlight w:val="magenta"/>
              </w:rPr>
            </w:pPr>
          </w:p>
        </w:tc>
        <w:tc>
          <w:tcPr>
            <w:tcW w:w="249" w:type="pct"/>
            <w:shd w:val="clear" w:color="auto" w:fill="FFFFFF"/>
            <w:noWrap/>
            <w:vAlign w:val="center"/>
          </w:tcPr>
          <w:p w14:paraId="782FD114" w14:textId="77777777" w:rsidR="00A53EA0" w:rsidRPr="006B1E10" w:rsidRDefault="00A53EA0" w:rsidP="00A53EA0">
            <w:pPr>
              <w:rPr>
                <w:rFonts w:asciiTheme="minorHAnsi" w:hAnsiTheme="minorHAnsi"/>
                <w:sz w:val="18"/>
                <w:szCs w:val="18"/>
                <w:highlight w:val="magenta"/>
                <w:lang w:val="en-US"/>
              </w:rPr>
            </w:pPr>
          </w:p>
        </w:tc>
        <w:tc>
          <w:tcPr>
            <w:tcW w:w="248" w:type="pct"/>
            <w:shd w:val="clear" w:color="auto" w:fill="auto"/>
            <w:noWrap/>
            <w:vAlign w:val="center"/>
          </w:tcPr>
          <w:p w14:paraId="5D74DE61"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678421A7"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530BEB85"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0B571DB8"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281BCB80"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4D5AB50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2BE0C5D6" w14:textId="77777777" w:rsidR="00A53EA0" w:rsidRPr="006B1E10" w:rsidRDefault="00A53EA0" w:rsidP="00A53EA0">
            <w:pPr>
              <w:rPr>
                <w:rFonts w:asciiTheme="minorHAnsi" w:hAnsiTheme="minorHAnsi"/>
                <w:sz w:val="18"/>
                <w:szCs w:val="18"/>
                <w:highlight w:val="magenta"/>
              </w:rPr>
            </w:pPr>
          </w:p>
        </w:tc>
        <w:tc>
          <w:tcPr>
            <w:tcW w:w="245" w:type="pct"/>
            <w:shd w:val="clear" w:color="auto" w:fill="auto"/>
            <w:noWrap/>
            <w:vAlign w:val="center"/>
          </w:tcPr>
          <w:p w14:paraId="69125DDC" w14:textId="77777777" w:rsidR="00A53EA0" w:rsidRPr="006B1E10" w:rsidRDefault="00A53EA0" w:rsidP="00A53EA0">
            <w:pPr>
              <w:rPr>
                <w:rFonts w:asciiTheme="minorHAnsi" w:hAnsiTheme="minorHAnsi"/>
                <w:sz w:val="18"/>
                <w:szCs w:val="18"/>
                <w:highlight w:val="magenta"/>
              </w:rPr>
            </w:pPr>
          </w:p>
        </w:tc>
      </w:tr>
      <w:tr w:rsidR="00A53EA0" w:rsidRPr="006B1E10" w14:paraId="554C477B" w14:textId="77777777" w:rsidTr="00A53EA0">
        <w:trPr>
          <w:trHeight w:val="454"/>
          <w:tblHeader/>
        </w:trPr>
        <w:tc>
          <w:tcPr>
            <w:tcW w:w="771" w:type="pct"/>
            <w:shd w:val="clear" w:color="auto" w:fill="auto"/>
            <w:noWrap/>
            <w:vAlign w:val="center"/>
          </w:tcPr>
          <w:p w14:paraId="3AB7C7B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salmeterol</w:t>
            </w:r>
          </w:p>
        </w:tc>
        <w:tc>
          <w:tcPr>
            <w:tcW w:w="249" w:type="pct"/>
            <w:shd w:val="clear" w:color="auto" w:fill="auto"/>
            <w:noWrap/>
            <w:vAlign w:val="center"/>
          </w:tcPr>
          <w:p w14:paraId="37749F61" w14:textId="77777777" w:rsidR="00A53EA0" w:rsidRPr="006B1E10" w:rsidRDefault="00A53EA0" w:rsidP="00A53EA0">
            <w:pPr>
              <w:rPr>
                <w:rFonts w:ascii="Calibri" w:hAnsi="Calibri"/>
                <w:color w:val="000000"/>
                <w:sz w:val="18"/>
                <w:szCs w:val="18"/>
              </w:rPr>
            </w:pPr>
          </w:p>
        </w:tc>
        <w:tc>
          <w:tcPr>
            <w:tcW w:w="250" w:type="pct"/>
            <w:vAlign w:val="center"/>
          </w:tcPr>
          <w:p w14:paraId="1013158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72D5B85" w14:textId="77777777" w:rsidR="00A53EA0" w:rsidRPr="006B1E10" w:rsidRDefault="00A53EA0" w:rsidP="00A53EA0">
            <w:pPr>
              <w:rPr>
                <w:rFonts w:ascii="Calibri" w:hAnsi="Calibri"/>
                <w:color w:val="000000"/>
                <w:sz w:val="18"/>
                <w:szCs w:val="18"/>
              </w:rPr>
            </w:pPr>
          </w:p>
        </w:tc>
        <w:tc>
          <w:tcPr>
            <w:tcW w:w="249" w:type="pct"/>
            <w:vAlign w:val="center"/>
          </w:tcPr>
          <w:p w14:paraId="321CCCB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5E75D2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vAlign w:val="center"/>
          </w:tcPr>
          <w:p w14:paraId="67EE847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45D233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41C1E10"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05BA310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8" w:type="pct"/>
            <w:shd w:val="clear" w:color="auto" w:fill="auto"/>
            <w:noWrap/>
            <w:vAlign w:val="center"/>
          </w:tcPr>
          <w:p w14:paraId="52F835A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1730476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22F0EA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2531D2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9912E6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1AD7D0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A2796A"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F18CBB8" w14:textId="77777777" w:rsidR="00A53EA0" w:rsidRPr="006B1E10" w:rsidRDefault="00A53EA0" w:rsidP="00A53EA0">
            <w:pPr>
              <w:rPr>
                <w:rFonts w:ascii="Calibri" w:hAnsi="Calibri"/>
                <w:color w:val="000000"/>
                <w:sz w:val="18"/>
                <w:szCs w:val="18"/>
              </w:rPr>
            </w:pPr>
          </w:p>
        </w:tc>
      </w:tr>
      <w:tr w:rsidR="00A53EA0" w:rsidRPr="006B1E10" w14:paraId="6B1A1FB5" w14:textId="77777777" w:rsidTr="00A53EA0">
        <w:trPr>
          <w:trHeight w:val="454"/>
          <w:tblHeader/>
        </w:trPr>
        <w:tc>
          <w:tcPr>
            <w:tcW w:w="771" w:type="pct"/>
            <w:shd w:val="clear" w:color="auto" w:fill="auto"/>
            <w:noWrap/>
            <w:vAlign w:val="center"/>
          </w:tcPr>
          <w:p w14:paraId="6A5F1A4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saquinavir/ritonavir</w:t>
            </w:r>
          </w:p>
        </w:tc>
        <w:tc>
          <w:tcPr>
            <w:tcW w:w="249" w:type="pct"/>
            <w:shd w:val="clear" w:color="auto" w:fill="auto"/>
            <w:noWrap/>
            <w:vAlign w:val="center"/>
          </w:tcPr>
          <w:p w14:paraId="5D7F81B6" w14:textId="77777777" w:rsidR="00A53EA0" w:rsidRPr="006B1E10" w:rsidRDefault="00A53EA0" w:rsidP="00A53EA0">
            <w:pPr>
              <w:rPr>
                <w:rFonts w:ascii="Calibri" w:hAnsi="Calibri"/>
                <w:color w:val="000000"/>
                <w:sz w:val="18"/>
                <w:szCs w:val="18"/>
              </w:rPr>
            </w:pPr>
          </w:p>
        </w:tc>
        <w:tc>
          <w:tcPr>
            <w:tcW w:w="250" w:type="pct"/>
            <w:vAlign w:val="center"/>
          </w:tcPr>
          <w:p w14:paraId="7FA0093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398F7F78" w14:textId="77777777" w:rsidR="00A53EA0" w:rsidRPr="006B1E10" w:rsidRDefault="00A53EA0" w:rsidP="00A53EA0">
            <w:pPr>
              <w:rPr>
                <w:rFonts w:ascii="Calibri" w:hAnsi="Calibri"/>
                <w:color w:val="000000"/>
                <w:sz w:val="18"/>
                <w:szCs w:val="18"/>
              </w:rPr>
            </w:pPr>
          </w:p>
        </w:tc>
        <w:tc>
          <w:tcPr>
            <w:tcW w:w="249" w:type="pct"/>
            <w:vAlign w:val="center"/>
          </w:tcPr>
          <w:p w14:paraId="5119E07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BFBFBF"/>
            <w:noWrap/>
            <w:vAlign w:val="center"/>
          </w:tcPr>
          <w:p w14:paraId="68C4B561" w14:textId="77777777" w:rsidR="00A53EA0" w:rsidRPr="006B1E10" w:rsidRDefault="00A53EA0" w:rsidP="00A53EA0">
            <w:pPr>
              <w:rPr>
                <w:rFonts w:ascii="Calibri" w:hAnsi="Calibri"/>
                <w:color w:val="000000"/>
                <w:sz w:val="18"/>
                <w:szCs w:val="18"/>
              </w:rPr>
            </w:pPr>
          </w:p>
        </w:tc>
        <w:tc>
          <w:tcPr>
            <w:tcW w:w="249" w:type="pct"/>
            <w:vAlign w:val="center"/>
          </w:tcPr>
          <w:p w14:paraId="5D6F320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DE8CE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DCF943E"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F76D5B5"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5CF149A8"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2FA3A81F"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34756AE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793F2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D44B6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85D62D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1A6BE2E"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54DADB4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5A2F4D98" w14:textId="77777777" w:rsidTr="00A53EA0">
        <w:trPr>
          <w:trHeight w:val="454"/>
          <w:tblHeader/>
        </w:trPr>
        <w:tc>
          <w:tcPr>
            <w:tcW w:w="771" w:type="pct"/>
            <w:shd w:val="clear" w:color="auto" w:fill="auto"/>
            <w:noWrap/>
            <w:vAlign w:val="center"/>
          </w:tcPr>
          <w:p w14:paraId="643F4D7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sertindol</w:t>
            </w:r>
          </w:p>
        </w:tc>
        <w:tc>
          <w:tcPr>
            <w:tcW w:w="249" w:type="pct"/>
            <w:shd w:val="clear" w:color="auto" w:fill="auto"/>
            <w:noWrap/>
            <w:vAlign w:val="center"/>
          </w:tcPr>
          <w:p w14:paraId="6B8B27CA" w14:textId="77777777" w:rsidR="00A53EA0" w:rsidRPr="006B1E10" w:rsidRDefault="00A53EA0" w:rsidP="00A53EA0">
            <w:pPr>
              <w:rPr>
                <w:rFonts w:ascii="Calibri" w:hAnsi="Calibri"/>
                <w:color w:val="000000"/>
                <w:sz w:val="18"/>
                <w:szCs w:val="18"/>
              </w:rPr>
            </w:pPr>
          </w:p>
        </w:tc>
        <w:tc>
          <w:tcPr>
            <w:tcW w:w="250" w:type="pct"/>
            <w:vAlign w:val="center"/>
          </w:tcPr>
          <w:p w14:paraId="5482699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A1AA858" w14:textId="77777777" w:rsidR="00A53EA0" w:rsidRPr="006B1E10" w:rsidRDefault="00A53EA0" w:rsidP="00A53EA0">
            <w:pPr>
              <w:rPr>
                <w:rFonts w:ascii="Calibri" w:hAnsi="Calibri"/>
                <w:color w:val="000000"/>
                <w:sz w:val="18"/>
                <w:szCs w:val="18"/>
              </w:rPr>
            </w:pPr>
          </w:p>
        </w:tc>
        <w:tc>
          <w:tcPr>
            <w:tcW w:w="249" w:type="pct"/>
            <w:vAlign w:val="center"/>
          </w:tcPr>
          <w:p w14:paraId="5BB8F88E"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62244F7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2608F64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0DBB85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83A9E58"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0BD9622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2D98016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3B7AE14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4221DB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BDBC28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8C2EA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8B4673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BE8B447"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7958AE9A" w14:textId="77777777" w:rsidR="00A53EA0" w:rsidRPr="006B1E10" w:rsidRDefault="00A53EA0" w:rsidP="00A53EA0">
            <w:pPr>
              <w:rPr>
                <w:rFonts w:ascii="Calibri" w:hAnsi="Calibri"/>
                <w:color w:val="000000"/>
                <w:sz w:val="18"/>
                <w:szCs w:val="18"/>
              </w:rPr>
            </w:pPr>
          </w:p>
        </w:tc>
      </w:tr>
      <w:tr w:rsidR="00A53EA0" w:rsidRPr="006B1E10" w14:paraId="06593D9C" w14:textId="77777777" w:rsidTr="00A53EA0">
        <w:trPr>
          <w:trHeight w:val="454"/>
          <w:tblHeader/>
        </w:trPr>
        <w:tc>
          <w:tcPr>
            <w:tcW w:w="771" w:type="pct"/>
            <w:shd w:val="clear" w:color="auto" w:fill="auto"/>
            <w:noWrap/>
            <w:vAlign w:val="center"/>
          </w:tcPr>
          <w:p w14:paraId="63C09F9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sildenafilo (Revatio®) HT pulmonar</w:t>
            </w:r>
          </w:p>
        </w:tc>
        <w:tc>
          <w:tcPr>
            <w:tcW w:w="249" w:type="pct"/>
            <w:shd w:val="clear" w:color="auto" w:fill="auto"/>
            <w:noWrap/>
            <w:vAlign w:val="center"/>
          </w:tcPr>
          <w:p w14:paraId="6FB7B98C" w14:textId="77777777" w:rsidR="00A53EA0" w:rsidRPr="006B1E10" w:rsidRDefault="00A53EA0" w:rsidP="00A53EA0">
            <w:pPr>
              <w:rPr>
                <w:rFonts w:ascii="Calibri" w:hAnsi="Calibri"/>
                <w:color w:val="000000"/>
                <w:sz w:val="18"/>
                <w:szCs w:val="18"/>
              </w:rPr>
            </w:pPr>
          </w:p>
        </w:tc>
        <w:tc>
          <w:tcPr>
            <w:tcW w:w="250" w:type="pct"/>
            <w:vAlign w:val="center"/>
          </w:tcPr>
          <w:p w14:paraId="7656318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3B824F9" w14:textId="77777777" w:rsidR="00A53EA0" w:rsidRPr="006B1E10" w:rsidRDefault="00A53EA0" w:rsidP="00A53EA0">
            <w:pPr>
              <w:rPr>
                <w:rFonts w:ascii="Calibri" w:hAnsi="Calibri"/>
                <w:color w:val="000000"/>
                <w:sz w:val="18"/>
                <w:szCs w:val="18"/>
              </w:rPr>
            </w:pPr>
          </w:p>
        </w:tc>
        <w:tc>
          <w:tcPr>
            <w:tcW w:w="249" w:type="pct"/>
            <w:vAlign w:val="center"/>
          </w:tcPr>
          <w:p w14:paraId="2A6F3F3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08D839BC"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vAlign w:val="center"/>
          </w:tcPr>
          <w:p w14:paraId="6A2B893B"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233C9585"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6640D72C" w14:textId="77777777" w:rsidR="00A53EA0" w:rsidRPr="006B1E10" w:rsidRDefault="00A53EA0" w:rsidP="00A53EA0">
            <w:pPr>
              <w:rPr>
                <w:rFonts w:ascii="Calibri" w:hAnsi="Calibri"/>
                <w:color w:val="000000"/>
                <w:sz w:val="18"/>
                <w:szCs w:val="18"/>
              </w:rPr>
            </w:pPr>
          </w:p>
        </w:tc>
        <w:tc>
          <w:tcPr>
            <w:tcW w:w="249" w:type="pct"/>
            <w:shd w:val="clear" w:color="auto" w:fill="FFFFFF"/>
            <w:noWrap/>
            <w:vAlign w:val="center"/>
          </w:tcPr>
          <w:p w14:paraId="608B943D"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65C2DF85"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005D8B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7B57D7C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3FE757D"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3EE360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49B302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09386A3"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26A0EAB7" w14:textId="77777777" w:rsidR="00A53EA0" w:rsidRPr="006B1E10" w:rsidRDefault="00A53EA0" w:rsidP="00A53EA0">
            <w:pPr>
              <w:rPr>
                <w:rFonts w:ascii="Calibri" w:hAnsi="Calibri"/>
                <w:color w:val="000000"/>
                <w:sz w:val="18"/>
                <w:szCs w:val="18"/>
              </w:rPr>
            </w:pPr>
          </w:p>
        </w:tc>
      </w:tr>
      <w:tr w:rsidR="00A53EA0" w:rsidRPr="006B1E10" w14:paraId="70808557" w14:textId="77777777" w:rsidTr="00A53EA0">
        <w:trPr>
          <w:trHeight w:val="454"/>
          <w:tblHeader/>
        </w:trPr>
        <w:tc>
          <w:tcPr>
            <w:tcW w:w="771" w:type="pct"/>
            <w:shd w:val="clear" w:color="auto" w:fill="auto"/>
            <w:noWrap/>
            <w:vAlign w:val="center"/>
          </w:tcPr>
          <w:p w14:paraId="289D35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silodosina</w:t>
            </w:r>
          </w:p>
        </w:tc>
        <w:tc>
          <w:tcPr>
            <w:tcW w:w="249" w:type="pct"/>
            <w:shd w:val="clear" w:color="auto" w:fill="auto"/>
            <w:noWrap/>
            <w:vAlign w:val="center"/>
          </w:tcPr>
          <w:p w14:paraId="322BB8E5" w14:textId="77777777" w:rsidR="00A53EA0" w:rsidRPr="006B1E10" w:rsidRDefault="00A53EA0" w:rsidP="00A53EA0">
            <w:pPr>
              <w:rPr>
                <w:rFonts w:ascii="Calibri" w:hAnsi="Calibri"/>
                <w:color w:val="000000"/>
                <w:sz w:val="18"/>
                <w:szCs w:val="18"/>
              </w:rPr>
            </w:pPr>
          </w:p>
        </w:tc>
        <w:tc>
          <w:tcPr>
            <w:tcW w:w="250" w:type="pct"/>
            <w:vAlign w:val="center"/>
          </w:tcPr>
          <w:p w14:paraId="5260E83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AB909E0" w14:textId="77777777" w:rsidR="00A53EA0" w:rsidRPr="006B1E10" w:rsidRDefault="00A53EA0" w:rsidP="00A53EA0">
            <w:pPr>
              <w:rPr>
                <w:rFonts w:ascii="Calibri" w:hAnsi="Calibri"/>
                <w:color w:val="000000"/>
                <w:sz w:val="18"/>
                <w:szCs w:val="18"/>
              </w:rPr>
            </w:pPr>
          </w:p>
        </w:tc>
        <w:tc>
          <w:tcPr>
            <w:tcW w:w="249" w:type="pct"/>
            <w:vAlign w:val="center"/>
          </w:tcPr>
          <w:p w14:paraId="57BCC14C"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F50622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36</w:t>
            </w:r>
          </w:p>
        </w:tc>
        <w:tc>
          <w:tcPr>
            <w:tcW w:w="249" w:type="pct"/>
            <w:vAlign w:val="center"/>
          </w:tcPr>
          <w:p w14:paraId="49D2D22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7D412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DE8FC9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E2F7C7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2B1442">
              <w:rPr>
                <w:rFonts w:ascii="Calibri" w:hAnsi="Calibri"/>
                <w:sz w:val="18"/>
                <w:szCs w:val="18"/>
                <w:vertAlign w:val="superscript"/>
                <w:lang w:val="en-US" w:eastAsia="en-US"/>
              </w:rPr>
              <w:t>36</w:t>
            </w:r>
          </w:p>
        </w:tc>
        <w:tc>
          <w:tcPr>
            <w:tcW w:w="248" w:type="pct"/>
            <w:shd w:val="clear" w:color="auto" w:fill="auto"/>
            <w:noWrap/>
            <w:vAlign w:val="center"/>
          </w:tcPr>
          <w:p w14:paraId="0EC761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2B1442">
              <w:rPr>
                <w:rFonts w:ascii="Calibri" w:hAnsi="Calibri"/>
                <w:sz w:val="18"/>
                <w:szCs w:val="18"/>
                <w:vertAlign w:val="superscript"/>
                <w:lang w:val="en-US" w:eastAsia="en-US"/>
              </w:rPr>
              <w:t>36</w:t>
            </w:r>
          </w:p>
        </w:tc>
        <w:tc>
          <w:tcPr>
            <w:tcW w:w="249" w:type="pct"/>
            <w:shd w:val="clear" w:color="auto" w:fill="auto"/>
            <w:noWrap/>
            <w:vAlign w:val="center"/>
          </w:tcPr>
          <w:p w14:paraId="11E274C2"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2B1442">
              <w:rPr>
                <w:rFonts w:ascii="Calibri" w:hAnsi="Calibri"/>
                <w:sz w:val="18"/>
                <w:szCs w:val="18"/>
                <w:vertAlign w:val="superscript"/>
                <w:lang w:val="en-US" w:eastAsia="en-US"/>
              </w:rPr>
              <w:t>36</w:t>
            </w:r>
          </w:p>
        </w:tc>
        <w:tc>
          <w:tcPr>
            <w:tcW w:w="249" w:type="pct"/>
            <w:shd w:val="clear" w:color="auto" w:fill="auto"/>
            <w:noWrap/>
            <w:vAlign w:val="center"/>
          </w:tcPr>
          <w:p w14:paraId="37A5EBD4"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2B1442">
              <w:rPr>
                <w:rFonts w:ascii="Calibri" w:hAnsi="Calibri"/>
                <w:sz w:val="18"/>
                <w:szCs w:val="18"/>
                <w:vertAlign w:val="superscript"/>
                <w:lang w:val="en-US" w:eastAsia="en-US"/>
              </w:rPr>
              <w:t>36</w:t>
            </w:r>
          </w:p>
        </w:tc>
        <w:tc>
          <w:tcPr>
            <w:tcW w:w="249" w:type="pct"/>
            <w:shd w:val="clear" w:color="auto" w:fill="auto"/>
            <w:noWrap/>
            <w:vAlign w:val="center"/>
          </w:tcPr>
          <w:p w14:paraId="7354E41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ABEB8B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C1429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2442DF" w14:textId="77777777" w:rsidR="00A53EA0" w:rsidRPr="006B1E10" w:rsidRDefault="00A53EA0" w:rsidP="00A53EA0">
            <w:pPr>
              <w:rPr>
                <w:rFonts w:ascii="Calibri" w:hAnsi="Calibri"/>
                <w:color w:val="000000"/>
                <w:sz w:val="18"/>
                <w:szCs w:val="18"/>
              </w:rPr>
            </w:pPr>
          </w:p>
        </w:tc>
        <w:tc>
          <w:tcPr>
            <w:tcW w:w="245" w:type="pct"/>
            <w:shd w:val="clear" w:color="auto" w:fill="auto"/>
            <w:noWrap/>
            <w:vAlign w:val="center"/>
          </w:tcPr>
          <w:p w14:paraId="20261857" w14:textId="77777777" w:rsidR="00A53EA0" w:rsidRPr="006B1E10" w:rsidRDefault="00A53EA0" w:rsidP="00A53EA0">
            <w:pPr>
              <w:rPr>
                <w:rFonts w:ascii="Calibri" w:hAnsi="Calibri"/>
                <w:color w:val="000000"/>
                <w:sz w:val="18"/>
                <w:szCs w:val="18"/>
              </w:rPr>
            </w:pPr>
          </w:p>
        </w:tc>
      </w:tr>
      <w:tr w:rsidR="00A53EA0" w:rsidRPr="006B1E10" w14:paraId="3DF35A01" w14:textId="77777777" w:rsidTr="00A53EA0">
        <w:trPr>
          <w:trHeight w:val="454"/>
          <w:tblHeader/>
        </w:trPr>
        <w:tc>
          <w:tcPr>
            <w:tcW w:w="771" w:type="pct"/>
            <w:shd w:val="clear" w:color="auto" w:fill="auto"/>
            <w:noWrap/>
            <w:vAlign w:val="center"/>
          </w:tcPr>
          <w:p w14:paraId="0D883C3E" w14:textId="77777777" w:rsidR="00A53EA0" w:rsidRPr="006B1E10" w:rsidRDefault="00A53EA0" w:rsidP="00A53EA0">
            <w:pPr>
              <w:rPr>
                <w:rFonts w:ascii="Calibri" w:hAnsi="Calibri"/>
                <w:color w:val="000000"/>
                <w:sz w:val="18"/>
                <w:szCs w:val="18"/>
              </w:rPr>
            </w:pPr>
            <w:r w:rsidRPr="006B1E10">
              <w:rPr>
                <w:sz w:val="18"/>
                <w:szCs w:val="18"/>
              </w:rPr>
              <w:br w:type="page"/>
            </w:r>
            <w:r w:rsidRPr="006B1E10">
              <w:rPr>
                <w:rFonts w:ascii="Calibri" w:hAnsi="Calibri"/>
                <w:color w:val="000000"/>
                <w:sz w:val="18"/>
                <w:szCs w:val="18"/>
              </w:rPr>
              <w:t>simeprevir</w:t>
            </w:r>
          </w:p>
        </w:tc>
        <w:tc>
          <w:tcPr>
            <w:tcW w:w="249" w:type="pct"/>
            <w:shd w:val="clear" w:color="auto" w:fill="auto"/>
            <w:noWrap/>
            <w:vAlign w:val="center"/>
          </w:tcPr>
          <w:p w14:paraId="3E7BBDB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C29C8E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0C50C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584CC59" w14:textId="77777777" w:rsidR="00A53EA0" w:rsidRPr="006B1E10" w:rsidRDefault="00A53EA0" w:rsidP="00A53EA0">
            <w:pPr>
              <w:rPr>
                <w:rFonts w:ascii="Calibri" w:hAnsi="Calibri"/>
                <w:color w:val="FF0000"/>
                <w:sz w:val="18"/>
                <w:szCs w:val="18"/>
                <w:shd w:val="clear" w:color="auto" w:fill="FFFFFF"/>
                <w:lang w:val="en-US" w:eastAsia="en-US"/>
              </w:rPr>
            </w:pPr>
          </w:p>
        </w:tc>
        <w:tc>
          <w:tcPr>
            <w:tcW w:w="249" w:type="pct"/>
            <w:shd w:val="clear" w:color="auto" w:fill="auto"/>
            <w:noWrap/>
            <w:vAlign w:val="center"/>
          </w:tcPr>
          <w:p w14:paraId="72A0402E"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shd w:val="clear" w:color="auto" w:fill="FFFFFF"/>
                <w:lang w:val="en-US" w:eastAsia="en-US"/>
              </w:rPr>
              <w:t xml:space="preserve"> N</w:t>
            </w:r>
            <w:r w:rsidRPr="006B1E10">
              <w:rPr>
                <w:rFonts w:ascii="Calibri" w:hAnsi="Calibri"/>
                <w:sz w:val="18"/>
                <w:szCs w:val="18"/>
                <w:lang w:val="en-US" w:eastAsia="en-US"/>
              </w:rPr>
              <w:t>R</w:t>
            </w:r>
          </w:p>
        </w:tc>
        <w:tc>
          <w:tcPr>
            <w:tcW w:w="249" w:type="pct"/>
            <w:vAlign w:val="center"/>
          </w:tcPr>
          <w:p w14:paraId="08CB1A5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2BEA91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1768B7C3" w14:textId="77777777" w:rsidR="00A53EA0" w:rsidRPr="006B1E10" w:rsidRDefault="00A53EA0" w:rsidP="00A53EA0">
            <w:pPr>
              <w:rPr>
                <w:rFonts w:ascii="Calibri" w:hAnsi="Calibri"/>
                <w:color w:val="FF0000"/>
                <w:sz w:val="18"/>
                <w:szCs w:val="18"/>
                <w:shd w:val="clear" w:color="auto" w:fill="FFFFFF"/>
                <w:lang w:val="en-US" w:eastAsia="en-US"/>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shd w:val="clear" w:color="auto" w:fill="FFFFFF"/>
            <w:noWrap/>
            <w:vAlign w:val="center"/>
          </w:tcPr>
          <w:p w14:paraId="275E6B8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shd w:val="clear" w:color="auto" w:fill="FFFFFF"/>
                <w:lang w:val="en-US" w:eastAsia="en-US"/>
              </w:rPr>
              <w:t xml:space="preserve"> N</w:t>
            </w:r>
            <w:r w:rsidRPr="006B1E10">
              <w:rPr>
                <w:rFonts w:ascii="Calibri" w:hAnsi="Calibri"/>
                <w:sz w:val="18"/>
                <w:szCs w:val="18"/>
                <w:lang w:val="en-US" w:eastAsia="en-US"/>
              </w:rPr>
              <w:t>R</w:t>
            </w:r>
          </w:p>
        </w:tc>
        <w:tc>
          <w:tcPr>
            <w:tcW w:w="248" w:type="pct"/>
            <w:shd w:val="clear" w:color="auto" w:fill="auto"/>
            <w:noWrap/>
            <w:vAlign w:val="center"/>
          </w:tcPr>
          <w:p w14:paraId="6C4F58D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shd w:val="clear" w:color="auto" w:fill="FFFFFF"/>
                <w:lang w:val="en-US" w:eastAsia="en-US"/>
              </w:rPr>
              <w:t xml:space="preserve"> N</w:t>
            </w:r>
            <w:r w:rsidRPr="006B1E10">
              <w:rPr>
                <w:rFonts w:ascii="Calibri" w:hAnsi="Calibri"/>
                <w:sz w:val="18"/>
                <w:szCs w:val="18"/>
                <w:lang w:val="en-US" w:eastAsia="en-US"/>
              </w:rPr>
              <w:t>R</w:t>
            </w:r>
          </w:p>
        </w:tc>
        <w:tc>
          <w:tcPr>
            <w:tcW w:w="249" w:type="pct"/>
            <w:shd w:val="clear" w:color="auto" w:fill="FFFFFF"/>
            <w:noWrap/>
            <w:vAlign w:val="center"/>
          </w:tcPr>
          <w:p w14:paraId="3B10A25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FFFFFF"/>
            <w:noWrap/>
            <w:vAlign w:val="center"/>
          </w:tcPr>
          <w:p w14:paraId="0831139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5DCA3B5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25423A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E8480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A1F51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2E779DF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D505492" w14:textId="77777777" w:rsidTr="00A53EA0">
        <w:trPr>
          <w:trHeight w:val="454"/>
          <w:tblHeader/>
        </w:trPr>
        <w:tc>
          <w:tcPr>
            <w:tcW w:w="771" w:type="pct"/>
            <w:shd w:val="clear" w:color="auto" w:fill="auto"/>
            <w:noWrap/>
            <w:vAlign w:val="center"/>
          </w:tcPr>
          <w:p w14:paraId="3BD0B3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simvastatina</w:t>
            </w:r>
          </w:p>
        </w:tc>
        <w:tc>
          <w:tcPr>
            <w:tcW w:w="249" w:type="pct"/>
            <w:shd w:val="clear" w:color="auto" w:fill="auto"/>
            <w:noWrap/>
            <w:vAlign w:val="center"/>
          </w:tcPr>
          <w:p w14:paraId="507C64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F2D10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CE09A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15555B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FFFFFF"/>
            <w:noWrap/>
            <w:vAlign w:val="center"/>
          </w:tcPr>
          <w:p w14:paraId="11C50ABF"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4F39F1A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F7F98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02C2E1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49F1335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FFFFFF"/>
            <w:noWrap/>
            <w:vAlign w:val="center"/>
          </w:tcPr>
          <w:p w14:paraId="454BB500"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046B8869"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FFFFFF"/>
            <w:noWrap/>
            <w:vAlign w:val="center"/>
          </w:tcPr>
          <w:p w14:paraId="2C5CDB98"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161199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51F27E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74B44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8DF28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99F3F6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311052F1" w14:textId="77777777" w:rsidTr="00A53EA0">
        <w:trPr>
          <w:trHeight w:val="454"/>
          <w:tblHeader/>
        </w:trPr>
        <w:tc>
          <w:tcPr>
            <w:tcW w:w="771" w:type="pct"/>
            <w:shd w:val="clear" w:color="auto" w:fill="auto"/>
            <w:noWrap/>
            <w:vAlign w:val="center"/>
          </w:tcPr>
          <w:p w14:paraId="4DC92C1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sofosbuvir/velpatasvir (ver velpatasvir/sofosbuvir)</w:t>
            </w:r>
          </w:p>
        </w:tc>
        <w:tc>
          <w:tcPr>
            <w:tcW w:w="249" w:type="pct"/>
            <w:vAlign w:val="center"/>
          </w:tcPr>
          <w:p w14:paraId="39AC8FDF" w14:textId="77777777" w:rsidR="00A53EA0" w:rsidRPr="006B1E10" w:rsidRDefault="00A53EA0" w:rsidP="00A53EA0">
            <w:pPr>
              <w:rPr>
                <w:rFonts w:ascii="Calibri" w:hAnsi="Calibri"/>
                <w:color w:val="000000"/>
                <w:sz w:val="18"/>
                <w:szCs w:val="18"/>
              </w:rPr>
            </w:pPr>
          </w:p>
        </w:tc>
        <w:tc>
          <w:tcPr>
            <w:tcW w:w="250" w:type="pct"/>
            <w:vAlign w:val="center"/>
          </w:tcPr>
          <w:p w14:paraId="2C1835F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7DB9B1A"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7EDA01C5"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0C82CDCB" w14:textId="77777777" w:rsidR="00A53EA0" w:rsidRPr="006B1E10" w:rsidRDefault="00A53EA0" w:rsidP="00A53EA0">
            <w:pPr>
              <w:rPr>
                <w:rFonts w:ascii="Calibri" w:hAnsi="Calibri"/>
                <w:color w:val="000000"/>
                <w:sz w:val="18"/>
                <w:szCs w:val="18"/>
              </w:rPr>
            </w:pPr>
          </w:p>
        </w:tc>
        <w:tc>
          <w:tcPr>
            <w:tcW w:w="249" w:type="pct"/>
            <w:vAlign w:val="center"/>
          </w:tcPr>
          <w:p w14:paraId="111D9587"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36FE1909"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4D134290"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76ED7569" w14:textId="77777777" w:rsidR="00A53EA0" w:rsidRPr="006B1E10" w:rsidRDefault="00A53EA0" w:rsidP="00A53EA0">
            <w:pPr>
              <w:rPr>
                <w:rFonts w:ascii="Calibri" w:hAnsi="Calibri"/>
                <w:color w:val="000000"/>
                <w:sz w:val="18"/>
                <w:szCs w:val="18"/>
              </w:rPr>
            </w:pPr>
          </w:p>
        </w:tc>
        <w:tc>
          <w:tcPr>
            <w:tcW w:w="248" w:type="pct"/>
            <w:shd w:val="clear" w:color="auto" w:fill="auto"/>
            <w:vAlign w:val="center"/>
          </w:tcPr>
          <w:p w14:paraId="0EBE3AF4"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32E85538"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161A1020"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00E959BF"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132497C2"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7DDE96C3" w14:textId="77777777" w:rsidR="00A53EA0" w:rsidRPr="006B1E10" w:rsidRDefault="00A53EA0" w:rsidP="00A53EA0">
            <w:pPr>
              <w:rPr>
                <w:rFonts w:ascii="Calibri" w:hAnsi="Calibri"/>
                <w:color w:val="000000"/>
                <w:sz w:val="18"/>
                <w:szCs w:val="18"/>
              </w:rPr>
            </w:pPr>
          </w:p>
        </w:tc>
        <w:tc>
          <w:tcPr>
            <w:tcW w:w="249" w:type="pct"/>
            <w:shd w:val="clear" w:color="auto" w:fill="auto"/>
            <w:vAlign w:val="center"/>
          </w:tcPr>
          <w:p w14:paraId="5F4A9F67" w14:textId="77777777" w:rsidR="00A53EA0" w:rsidRPr="006B1E10" w:rsidRDefault="00A53EA0" w:rsidP="00A53EA0">
            <w:pPr>
              <w:rPr>
                <w:rFonts w:ascii="Calibri" w:hAnsi="Calibri"/>
                <w:color w:val="000000"/>
                <w:sz w:val="18"/>
                <w:szCs w:val="18"/>
              </w:rPr>
            </w:pPr>
          </w:p>
        </w:tc>
        <w:tc>
          <w:tcPr>
            <w:tcW w:w="245" w:type="pct"/>
            <w:shd w:val="clear" w:color="auto" w:fill="auto"/>
            <w:vAlign w:val="center"/>
          </w:tcPr>
          <w:p w14:paraId="4CD20B82" w14:textId="77777777" w:rsidR="00A53EA0" w:rsidRPr="006B1E10" w:rsidRDefault="00A53EA0" w:rsidP="00A53EA0">
            <w:pPr>
              <w:rPr>
                <w:rFonts w:ascii="Calibri" w:hAnsi="Calibri"/>
                <w:color w:val="000000"/>
                <w:sz w:val="18"/>
                <w:szCs w:val="18"/>
              </w:rPr>
            </w:pPr>
          </w:p>
        </w:tc>
      </w:tr>
      <w:tr w:rsidR="00A53EA0" w:rsidRPr="006B1E10" w14:paraId="7FAF290A" w14:textId="77777777" w:rsidTr="00A53EA0">
        <w:trPr>
          <w:trHeight w:val="454"/>
          <w:tblHeader/>
        </w:trPr>
        <w:tc>
          <w:tcPr>
            <w:tcW w:w="771" w:type="pct"/>
            <w:shd w:val="clear" w:color="auto" w:fill="auto"/>
            <w:noWrap/>
            <w:vAlign w:val="center"/>
          </w:tcPr>
          <w:p w14:paraId="5A4AC3C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sucralfato</w:t>
            </w:r>
          </w:p>
        </w:tc>
        <w:tc>
          <w:tcPr>
            <w:tcW w:w="249" w:type="pct"/>
            <w:vAlign w:val="center"/>
          </w:tcPr>
          <w:p w14:paraId="0145E6DE" w14:textId="77777777" w:rsidR="00A53EA0" w:rsidRPr="006B1E10" w:rsidRDefault="00A53EA0" w:rsidP="00A53EA0">
            <w:pPr>
              <w:rPr>
                <w:rFonts w:ascii="Calibri" w:hAnsi="Calibri"/>
                <w:color w:val="000000"/>
                <w:sz w:val="18"/>
                <w:szCs w:val="18"/>
              </w:rPr>
            </w:pPr>
          </w:p>
        </w:tc>
        <w:tc>
          <w:tcPr>
            <w:tcW w:w="3981" w:type="pct"/>
            <w:gridSpan w:val="16"/>
            <w:shd w:val="clear" w:color="auto" w:fill="auto"/>
            <w:noWrap/>
            <w:vAlign w:val="center"/>
          </w:tcPr>
          <w:p w14:paraId="71B674E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 Ver antiácidos conteniendo aluminio</w:t>
            </w:r>
          </w:p>
        </w:tc>
      </w:tr>
      <w:tr w:rsidR="00A53EA0" w:rsidRPr="006B1E10" w14:paraId="336B668F" w14:textId="77777777" w:rsidTr="00A53EA0">
        <w:trPr>
          <w:trHeight w:val="454"/>
          <w:tblHeader/>
        </w:trPr>
        <w:tc>
          <w:tcPr>
            <w:tcW w:w="771" w:type="pct"/>
            <w:shd w:val="clear" w:color="auto" w:fill="auto"/>
            <w:noWrap/>
            <w:vAlign w:val="center"/>
          </w:tcPr>
          <w:p w14:paraId="7DC664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sunitinib</w:t>
            </w:r>
          </w:p>
        </w:tc>
        <w:tc>
          <w:tcPr>
            <w:tcW w:w="249" w:type="pct"/>
            <w:shd w:val="clear" w:color="auto" w:fill="auto"/>
            <w:noWrap/>
            <w:vAlign w:val="center"/>
          </w:tcPr>
          <w:p w14:paraId="3F1177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1C2BC310"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5E70D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BEFC6C4" w14:textId="77777777" w:rsidR="00A53EA0" w:rsidRPr="006B1E10" w:rsidRDefault="00A53EA0" w:rsidP="00A53EA0">
            <w:pPr>
              <w:rPr>
                <w:rFonts w:ascii="Calibri" w:hAnsi="Calibri"/>
                <w:color w:val="FF0000"/>
                <w:sz w:val="18"/>
                <w:szCs w:val="18"/>
                <w:shd w:val="clear" w:color="auto" w:fill="FFFFFF"/>
                <w:lang w:val="en-US" w:eastAsia="en-US"/>
              </w:rPr>
            </w:pPr>
          </w:p>
        </w:tc>
        <w:tc>
          <w:tcPr>
            <w:tcW w:w="249" w:type="pct"/>
            <w:shd w:val="clear" w:color="auto" w:fill="auto"/>
            <w:noWrap/>
            <w:vAlign w:val="center"/>
          </w:tcPr>
          <w:p w14:paraId="58A918E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shd w:val="clear" w:color="auto" w:fill="FFFFFF"/>
                <w:vertAlign w:val="superscript"/>
                <w:lang w:val="en-US" w:eastAsia="en-US"/>
              </w:rPr>
              <w:t>37</w:t>
            </w:r>
          </w:p>
        </w:tc>
        <w:tc>
          <w:tcPr>
            <w:tcW w:w="249" w:type="pct"/>
            <w:vAlign w:val="center"/>
          </w:tcPr>
          <w:p w14:paraId="6A2C5B1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2B0262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AB5607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FCO</w:t>
            </w:r>
          </w:p>
        </w:tc>
        <w:tc>
          <w:tcPr>
            <w:tcW w:w="249" w:type="pct"/>
            <w:shd w:val="clear" w:color="000000" w:fill="FFFFFF"/>
            <w:noWrap/>
            <w:vAlign w:val="center"/>
          </w:tcPr>
          <w:p w14:paraId="1B439AF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shd w:val="clear" w:color="auto" w:fill="FFFFFF"/>
                <w:vertAlign w:val="superscript"/>
                <w:lang w:val="en-US" w:eastAsia="en-US"/>
              </w:rPr>
              <w:t>37</w:t>
            </w:r>
          </w:p>
        </w:tc>
        <w:tc>
          <w:tcPr>
            <w:tcW w:w="248" w:type="pct"/>
            <w:shd w:val="clear" w:color="auto" w:fill="auto"/>
            <w:noWrap/>
            <w:vAlign w:val="center"/>
          </w:tcPr>
          <w:p w14:paraId="0B9BC90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shd w:val="clear" w:color="auto" w:fill="FFFFFF"/>
                <w:vertAlign w:val="superscript"/>
                <w:lang w:val="en-US" w:eastAsia="en-US"/>
              </w:rPr>
              <w:t>37</w:t>
            </w:r>
          </w:p>
        </w:tc>
        <w:tc>
          <w:tcPr>
            <w:tcW w:w="249" w:type="pct"/>
            <w:shd w:val="clear" w:color="auto" w:fill="auto"/>
            <w:noWrap/>
            <w:vAlign w:val="center"/>
          </w:tcPr>
          <w:p w14:paraId="727BAAD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shd w:val="clear" w:color="auto" w:fill="FFFFFF"/>
                <w:vertAlign w:val="superscript"/>
                <w:lang w:val="en-US" w:eastAsia="en-US"/>
              </w:rPr>
              <w:t>37</w:t>
            </w:r>
          </w:p>
        </w:tc>
        <w:tc>
          <w:tcPr>
            <w:tcW w:w="249" w:type="pct"/>
            <w:shd w:val="clear" w:color="auto" w:fill="auto"/>
            <w:noWrap/>
            <w:vAlign w:val="center"/>
          </w:tcPr>
          <w:p w14:paraId="0D56EFA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r>
              <w:rPr>
                <w:rFonts w:ascii="Calibri" w:hAnsi="Calibri"/>
                <w:sz w:val="18"/>
                <w:szCs w:val="18"/>
                <w:shd w:val="clear" w:color="auto" w:fill="FFFFFF"/>
                <w:vertAlign w:val="superscript"/>
                <w:lang w:val="en-US" w:eastAsia="en-US"/>
              </w:rPr>
              <w:t>37</w:t>
            </w:r>
          </w:p>
        </w:tc>
        <w:tc>
          <w:tcPr>
            <w:tcW w:w="249" w:type="pct"/>
            <w:shd w:val="clear" w:color="auto" w:fill="auto"/>
            <w:noWrap/>
            <w:vAlign w:val="center"/>
          </w:tcPr>
          <w:p w14:paraId="5B33930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49C85C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3C5F8E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CEA207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CED373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92E7E73" w14:textId="77777777" w:rsidTr="00A53EA0">
        <w:trPr>
          <w:trHeight w:val="454"/>
          <w:tblHeader/>
        </w:trPr>
        <w:tc>
          <w:tcPr>
            <w:tcW w:w="771" w:type="pct"/>
            <w:shd w:val="clear" w:color="auto" w:fill="auto"/>
            <w:noWrap/>
            <w:vAlign w:val="center"/>
          </w:tcPr>
          <w:p w14:paraId="3A4A5D4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tamoxifeno</w:t>
            </w:r>
          </w:p>
        </w:tc>
        <w:tc>
          <w:tcPr>
            <w:tcW w:w="249" w:type="pct"/>
            <w:shd w:val="clear" w:color="auto" w:fill="auto"/>
            <w:noWrap/>
            <w:vAlign w:val="center"/>
          </w:tcPr>
          <w:p w14:paraId="51E96B1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02BF678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3F40CD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49CBF8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C6BF2A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448B4B3" w14:textId="77777777" w:rsidR="00A53EA0" w:rsidRPr="006B1E10" w:rsidRDefault="00A53EA0" w:rsidP="00A53EA0">
            <w:pPr>
              <w:rPr>
                <w:rFonts w:ascii="Calibri" w:hAnsi="Calibri"/>
                <w:color w:val="FF0000"/>
                <w:sz w:val="18"/>
                <w:szCs w:val="18"/>
                <w:shd w:val="clear" w:color="auto" w:fill="FFFFFF"/>
                <w:lang w:val="en-US" w:eastAsia="en-US"/>
              </w:rPr>
            </w:pPr>
          </w:p>
        </w:tc>
        <w:tc>
          <w:tcPr>
            <w:tcW w:w="249" w:type="pct"/>
            <w:shd w:val="clear" w:color="auto" w:fill="auto"/>
            <w:noWrap/>
            <w:vAlign w:val="center"/>
          </w:tcPr>
          <w:p w14:paraId="5449348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F"/>
            </w:r>
            <w:r w:rsidRPr="006B1E10">
              <w:rPr>
                <w:rFonts w:ascii="Calibri" w:hAnsi="Calibri"/>
                <w:sz w:val="18"/>
                <w:szCs w:val="18"/>
                <w:lang w:val="en-US" w:eastAsia="en-US"/>
              </w:rPr>
              <w:t>ARV</w:t>
            </w:r>
          </w:p>
        </w:tc>
        <w:tc>
          <w:tcPr>
            <w:tcW w:w="249" w:type="pct"/>
            <w:shd w:val="clear" w:color="auto" w:fill="auto"/>
            <w:noWrap/>
            <w:vAlign w:val="center"/>
          </w:tcPr>
          <w:p w14:paraId="177128C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B35952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01A7207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394D99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06C020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A9562F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001A7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A771AE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64EDFB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1AE8346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50509A12" w14:textId="77777777" w:rsidTr="00A53EA0">
        <w:trPr>
          <w:trHeight w:val="454"/>
          <w:tblHeader/>
        </w:trPr>
        <w:tc>
          <w:tcPr>
            <w:tcW w:w="771" w:type="pct"/>
            <w:shd w:val="clear" w:color="auto" w:fill="auto"/>
            <w:noWrap/>
            <w:vAlign w:val="center"/>
          </w:tcPr>
          <w:p w14:paraId="67B5DC5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temsirolimus</w:t>
            </w:r>
          </w:p>
        </w:tc>
        <w:tc>
          <w:tcPr>
            <w:tcW w:w="249" w:type="pct"/>
            <w:shd w:val="clear" w:color="auto" w:fill="auto"/>
            <w:noWrap/>
            <w:vAlign w:val="center"/>
          </w:tcPr>
          <w:p w14:paraId="46D3CCC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663C4D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C8317B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4C319661" w14:textId="77777777" w:rsidR="00A53EA0" w:rsidRPr="006B1E10" w:rsidRDefault="00A53EA0" w:rsidP="00A53EA0">
            <w:pPr>
              <w:rPr>
                <w:rFonts w:ascii="Calibri" w:hAnsi="Calibri"/>
                <w:color w:val="FF0000"/>
                <w:sz w:val="18"/>
                <w:szCs w:val="18"/>
                <w:shd w:val="clear" w:color="auto" w:fill="FFFFFF"/>
                <w:lang w:val="en-US" w:eastAsia="en-US"/>
              </w:rPr>
            </w:pPr>
          </w:p>
        </w:tc>
        <w:tc>
          <w:tcPr>
            <w:tcW w:w="249" w:type="pct"/>
            <w:shd w:val="clear" w:color="auto" w:fill="auto"/>
            <w:noWrap/>
            <w:vAlign w:val="center"/>
          </w:tcPr>
          <w:p w14:paraId="2562EB6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vAlign w:val="center"/>
          </w:tcPr>
          <w:p w14:paraId="5EEE3C1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4841E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B927CF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D1351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8" w:type="pct"/>
            <w:shd w:val="clear" w:color="auto" w:fill="auto"/>
            <w:noWrap/>
            <w:vAlign w:val="center"/>
          </w:tcPr>
          <w:p w14:paraId="2DEED55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shd w:val="clear" w:color="auto" w:fill="auto"/>
            <w:noWrap/>
            <w:vAlign w:val="center"/>
          </w:tcPr>
          <w:p w14:paraId="3E7BAC4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shd w:val="clear" w:color="auto" w:fill="auto"/>
            <w:noWrap/>
            <w:vAlign w:val="center"/>
          </w:tcPr>
          <w:p w14:paraId="298DA7D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 xml:space="preserve">X </w:t>
            </w:r>
            <w:r w:rsidRPr="006B1E10">
              <w:rPr>
                <w:rFonts w:ascii="Calibri" w:hAnsi="Calibri"/>
                <w:sz w:val="18"/>
                <w:szCs w:val="18"/>
                <w:shd w:val="clear" w:color="auto" w:fill="FFFFFF"/>
                <w:lang w:val="en-US" w:eastAsia="en-US"/>
              </w:rPr>
              <w:t>NR</w:t>
            </w:r>
          </w:p>
        </w:tc>
        <w:tc>
          <w:tcPr>
            <w:tcW w:w="249" w:type="pct"/>
            <w:shd w:val="clear" w:color="auto" w:fill="auto"/>
            <w:noWrap/>
            <w:vAlign w:val="center"/>
          </w:tcPr>
          <w:p w14:paraId="3A6CC0D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92EDAD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58F133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CE046F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330E8D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bl>
    <w:p w14:paraId="3F33741D" w14:textId="77777777" w:rsidR="00A53EA0" w:rsidRDefault="00A53EA0" w:rsidP="00A53EA0">
      <w:r>
        <w:br w:type="page"/>
      </w:r>
    </w:p>
    <w:tbl>
      <w:tblPr>
        <w:tblW w:w="1447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20"/>
        <w:gridCol w:w="723"/>
        <w:gridCol w:w="720"/>
        <w:gridCol w:w="720"/>
        <w:gridCol w:w="720"/>
        <w:gridCol w:w="721"/>
        <w:gridCol w:w="721"/>
        <w:gridCol w:w="721"/>
        <w:gridCol w:w="721"/>
        <w:gridCol w:w="718"/>
        <w:gridCol w:w="721"/>
        <w:gridCol w:w="721"/>
        <w:gridCol w:w="721"/>
        <w:gridCol w:w="721"/>
        <w:gridCol w:w="721"/>
        <w:gridCol w:w="721"/>
        <w:gridCol w:w="709"/>
      </w:tblGrid>
      <w:tr w:rsidR="00A53EA0" w:rsidRPr="00392159" w14:paraId="1C3E7F25" w14:textId="77777777" w:rsidTr="00A53EA0">
        <w:trPr>
          <w:trHeight w:val="454"/>
          <w:tblHeader/>
        </w:trPr>
        <w:tc>
          <w:tcPr>
            <w:tcW w:w="771"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FA52A1" w14:textId="77777777" w:rsidR="00A53EA0" w:rsidRPr="00392159" w:rsidRDefault="00A53EA0" w:rsidP="00A53EA0">
            <w:pPr>
              <w:rPr>
                <w:rFonts w:ascii="Calibri" w:hAnsi="Calibri"/>
                <w:b/>
                <w:color w:val="006600"/>
                <w:sz w:val="18"/>
                <w:szCs w:val="18"/>
              </w:rPr>
            </w:pP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540B904"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DTG</w:t>
            </w:r>
          </w:p>
        </w:tc>
        <w:tc>
          <w:tcPr>
            <w:tcW w:w="2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068FB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BIC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9C4415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0B629F"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RAL 1200 mg QD</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4D35AA2"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EVG/c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48CFD7"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DOR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5A66E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RPV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E29EF01"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EFV</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9C2B95B"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ATV/r</w:t>
            </w:r>
          </w:p>
        </w:tc>
        <w:tc>
          <w:tcPr>
            <w:tcW w:w="24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E4D902E"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ATV/c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0A1106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DRV/r</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DFFE5AA"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DRV/c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D1A69D8"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FTC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795B816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3TC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680F31C"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ABC</w:t>
            </w:r>
          </w:p>
        </w:tc>
        <w:tc>
          <w:tcPr>
            <w:tcW w:w="24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BFB6225"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TDF</w:t>
            </w:r>
          </w:p>
        </w:tc>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5F111A3" w14:textId="77777777" w:rsidR="00A53EA0" w:rsidRPr="00392159" w:rsidRDefault="00A53EA0" w:rsidP="00A53EA0">
            <w:pPr>
              <w:rPr>
                <w:rFonts w:ascii="Calibri" w:hAnsi="Calibri"/>
                <w:b/>
                <w:color w:val="006600"/>
                <w:sz w:val="18"/>
                <w:szCs w:val="18"/>
              </w:rPr>
            </w:pPr>
            <w:r w:rsidRPr="00392159">
              <w:rPr>
                <w:rFonts w:ascii="Calibri" w:hAnsi="Calibri"/>
                <w:b/>
                <w:color w:val="006600"/>
                <w:sz w:val="18"/>
                <w:szCs w:val="18"/>
              </w:rPr>
              <w:t>TAF</w:t>
            </w:r>
          </w:p>
        </w:tc>
      </w:tr>
      <w:tr w:rsidR="00A53EA0" w:rsidRPr="006B1E10" w14:paraId="79987631" w14:textId="77777777" w:rsidTr="00A53EA0">
        <w:trPr>
          <w:trHeight w:val="454"/>
          <w:tblHeader/>
        </w:trPr>
        <w:tc>
          <w:tcPr>
            <w:tcW w:w="771" w:type="pct"/>
            <w:shd w:val="clear" w:color="auto" w:fill="auto"/>
            <w:noWrap/>
            <w:vAlign w:val="center"/>
          </w:tcPr>
          <w:p w14:paraId="24A07B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tenofovir</w:t>
            </w:r>
          </w:p>
        </w:tc>
        <w:tc>
          <w:tcPr>
            <w:tcW w:w="249" w:type="pct"/>
            <w:shd w:val="clear" w:color="auto" w:fill="auto"/>
            <w:noWrap/>
            <w:vAlign w:val="center"/>
          </w:tcPr>
          <w:p w14:paraId="3BB339A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5B8CDE2" w14:textId="77777777" w:rsidR="00A53EA0" w:rsidRPr="00814F30" w:rsidRDefault="00A53EA0" w:rsidP="00A53EA0">
            <w:pPr>
              <w:rPr>
                <w:rFonts w:ascii="Calibri" w:hAnsi="Calibri"/>
                <w:color w:val="000000"/>
                <w:sz w:val="18"/>
                <w:szCs w:val="18"/>
                <w:highlight w:val="magenta"/>
              </w:rPr>
            </w:pPr>
            <w:r w:rsidRPr="00145DBA">
              <w:rPr>
                <w:rFonts w:ascii="Calibri" w:hAnsi="Calibri"/>
                <w:color w:val="FF0000"/>
                <w:sz w:val="18"/>
                <w:szCs w:val="18"/>
                <w:highlight w:val="yellow"/>
                <w:shd w:val="clear" w:color="auto" w:fill="FFFFFF"/>
                <w:lang w:val="en-US" w:eastAsia="en-US"/>
              </w:rPr>
              <w:t xml:space="preserve">X </w:t>
            </w:r>
            <w:r w:rsidRPr="00145DBA">
              <w:rPr>
                <w:rFonts w:ascii="Calibri" w:hAnsi="Calibri"/>
                <w:sz w:val="18"/>
                <w:szCs w:val="18"/>
                <w:highlight w:val="yellow"/>
                <w:shd w:val="clear" w:color="auto" w:fill="FFFFFF"/>
                <w:lang w:val="en-US" w:eastAsia="en-US"/>
              </w:rPr>
              <w:t>NR</w:t>
            </w:r>
          </w:p>
        </w:tc>
        <w:tc>
          <w:tcPr>
            <w:tcW w:w="249" w:type="pct"/>
            <w:shd w:val="clear" w:color="auto" w:fill="auto"/>
            <w:noWrap/>
            <w:vAlign w:val="center"/>
          </w:tcPr>
          <w:p w14:paraId="7DBF32B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B0A5C1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77CD49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1AF5BCE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05D3F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44A264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BAB523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567E4C3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63ECF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2A4417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27194A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A5FC9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7B35B9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46CC913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BFBFBF"/>
            <w:noWrap/>
            <w:vAlign w:val="center"/>
          </w:tcPr>
          <w:p w14:paraId="30EC702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46EEB82" w14:textId="77777777" w:rsidTr="00A53EA0">
        <w:trPr>
          <w:trHeight w:val="454"/>
          <w:tblHeader/>
        </w:trPr>
        <w:tc>
          <w:tcPr>
            <w:tcW w:w="771" w:type="pct"/>
            <w:shd w:val="clear" w:color="auto" w:fill="auto"/>
            <w:noWrap/>
            <w:vAlign w:val="center"/>
          </w:tcPr>
          <w:p w14:paraId="68FB1BB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tenofovir alafenamida</w:t>
            </w:r>
          </w:p>
        </w:tc>
        <w:tc>
          <w:tcPr>
            <w:tcW w:w="249" w:type="pct"/>
            <w:shd w:val="clear" w:color="auto" w:fill="auto"/>
            <w:noWrap/>
            <w:vAlign w:val="center"/>
          </w:tcPr>
          <w:p w14:paraId="0462A36F" w14:textId="77777777" w:rsidR="00A53EA0" w:rsidRPr="006B1E10" w:rsidRDefault="00A53EA0" w:rsidP="00A53EA0">
            <w:pPr>
              <w:rPr>
                <w:rFonts w:ascii="Calibri" w:hAnsi="Calibri"/>
                <w:color w:val="000000"/>
                <w:sz w:val="18"/>
                <w:szCs w:val="18"/>
              </w:rPr>
            </w:pPr>
          </w:p>
        </w:tc>
        <w:tc>
          <w:tcPr>
            <w:tcW w:w="250" w:type="pct"/>
            <w:vAlign w:val="center"/>
          </w:tcPr>
          <w:p w14:paraId="57248109" w14:textId="77777777" w:rsidR="00A53EA0" w:rsidRPr="00814F30" w:rsidRDefault="00A53EA0" w:rsidP="00A53EA0">
            <w:pPr>
              <w:rPr>
                <w:rFonts w:ascii="Calibri" w:hAnsi="Calibri"/>
                <w:strike/>
                <w:color w:val="000000"/>
                <w:sz w:val="18"/>
                <w:szCs w:val="18"/>
                <w:highlight w:val="magenta"/>
              </w:rPr>
            </w:pPr>
          </w:p>
        </w:tc>
        <w:tc>
          <w:tcPr>
            <w:tcW w:w="249" w:type="pct"/>
            <w:shd w:val="clear" w:color="auto" w:fill="auto"/>
            <w:noWrap/>
            <w:vAlign w:val="center"/>
          </w:tcPr>
          <w:p w14:paraId="2E771A73" w14:textId="77777777" w:rsidR="00A53EA0" w:rsidRPr="006B1E10" w:rsidRDefault="00A53EA0" w:rsidP="00A53EA0">
            <w:pPr>
              <w:rPr>
                <w:rFonts w:ascii="Calibri" w:hAnsi="Calibri"/>
                <w:color w:val="000000"/>
                <w:sz w:val="18"/>
                <w:szCs w:val="18"/>
              </w:rPr>
            </w:pPr>
          </w:p>
        </w:tc>
        <w:tc>
          <w:tcPr>
            <w:tcW w:w="249" w:type="pct"/>
            <w:vAlign w:val="center"/>
          </w:tcPr>
          <w:p w14:paraId="2A3E8200"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3B0DF3C5" w14:textId="77777777" w:rsidR="00A53EA0" w:rsidRPr="006B1E10" w:rsidRDefault="00A53EA0" w:rsidP="00A53EA0">
            <w:pPr>
              <w:rPr>
                <w:rFonts w:ascii="Calibri" w:hAnsi="Calibri"/>
                <w:b/>
                <w:bCs/>
                <w:color w:val="000000"/>
                <w:sz w:val="18"/>
                <w:szCs w:val="18"/>
              </w:rPr>
            </w:pPr>
          </w:p>
        </w:tc>
        <w:tc>
          <w:tcPr>
            <w:tcW w:w="249" w:type="pct"/>
            <w:vAlign w:val="center"/>
          </w:tcPr>
          <w:p w14:paraId="214DA82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B37D27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928003"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7A45F04B" w14:textId="77777777" w:rsidR="00A53EA0" w:rsidRPr="006B1E10" w:rsidRDefault="00A53EA0" w:rsidP="00A53EA0">
            <w:pPr>
              <w:rPr>
                <w:rFonts w:ascii="Calibri" w:hAnsi="Calibri"/>
                <w:b/>
                <w:bCs/>
                <w:color w:val="000000"/>
                <w:sz w:val="18"/>
                <w:szCs w:val="18"/>
              </w:rPr>
            </w:pPr>
          </w:p>
        </w:tc>
        <w:tc>
          <w:tcPr>
            <w:tcW w:w="248" w:type="pct"/>
            <w:shd w:val="clear" w:color="auto" w:fill="auto"/>
            <w:noWrap/>
            <w:vAlign w:val="center"/>
          </w:tcPr>
          <w:p w14:paraId="68205B1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536649" w14:textId="77777777" w:rsidR="00A53EA0" w:rsidRPr="006B1E10" w:rsidRDefault="00A53EA0" w:rsidP="00A53EA0">
            <w:pPr>
              <w:rPr>
                <w:rFonts w:ascii="Calibri" w:hAnsi="Calibri"/>
                <w:b/>
                <w:bCs/>
                <w:color w:val="000000"/>
                <w:sz w:val="18"/>
                <w:szCs w:val="18"/>
              </w:rPr>
            </w:pPr>
          </w:p>
        </w:tc>
        <w:tc>
          <w:tcPr>
            <w:tcW w:w="249" w:type="pct"/>
            <w:shd w:val="clear" w:color="auto" w:fill="auto"/>
            <w:noWrap/>
            <w:vAlign w:val="center"/>
          </w:tcPr>
          <w:p w14:paraId="6687CBB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9E48F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D61719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4F6321"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769ADF72" w14:textId="77777777" w:rsidR="00A53EA0" w:rsidRPr="006B1E10" w:rsidRDefault="00A53EA0" w:rsidP="00A53EA0">
            <w:pPr>
              <w:rPr>
                <w:rFonts w:ascii="Calibri" w:hAnsi="Calibri"/>
                <w:color w:val="000000"/>
                <w:sz w:val="18"/>
                <w:szCs w:val="18"/>
              </w:rPr>
            </w:pPr>
          </w:p>
        </w:tc>
        <w:tc>
          <w:tcPr>
            <w:tcW w:w="245" w:type="pct"/>
            <w:shd w:val="clear" w:color="auto" w:fill="BFBFBF"/>
            <w:noWrap/>
            <w:vAlign w:val="center"/>
          </w:tcPr>
          <w:p w14:paraId="2E7B1F5C" w14:textId="77777777" w:rsidR="00A53EA0" w:rsidRPr="006B1E10" w:rsidRDefault="00A53EA0" w:rsidP="00A53EA0">
            <w:pPr>
              <w:rPr>
                <w:rFonts w:ascii="Calibri" w:hAnsi="Calibri"/>
                <w:color w:val="000000"/>
                <w:sz w:val="18"/>
                <w:szCs w:val="18"/>
              </w:rPr>
            </w:pPr>
          </w:p>
        </w:tc>
      </w:tr>
      <w:tr w:rsidR="00A53EA0" w:rsidRPr="006B1E10" w14:paraId="7EAD552A" w14:textId="77777777" w:rsidTr="00A53EA0">
        <w:trPr>
          <w:trHeight w:val="454"/>
          <w:tblHeader/>
        </w:trPr>
        <w:tc>
          <w:tcPr>
            <w:tcW w:w="771" w:type="pct"/>
            <w:shd w:val="clear" w:color="auto" w:fill="auto"/>
            <w:noWrap/>
            <w:vAlign w:val="center"/>
          </w:tcPr>
          <w:p w14:paraId="6E4DA0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xml:space="preserve">Terfenadina </w:t>
            </w:r>
            <w:r w:rsidRPr="006B1E10">
              <w:rPr>
                <w:rFonts w:ascii="Calibri" w:hAnsi="Calibri"/>
                <w:color w:val="000000"/>
                <w:sz w:val="18"/>
                <w:szCs w:val="18"/>
                <w:highlight w:val="yellow"/>
              </w:rPr>
              <w:t>(no comercializado en España)</w:t>
            </w:r>
          </w:p>
        </w:tc>
        <w:tc>
          <w:tcPr>
            <w:tcW w:w="249" w:type="pct"/>
            <w:shd w:val="clear" w:color="auto" w:fill="auto"/>
            <w:noWrap/>
            <w:vAlign w:val="center"/>
          </w:tcPr>
          <w:p w14:paraId="3324C2D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453012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F61041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7E70A5F" w14:textId="77777777" w:rsidR="00A53EA0" w:rsidRPr="006B1E10" w:rsidRDefault="00A53EA0" w:rsidP="00A53EA0">
            <w:pPr>
              <w:rPr>
                <w:rFonts w:ascii="Calibri" w:hAnsi="Calibri"/>
                <w:color w:val="FF0000"/>
                <w:sz w:val="18"/>
                <w:szCs w:val="18"/>
                <w:shd w:val="clear" w:color="auto" w:fill="FFFFFF"/>
                <w:lang w:eastAsia="en-US"/>
              </w:rPr>
            </w:pPr>
          </w:p>
        </w:tc>
        <w:tc>
          <w:tcPr>
            <w:tcW w:w="249" w:type="pct"/>
            <w:shd w:val="clear" w:color="auto" w:fill="auto"/>
            <w:noWrap/>
            <w:vAlign w:val="center"/>
          </w:tcPr>
          <w:p w14:paraId="2585CFCE"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lang w:val="en-US" w:eastAsia="en-US"/>
              </w:rPr>
              <w:t xml:space="preserve"> </w:t>
            </w:r>
            <w:r w:rsidRPr="006B1E10">
              <w:rPr>
                <w:rFonts w:ascii="Calibri" w:hAnsi="Calibri"/>
                <w:sz w:val="18"/>
                <w:szCs w:val="18"/>
                <w:lang w:val="en-US" w:eastAsia="en-US"/>
              </w:rPr>
              <w:sym w:font="Symbol" w:char="F0AD"/>
            </w:r>
            <w:r w:rsidRPr="006B1E10">
              <w:rPr>
                <w:rFonts w:ascii="Calibri" w:hAnsi="Calibri"/>
                <w:sz w:val="18"/>
                <w:szCs w:val="18"/>
                <w:lang w:val="en-US" w:eastAsia="en-US"/>
              </w:rPr>
              <w:t>FCO</w:t>
            </w:r>
            <w:r w:rsidRPr="006B1E10">
              <w:rPr>
                <w:rFonts w:ascii="Calibri" w:hAnsi="Calibri"/>
                <w:b/>
                <w:bCs/>
                <w:color w:val="000000"/>
                <w:sz w:val="18"/>
                <w:szCs w:val="18"/>
              </w:rPr>
              <w:t> </w:t>
            </w:r>
          </w:p>
        </w:tc>
        <w:tc>
          <w:tcPr>
            <w:tcW w:w="249" w:type="pct"/>
            <w:vAlign w:val="center"/>
          </w:tcPr>
          <w:p w14:paraId="1981DDE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62A35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C4C34D3"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29358AB"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79BD86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6CC1960"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EF67FE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21945B9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3897D1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C9032F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300319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97BD52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64F715A" w14:textId="77777777" w:rsidTr="00A53EA0">
        <w:trPr>
          <w:trHeight w:val="454"/>
          <w:tblHeader/>
        </w:trPr>
        <w:tc>
          <w:tcPr>
            <w:tcW w:w="771" w:type="pct"/>
            <w:shd w:val="clear" w:color="auto" w:fill="auto"/>
            <w:noWrap/>
            <w:vAlign w:val="center"/>
          </w:tcPr>
          <w:p w14:paraId="5AA9333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ticagrelor</w:t>
            </w:r>
          </w:p>
        </w:tc>
        <w:tc>
          <w:tcPr>
            <w:tcW w:w="249" w:type="pct"/>
            <w:shd w:val="clear" w:color="auto" w:fill="auto"/>
            <w:noWrap/>
            <w:vAlign w:val="center"/>
          </w:tcPr>
          <w:p w14:paraId="281E30F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2949AD8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A93E60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6ED1C72"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31692332" w14:textId="77777777" w:rsidR="00A53EA0" w:rsidRPr="006B1E10" w:rsidRDefault="00A53EA0" w:rsidP="00A53EA0">
            <w:pPr>
              <w:rPr>
                <w:rFonts w:ascii="Calibri" w:hAnsi="Calibri"/>
                <w:b/>
                <w:bCs/>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Pr>
                <w:rFonts w:ascii="Calibri" w:hAnsi="Calibri"/>
                <w:sz w:val="18"/>
                <w:szCs w:val="18"/>
                <w:vertAlign w:val="superscript"/>
                <w:lang w:val="en-US" w:eastAsia="en-US"/>
              </w:rPr>
              <w:t>38</w:t>
            </w:r>
          </w:p>
        </w:tc>
        <w:tc>
          <w:tcPr>
            <w:tcW w:w="249" w:type="pct"/>
            <w:vAlign w:val="center"/>
          </w:tcPr>
          <w:p w14:paraId="2978109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20C85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4AB1C15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shd w:val="clear" w:color="auto" w:fill="FFFFFF"/>
                <w:lang w:val="en-US" w:eastAsia="en-US"/>
              </w:rPr>
              <w:t>X</w:t>
            </w:r>
            <w:r w:rsidRPr="006B1E10">
              <w:rPr>
                <w:rFonts w:ascii="Calibri" w:hAnsi="Calibri"/>
                <w:sz w:val="18"/>
                <w:szCs w:val="18"/>
                <w:lang w:val="en-US" w:eastAsia="en-US"/>
              </w:rPr>
              <w:t xml:space="preserve"> ¿?</w:t>
            </w:r>
            <w:r w:rsidRPr="002B1442">
              <w:rPr>
                <w:rFonts w:ascii="Calibri" w:hAnsi="Calibri"/>
                <w:sz w:val="18"/>
                <w:szCs w:val="18"/>
                <w:vertAlign w:val="superscript"/>
                <w:lang w:val="en-US" w:eastAsia="en-US"/>
              </w:rPr>
              <w:t xml:space="preserve"> 38</w:t>
            </w:r>
          </w:p>
        </w:tc>
        <w:tc>
          <w:tcPr>
            <w:tcW w:w="249" w:type="pct"/>
            <w:shd w:val="clear" w:color="auto" w:fill="auto"/>
            <w:noWrap/>
            <w:vAlign w:val="center"/>
          </w:tcPr>
          <w:p w14:paraId="2053E30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2B1442">
              <w:rPr>
                <w:rFonts w:ascii="Calibri" w:hAnsi="Calibri"/>
                <w:sz w:val="18"/>
                <w:szCs w:val="18"/>
                <w:vertAlign w:val="superscript"/>
                <w:lang w:val="en-US" w:eastAsia="en-US"/>
              </w:rPr>
              <w:t>38</w:t>
            </w:r>
          </w:p>
        </w:tc>
        <w:tc>
          <w:tcPr>
            <w:tcW w:w="248" w:type="pct"/>
            <w:shd w:val="clear" w:color="auto" w:fill="auto"/>
            <w:noWrap/>
            <w:vAlign w:val="center"/>
          </w:tcPr>
          <w:p w14:paraId="4D396001"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2B1442">
              <w:rPr>
                <w:rFonts w:ascii="Calibri" w:hAnsi="Calibri"/>
                <w:sz w:val="18"/>
                <w:szCs w:val="18"/>
                <w:vertAlign w:val="superscript"/>
                <w:lang w:val="en-US" w:eastAsia="en-US"/>
              </w:rPr>
              <w:t>38</w:t>
            </w:r>
          </w:p>
        </w:tc>
        <w:tc>
          <w:tcPr>
            <w:tcW w:w="249" w:type="pct"/>
            <w:shd w:val="clear" w:color="auto" w:fill="auto"/>
            <w:noWrap/>
            <w:vAlign w:val="center"/>
          </w:tcPr>
          <w:p w14:paraId="2D24E5C0"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2B1442">
              <w:rPr>
                <w:rFonts w:ascii="Calibri" w:hAnsi="Calibri"/>
                <w:sz w:val="18"/>
                <w:szCs w:val="18"/>
                <w:vertAlign w:val="superscript"/>
                <w:lang w:val="en-US" w:eastAsia="en-US"/>
              </w:rPr>
              <w:t>38</w:t>
            </w:r>
          </w:p>
        </w:tc>
        <w:tc>
          <w:tcPr>
            <w:tcW w:w="249" w:type="pct"/>
            <w:shd w:val="clear" w:color="auto" w:fill="auto"/>
            <w:noWrap/>
            <w:vAlign w:val="center"/>
          </w:tcPr>
          <w:p w14:paraId="7B8EB2F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r w:rsidRPr="002B1442">
              <w:rPr>
                <w:rFonts w:ascii="Calibri" w:hAnsi="Calibri"/>
                <w:sz w:val="18"/>
                <w:szCs w:val="18"/>
                <w:vertAlign w:val="superscript"/>
                <w:lang w:val="en-US" w:eastAsia="en-US"/>
              </w:rPr>
              <w:t>38</w:t>
            </w:r>
          </w:p>
        </w:tc>
        <w:tc>
          <w:tcPr>
            <w:tcW w:w="249" w:type="pct"/>
            <w:shd w:val="clear" w:color="auto" w:fill="auto"/>
            <w:noWrap/>
            <w:vAlign w:val="center"/>
          </w:tcPr>
          <w:p w14:paraId="2C75959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5F96BB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CA5665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053761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CE708F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1AF0EDC" w14:textId="77777777" w:rsidTr="00A53EA0">
        <w:trPr>
          <w:trHeight w:val="454"/>
          <w:tblHeader/>
        </w:trPr>
        <w:tc>
          <w:tcPr>
            <w:tcW w:w="771" w:type="pct"/>
            <w:shd w:val="clear" w:color="auto" w:fill="auto"/>
            <w:noWrap/>
            <w:vAlign w:val="center"/>
          </w:tcPr>
          <w:p w14:paraId="00BC551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tipranavir/r</w:t>
            </w:r>
          </w:p>
        </w:tc>
        <w:tc>
          <w:tcPr>
            <w:tcW w:w="249" w:type="pct"/>
            <w:shd w:val="clear" w:color="auto" w:fill="auto"/>
            <w:noWrap/>
            <w:vAlign w:val="center"/>
          </w:tcPr>
          <w:p w14:paraId="5418896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4C5C038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100C99C" w14:textId="77777777" w:rsidR="00A53EA0" w:rsidRPr="006B1E10" w:rsidRDefault="00A53EA0" w:rsidP="00A53EA0">
            <w:pPr>
              <w:rPr>
                <w:rFonts w:ascii="Calibri" w:hAnsi="Calibri"/>
                <w:color w:val="000000"/>
                <w:sz w:val="18"/>
                <w:szCs w:val="18"/>
              </w:rPr>
            </w:pPr>
          </w:p>
        </w:tc>
        <w:tc>
          <w:tcPr>
            <w:tcW w:w="249" w:type="pct"/>
            <w:vAlign w:val="center"/>
          </w:tcPr>
          <w:p w14:paraId="16431E8C" w14:textId="77777777" w:rsidR="00A53EA0" w:rsidRPr="006B1E10" w:rsidRDefault="00A53EA0" w:rsidP="00A53EA0">
            <w:pPr>
              <w:rPr>
                <w:rFonts w:ascii="Calibri" w:hAnsi="Calibri"/>
                <w:color w:val="FF0000"/>
                <w:sz w:val="18"/>
                <w:szCs w:val="18"/>
                <w:lang w:val="en-US" w:eastAsia="en-US"/>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BFBFBF"/>
            <w:noWrap/>
            <w:vAlign w:val="center"/>
          </w:tcPr>
          <w:p w14:paraId="27F78F2B" w14:textId="77777777" w:rsidR="00A53EA0" w:rsidRPr="006B1E10" w:rsidRDefault="00A53EA0" w:rsidP="00A53EA0">
            <w:pPr>
              <w:rPr>
                <w:rFonts w:ascii="Calibri" w:hAnsi="Calibri"/>
                <w:color w:val="000000"/>
                <w:sz w:val="18"/>
                <w:szCs w:val="18"/>
              </w:rPr>
            </w:pPr>
          </w:p>
        </w:tc>
        <w:tc>
          <w:tcPr>
            <w:tcW w:w="249" w:type="pct"/>
            <w:vAlign w:val="center"/>
          </w:tcPr>
          <w:p w14:paraId="5F3C2D56"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2A4341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6F317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BFBFBF"/>
            <w:noWrap/>
            <w:vAlign w:val="center"/>
          </w:tcPr>
          <w:p w14:paraId="14C99DA4" w14:textId="77777777" w:rsidR="00A53EA0" w:rsidRPr="006B1E10" w:rsidRDefault="00A53EA0" w:rsidP="00A53EA0">
            <w:pPr>
              <w:rPr>
                <w:rFonts w:ascii="Calibri" w:hAnsi="Calibri"/>
                <w:color w:val="000000"/>
                <w:sz w:val="18"/>
                <w:szCs w:val="18"/>
              </w:rPr>
            </w:pPr>
          </w:p>
        </w:tc>
        <w:tc>
          <w:tcPr>
            <w:tcW w:w="248" w:type="pct"/>
            <w:shd w:val="clear" w:color="auto" w:fill="BFBFBF"/>
            <w:noWrap/>
            <w:vAlign w:val="center"/>
          </w:tcPr>
          <w:p w14:paraId="15B15647"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4F479006" w14:textId="77777777" w:rsidR="00A53EA0" w:rsidRPr="006B1E10" w:rsidRDefault="00A53EA0" w:rsidP="00A53EA0">
            <w:pPr>
              <w:rPr>
                <w:rFonts w:ascii="Calibri" w:hAnsi="Calibri"/>
                <w:color w:val="000000"/>
                <w:sz w:val="18"/>
                <w:szCs w:val="18"/>
              </w:rPr>
            </w:pPr>
          </w:p>
        </w:tc>
        <w:tc>
          <w:tcPr>
            <w:tcW w:w="249" w:type="pct"/>
            <w:shd w:val="clear" w:color="auto" w:fill="BFBFBF"/>
            <w:noWrap/>
            <w:vAlign w:val="center"/>
          </w:tcPr>
          <w:p w14:paraId="076D12C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E76BCB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C321FC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9F90B5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235462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0D1F4F4"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r>
      <w:tr w:rsidR="00A53EA0" w:rsidRPr="006B1E10" w14:paraId="20AAB61F" w14:textId="77777777" w:rsidTr="00A53EA0">
        <w:trPr>
          <w:trHeight w:val="454"/>
          <w:tblHeader/>
        </w:trPr>
        <w:tc>
          <w:tcPr>
            <w:tcW w:w="771" w:type="pct"/>
            <w:shd w:val="clear" w:color="auto" w:fill="auto"/>
            <w:noWrap/>
            <w:vAlign w:val="center"/>
          </w:tcPr>
          <w:p w14:paraId="53D9CCB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tobramicina</w:t>
            </w:r>
          </w:p>
        </w:tc>
        <w:tc>
          <w:tcPr>
            <w:tcW w:w="249" w:type="pct"/>
            <w:shd w:val="clear" w:color="auto" w:fill="auto"/>
            <w:noWrap/>
            <w:vAlign w:val="center"/>
          </w:tcPr>
          <w:p w14:paraId="658F4432" w14:textId="77777777" w:rsidR="00A53EA0" w:rsidRPr="006B1E10" w:rsidRDefault="00A53EA0" w:rsidP="00A53EA0">
            <w:pPr>
              <w:rPr>
                <w:rFonts w:ascii="Calibri" w:hAnsi="Calibri"/>
                <w:color w:val="000000"/>
                <w:sz w:val="18"/>
                <w:szCs w:val="18"/>
              </w:rPr>
            </w:pPr>
          </w:p>
        </w:tc>
        <w:tc>
          <w:tcPr>
            <w:tcW w:w="250" w:type="pct"/>
            <w:vAlign w:val="center"/>
          </w:tcPr>
          <w:p w14:paraId="4438297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99B0136" w14:textId="77777777" w:rsidR="00A53EA0" w:rsidRPr="006B1E10" w:rsidRDefault="00A53EA0" w:rsidP="00A53EA0">
            <w:pPr>
              <w:rPr>
                <w:rFonts w:ascii="Calibri" w:hAnsi="Calibri"/>
                <w:color w:val="000000"/>
                <w:sz w:val="18"/>
                <w:szCs w:val="18"/>
              </w:rPr>
            </w:pPr>
          </w:p>
        </w:tc>
        <w:tc>
          <w:tcPr>
            <w:tcW w:w="249" w:type="pct"/>
            <w:vAlign w:val="center"/>
          </w:tcPr>
          <w:p w14:paraId="0A8A45B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5A05F4E" w14:textId="77777777" w:rsidR="00A53EA0" w:rsidRPr="006B1E10" w:rsidRDefault="00A53EA0" w:rsidP="00A53EA0">
            <w:pPr>
              <w:rPr>
                <w:rFonts w:ascii="Calibri" w:hAnsi="Calibri"/>
                <w:color w:val="000000"/>
                <w:sz w:val="18"/>
                <w:szCs w:val="18"/>
              </w:rPr>
            </w:pPr>
          </w:p>
        </w:tc>
        <w:tc>
          <w:tcPr>
            <w:tcW w:w="249" w:type="pct"/>
            <w:vAlign w:val="center"/>
          </w:tcPr>
          <w:p w14:paraId="2475228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CBA842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6D010B" w14:textId="77777777" w:rsidR="00A53EA0" w:rsidRPr="006B1E10" w:rsidRDefault="00A53EA0" w:rsidP="00A53EA0">
            <w:pPr>
              <w:rPr>
                <w:rFonts w:ascii="Calibri" w:hAnsi="Calibri"/>
                <w:color w:val="000000"/>
                <w:sz w:val="18"/>
                <w:szCs w:val="18"/>
              </w:rPr>
            </w:pPr>
          </w:p>
        </w:tc>
        <w:tc>
          <w:tcPr>
            <w:tcW w:w="249" w:type="pct"/>
            <w:shd w:val="clear" w:color="000000" w:fill="FFFFFF"/>
            <w:noWrap/>
            <w:vAlign w:val="center"/>
          </w:tcPr>
          <w:p w14:paraId="22CDEF45"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5160EF99"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D4B001"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070CDA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28EA82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5D6DA1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E7A1F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E09800C"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1D820947" w14:textId="77777777" w:rsidR="00A53EA0" w:rsidRPr="006B1E10" w:rsidRDefault="00A53EA0" w:rsidP="00A53EA0">
            <w:pPr>
              <w:rPr>
                <w:rFonts w:ascii="Calibri" w:hAnsi="Calibri"/>
                <w:color w:val="000000"/>
                <w:sz w:val="18"/>
                <w:szCs w:val="18"/>
              </w:rPr>
            </w:pPr>
          </w:p>
        </w:tc>
      </w:tr>
      <w:tr w:rsidR="00A53EA0" w:rsidRPr="006B1E10" w14:paraId="12F6211D" w14:textId="77777777" w:rsidTr="00A53EA0">
        <w:trPr>
          <w:trHeight w:val="454"/>
          <w:tblHeader/>
        </w:trPr>
        <w:tc>
          <w:tcPr>
            <w:tcW w:w="771" w:type="pct"/>
            <w:shd w:val="clear" w:color="auto" w:fill="auto"/>
            <w:noWrap/>
            <w:vAlign w:val="center"/>
          </w:tcPr>
          <w:p w14:paraId="5019881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tolterodina</w:t>
            </w:r>
          </w:p>
        </w:tc>
        <w:tc>
          <w:tcPr>
            <w:tcW w:w="249" w:type="pct"/>
            <w:shd w:val="clear" w:color="auto" w:fill="auto"/>
            <w:noWrap/>
            <w:vAlign w:val="center"/>
          </w:tcPr>
          <w:p w14:paraId="7E87E45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E4F46E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025FE46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33CA577A"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748ABA2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39</w:t>
            </w:r>
          </w:p>
        </w:tc>
        <w:tc>
          <w:tcPr>
            <w:tcW w:w="249" w:type="pct"/>
            <w:vAlign w:val="center"/>
          </w:tcPr>
          <w:p w14:paraId="0914BBB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B7343C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FFD49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02FD2D8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1F3F94">
              <w:rPr>
                <w:rFonts w:ascii="Calibri" w:hAnsi="Calibri"/>
                <w:sz w:val="18"/>
                <w:szCs w:val="18"/>
                <w:vertAlign w:val="superscript"/>
                <w:lang w:val="en-US" w:eastAsia="en-US"/>
              </w:rPr>
              <w:t>39</w:t>
            </w:r>
          </w:p>
        </w:tc>
        <w:tc>
          <w:tcPr>
            <w:tcW w:w="248" w:type="pct"/>
            <w:shd w:val="clear" w:color="auto" w:fill="auto"/>
            <w:noWrap/>
            <w:vAlign w:val="center"/>
          </w:tcPr>
          <w:p w14:paraId="45C9523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1F3F94">
              <w:rPr>
                <w:rFonts w:ascii="Calibri" w:hAnsi="Calibri"/>
                <w:sz w:val="18"/>
                <w:szCs w:val="18"/>
                <w:vertAlign w:val="superscript"/>
                <w:lang w:val="en-US" w:eastAsia="en-US"/>
              </w:rPr>
              <w:t>39</w:t>
            </w:r>
            <w:r w:rsidRPr="006B1E10">
              <w:rPr>
                <w:rFonts w:ascii="Calibri" w:hAnsi="Calibri"/>
                <w:color w:val="000000"/>
                <w:sz w:val="18"/>
                <w:szCs w:val="18"/>
              </w:rPr>
              <w:t> </w:t>
            </w:r>
          </w:p>
        </w:tc>
        <w:tc>
          <w:tcPr>
            <w:tcW w:w="249" w:type="pct"/>
            <w:shd w:val="clear" w:color="auto" w:fill="auto"/>
            <w:noWrap/>
            <w:vAlign w:val="center"/>
          </w:tcPr>
          <w:p w14:paraId="5762DEB8"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1F3F94">
              <w:rPr>
                <w:rFonts w:ascii="Calibri" w:hAnsi="Calibri"/>
                <w:sz w:val="18"/>
                <w:szCs w:val="18"/>
                <w:vertAlign w:val="superscript"/>
                <w:lang w:val="en-US" w:eastAsia="en-US"/>
              </w:rPr>
              <w:t>39</w:t>
            </w:r>
            <w:r w:rsidRPr="006B1E10">
              <w:rPr>
                <w:rFonts w:ascii="Calibri" w:hAnsi="Calibri"/>
                <w:color w:val="000000"/>
                <w:sz w:val="18"/>
                <w:szCs w:val="18"/>
              </w:rPr>
              <w:t xml:space="preserve"> </w:t>
            </w:r>
          </w:p>
        </w:tc>
        <w:tc>
          <w:tcPr>
            <w:tcW w:w="249" w:type="pct"/>
            <w:shd w:val="clear" w:color="auto" w:fill="auto"/>
            <w:noWrap/>
            <w:vAlign w:val="center"/>
          </w:tcPr>
          <w:p w14:paraId="07071D2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1F3F94">
              <w:rPr>
                <w:rFonts w:ascii="Calibri" w:hAnsi="Calibri"/>
                <w:sz w:val="18"/>
                <w:szCs w:val="18"/>
                <w:vertAlign w:val="superscript"/>
                <w:lang w:val="en-US" w:eastAsia="en-US"/>
              </w:rPr>
              <w:t>39</w:t>
            </w:r>
          </w:p>
        </w:tc>
        <w:tc>
          <w:tcPr>
            <w:tcW w:w="249" w:type="pct"/>
            <w:shd w:val="clear" w:color="auto" w:fill="auto"/>
            <w:noWrap/>
            <w:vAlign w:val="center"/>
          </w:tcPr>
          <w:p w14:paraId="36F7032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4053F8"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7E22D6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AF4C03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4A7F5BE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48EAD2D9" w14:textId="77777777" w:rsidTr="00A53EA0">
        <w:trPr>
          <w:trHeight w:val="454"/>
          <w:tblHeader/>
        </w:trPr>
        <w:tc>
          <w:tcPr>
            <w:tcW w:w="771" w:type="pct"/>
            <w:shd w:val="clear" w:color="auto" w:fill="auto"/>
            <w:noWrap/>
            <w:vAlign w:val="center"/>
          </w:tcPr>
          <w:p w14:paraId="076107B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triamcinolona</w:t>
            </w:r>
          </w:p>
        </w:tc>
        <w:tc>
          <w:tcPr>
            <w:tcW w:w="249" w:type="pct"/>
            <w:shd w:val="clear" w:color="auto" w:fill="auto"/>
            <w:noWrap/>
            <w:vAlign w:val="center"/>
          </w:tcPr>
          <w:p w14:paraId="3072ABF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A3BCF1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3846D3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A5E91E0"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90F0F60"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vAlign w:val="center"/>
          </w:tcPr>
          <w:p w14:paraId="21CD96E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7235B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28BB4B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4A1EF0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8" w:type="pct"/>
            <w:shd w:val="clear" w:color="auto" w:fill="auto"/>
            <w:noWrap/>
            <w:vAlign w:val="center"/>
          </w:tcPr>
          <w:p w14:paraId="635CECF6"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7EFB836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11EC6DF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8</w:t>
            </w:r>
          </w:p>
        </w:tc>
        <w:tc>
          <w:tcPr>
            <w:tcW w:w="249" w:type="pct"/>
            <w:shd w:val="clear" w:color="auto" w:fill="auto"/>
            <w:noWrap/>
            <w:vAlign w:val="center"/>
          </w:tcPr>
          <w:p w14:paraId="36447B0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C304F2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645A3B7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4A79D5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5D4C086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29D1D09E" w14:textId="77777777" w:rsidTr="00A53EA0">
        <w:trPr>
          <w:trHeight w:val="454"/>
          <w:tblHeader/>
        </w:trPr>
        <w:tc>
          <w:tcPr>
            <w:tcW w:w="771" w:type="pct"/>
            <w:shd w:val="clear" w:color="auto" w:fill="auto"/>
            <w:noWrap/>
            <w:vAlign w:val="center"/>
          </w:tcPr>
          <w:p w14:paraId="73A7A5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triazolam</w:t>
            </w:r>
          </w:p>
        </w:tc>
        <w:tc>
          <w:tcPr>
            <w:tcW w:w="249" w:type="pct"/>
            <w:shd w:val="clear" w:color="auto" w:fill="auto"/>
            <w:noWrap/>
            <w:vAlign w:val="center"/>
          </w:tcPr>
          <w:p w14:paraId="0188C57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770C027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2C7EE8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6B162E6B"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4CFFB15C"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vAlign w:val="center"/>
          </w:tcPr>
          <w:p w14:paraId="0844053F"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489E7C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98E79DE"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59E5FDAF"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8" w:type="pct"/>
            <w:shd w:val="clear" w:color="auto" w:fill="auto"/>
            <w:noWrap/>
            <w:vAlign w:val="center"/>
          </w:tcPr>
          <w:p w14:paraId="6741F9B7"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6915C4D5" w14:textId="77777777" w:rsidR="00A53EA0" w:rsidRPr="006B1E10" w:rsidRDefault="00A53EA0" w:rsidP="00A53EA0">
            <w:pPr>
              <w:rPr>
                <w:rFonts w:ascii="Calibri" w:hAnsi="Calibri"/>
                <w:b/>
                <w:bCs/>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032D1A0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 xml:space="preserve">X </w:t>
            </w:r>
            <w:r w:rsidRPr="006B1E10">
              <w:rPr>
                <w:rFonts w:ascii="Calibri" w:hAnsi="Calibri"/>
                <w:sz w:val="18"/>
                <w:szCs w:val="18"/>
                <w:lang w:val="en-US" w:eastAsia="en-US"/>
              </w:rPr>
              <w:t>C</w:t>
            </w:r>
          </w:p>
        </w:tc>
        <w:tc>
          <w:tcPr>
            <w:tcW w:w="249" w:type="pct"/>
            <w:shd w:val="clear" w:color="auto" w:fill="auto"/>
            <w:noWrap/>
            <w:vAlign w:val="center"/>
          </w:tcPr>
          <w:p w14:paraId="744CB25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D63BDF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67B298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DF4415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0E7B434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18A4C86C" w14:textId="77777777" w:rsidTr="00A53EA0">
        <w:trPr>
          <w:trHeight w:val="454"/>
          <w:tblHeader/>
        </w:trPr>
        <w:tc>
          <w:tcPr>
            <w:tcW w:w="771" w:type="pct"/>
            <w:shd w:val="clear" w:color="auto" w:fill="auto"/>
            <w:noWrap/>
            <w:vAlign w:val="center"/>
          </w:tcPr>
          <w:p w14:paraId="713D09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vancomicina</w:t>
            </w:r>
          </w:p>
        </w:tc>
        <w:tc>
          <w:tcPr>
            <w:tcW w:w="249" w:type="pct"/>
            <w:shd w:val="clear" w:color="auto" w:fill="auto"/>
            <w:noWrap/>
            <w:vAlign w:val="center"/>
          </w:tcPr>
          <w:p w14:paraId="4DA6285E" w14:textId="77777777" w:rsidR="00A53EA0" w:rsidRPr="006B1E10" w:rsidRDefault="00A53EA0" w:rsidP="00A53EA0">
            <w:pPr>
              <w:rPr>
                <w:rFonts w:ascii="Calibri" w:hAnsi="Calibri"/>
                <w:color w:val="000000"/>
                <w:sz w:val="18"/>
                <w:szCs w:val="18"/>
              </w:rPr>
            </w:pPr>
          </w:p>
        </w:tc>
        <w:tc>
          <w:tcPr>
            <w:tcW w:w="250" w:type="pct"/>
            <w:vAlign w:val="center"/>
          </w:tcPr>
          <w:p w14:paraId="7A678CAA"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18C52E3" w14:textId="77777777" w:rsidR="00A53EA0" w:rsidRPr="006B1E10" w:rsidRDefault="00A53EA0" w:rsidP="00A53EA0">
            <w:pPr>
              <w:rPr>
                <w:rFonts w:ascii="Calibri" w:hAnsi="Calibri"/>
                <w:color w:val="000000"/>
                <w:sz w:val="18"/>
                <w:szCs w:val="18"/>
              </w:rPr>
            </w:pPr>
          </w:p>
        </w:tc>
        <w:tc>
          <w:tcPr>
            <w:tcW w:w="249" w:type="pct"/>
            <w:vAlign w:val="center"/>
          </w:tcPr>
          <w:p w14:paraId="2F54B57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FC37352" w14:textId="77777777" w:rsidR="00A53EA0" w:rsidRPr="006B1E10" w:rsidRDefault="00A53EA0" w:rsidP="00A53EA0">
            <w:pPr>
              <w:rPr>
                <w:rFonts w:ascii="Calibri" w:hAnsi="Calibri"/>
                <w:color w:val="000000"/>
                <w:sz w:val="18"/>
                <w:szCs w:val="18"/>
              </w:rPr>
            </w:pPr>
          </w:p>
        </w:tc>
        <w:tc>
          <w:tcPr>
            <w:tcW w:w="249" w:type="pct"/>
            <w:vAlign w:val="center"/>
          </w:tcPr>
          <w:p w14:paraId="682BF4B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95902B3"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6C9798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A47E41E" w14:textId="77777777" w:rsidR="00A53EA0" w:rsidRPr="006B1E10" w:rsidRDefault="00A53EA0" w:rsidP="00A53EA0">
            <w:pPr>
              <w:rPr>
                <w:rFonts w:ascii="Calibri" w:hAnsi="Calibri"/>
                <w:color w:val="000000"/>
                <w:sz w:val="18"/>
                <w:szCs w:val="18"/>
              </w:rPr>
            </w:pPr>
          </w:p>
        </w:tc>
        <w:tc>
          <w:tcPr>
            <w:tcW w:w="248" w:type="pct"/>
            <w:shd w:val="clear" w:color="auto" w:fill="auto"/>
            <w:noWrap/>
            <w:vAlign w:val="center"/>
          </w:tcPr>
          <w:p w14:paraId="130735F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16ADB06E"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05616D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21B64C3C"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9975A6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6E735178"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90949B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5" w:type="pct"/>
            <w:shd w:val="clear" w:color="auto" w:fill="auto"/>
            <w:noWrap/>
            <w:vAlign w:val="center"/>
          </w:tcPr>
          <w:p w14:paraId="545D4173" w14:textId="77777777" w:rsidR="00A53EA0" w:rsidRPr="006B1E10" w:rsidRDefault="00A53EA0" w:rsidP="00A53EA0">
            <w:pPr>
              <w:rPr>
                <w:rFonts w:ascii="Calibri" w:hAnsi="Calibri"/>
                <w:color w:val="000000"/>
                <w:sz w:val="18"/>
                <w:szCs w:val="18"/>
              </w:rPr>
            </w:pPr>
          </w:p>
        </w:tc>
      </w:tr>
      <w:tr w:rsidR="00A53EA0" w:rsidRPr="006B1E10" w14:paraId="7DE7227C" w14:textId="77777777" w:rsidTr="00A53EA0">
        <w:trPr>
          <w:trHeight w:val="454"/>
          <w:tblHeader/>
        </w:trPr>
        <w:tc>
          <w:tcPr>
            <w:tcW w:w="771" w:type="pct"/>
            <w:shd w:val="clear" w:color="auto" w:fill="auto"/>
            <w:noWrap/>
            <w:vAlign w:val="center"/>
          </w:tcPr>
          <w:p w14:paraId="04A9A371"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vandetanib</w:t>
            </w:r>
          </w:p>
        </w:tc>
        <w:tc>
          <w:tcPr>
            <w:tcW w:w="249" w:type="pct"/>
            <w:shd w:val="clear" w:color="auto" w:fill="auto"/>
            <w:noWrap/>
            <w:vAlign w:val="center"/>
          </w:tcPr>
          <w:p w14:paraId="7AEFCF1C"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5CE953B1"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7E3C8424"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72A646EC"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6FFBB0A9"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25B53703"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340C2C0E"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 xml:space="preserve">C </w:t>
            </w: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Pr>
                <w:rFonts w:asciiTheme="minorHAnsi" w:hAnsiTheme="minorHAnsi"/>
                <w:sz w:val="18"/>
                <w:szCs w:val="18"/>
                <w:highlight w:val="yellow"/>
                <w:vertAlign w:val="superscript"/>
                <w:lang w:val="en-US"/>
              </w:rPr>
              <w:t>15</w:t>
            </w:r>
          </w:p>
        </w:tc>
        <w:tc>
          <w:tcPr>
            <w:tcW w:w="249" w:type="pct"/>
            <w:shd w:val="clear" w:color="auto" w:fill="FFFFFF"/>
            <w:noWrap/>
            <w:vAlign w:val="center"/>
          </w:tcPr>
          <w:p w14:paraId="5202F73E"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auto" w:fill="auto"/>
            <w:noWrap/>
            <w:vAlign w:val="center"/>
          </w:tcPr>
          <w:p w14:paraId="56D3DD6A"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 xml:space="preserve">C </w:t>
            </w: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sidRPr="001F3F94">
              <w:rPr>
                <w:rFonts w:asciiTheme="minorHAnsi" w:hAnsiTheme="minorHAnsi"/>
                <w:sz w:val="18"/>
                <w:szCs w:val="18"/>
                <w:highlight w:val="yellow"/>
                <w:vertAlign w:val="superscript"/>
                <w:lang w:val="en-US"/>
              </w:rPr>
              <w:t>1</w:t>
            </w:r>
            <w:r>
              <w:rPr>
                <w:rFonts w:asciiTheme="minorHAnsi" w:hAnsiTheme="minorHAnsi"/>
                <w:sz w:val="18"/>
                <w:szCs w:val="18"/>
                <w:highlight w:val="yellow"/>
                <w:vertAlign w:val="superscript"/>
                <w:lang w:val="en-US"/>
              </w:rPr>
              <w:t>5</w:t>
            </w:r>
          </w:p>
        </w:tc>
        <w:tc>
          <w:tcPr>
            <w:tcW w:w="248" w:type="pct"/>
            <w:shd w:val="clear" w:color="auto" w:fill="auto"/>
            <w:noWrap/>
            <w:vAlign w:val="center"/>
          </w:tcPr>
          <w:p w14:paraId="18E207D2"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 xml:space="preserve">C </w:t>
            </w: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r w:rsidRPr="001F3F94">
              <w:rPr>
                <w:rFonts w:asciiTheme="minorHAnsi" w:hAnsiTheme="minorHAnsi"/>
                <w:sz w:val="18"/>
                <w:szCs w:val="18"/>
                <w:highlight w:val="yellow"/>
                <w:vertAlign w:val="superscript"/>
                <w:lang w:val="en-US"/>
              </w:rPr>
              <w:t>1</w:t>
            </w:r>
            <w:r>
              <w:rPr>
                <w:rFonts w:asciiTheme="minorHAnsi" w:hAnsiTheme="minorHAnsi"/>
                <w:sz w:val="18"/>
                <w:szCs w:val="18"/>
                <w:highlight w:val="yellow"/>
                <w:vertAlign w:val="superscript"/>
                <w:lang w:val="en-US"/>
              </w:rPr>
              <w:t>5</w:t>
            </w:r>
          </w:p>
        </w:tc>
        <w:tc>
          <w:tcPr>
            <w:tcW w:w="249" w:type="pct"/>
            <w:shd w:val="clear" w:color="auto" w:fill="auto"/>
            <w:noWrap/>
            <w:vAlign w:val="center"/>
          </w:tcPr>
          <w:p w14:paraId="3252D4BD"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2EB81B25"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67F6350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6B5D3E88"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7334E44F"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4F27A31C" w14:textId="77777777" w:rsidR="00A53EA0" w:rsidRPr="006B1E10" w:rsidRDefault="00A53EA0" w:rsidP="00A53EA0">
            <w:pPr>
              <w:rPr>
                <w:rFonts w:asciiTheme="minorHAnsi" w:hAnsiTheme="minorHAnsi"/>
                <w:sz w:val="18"/>
                <w:szCs w:val="18"/>
                <w:lang w:val="en-US"/>
              </w:rPr>
            </w:pPr>
          </w:p>
        </w:tc>
        <w:tc>
          <w:tcPr>
            <w:tcW w:w="245" w:type="pct"/>
            <w:shd w:val="clear" w:color="auto" w:fill="auto"/>
            <w:noWrap/>
            <w:vAlign w:val="center"/>
          </w:tcPr>
          <w:p w14:paraId="3EA93F1D" w14:textId="77777777" w:rsidR="00A53EA0" w:rsidRPr="006B1E10" w:rsidRDefault="00A53EA0" w:rsidP="00A53EA0">
            <w:pPr>
              <w:rPr>
                <w:rFonts w:asciiTheme="minorHAnsi" w:hAnsiTheme="minorHAnsi"/>
                <w:sz w:val="18"/>
                <w:szCs w:val="18"/>
              </w:rPr>
            </w:pPr>
          </w:p>
        </w:tc>
      </w:tr>
      <w:tr w:rsidR="00A53EA0" w:rsidRPr="006B1E10" w14:paraId="74D23698" w14:textId="77777777" w:rsidTr="00A53EA0">
        <w:trPr>
          <w:trHeight w:val="454"/>
          <w:tblHeader/>
        </w:trPr>
        <w:tc>
          <w:tcPr>
            <w:tcW w:w="771" w:type="pct"/>
            <w:shd w:val="clear" w:color="auto" w:fill="auto"/>
            <w:noWrap/>
            <w:vAlign w:val="center"/>
          </w:tcPr>
          <w:p w14:paraId="2722DEE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velpatasvir/sofosbuvir</w:t>
            </w:r>
          </w:p>
        </w:tc>
        <w:tc>
          <w:tcPr>
            <w:tcW w:w="249" w:type="pct"/>
            <w:shd w:val="clear" w:color="auto" w:fill="auto"/>
            <w:noWrap/>
            <w:vAlign w:val="center"/>
          </w:tcPr>
          <w:p w14:paraId="7FCE9830"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33B159D5"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5D0058A"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08714BB7"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7D725104"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259B06BB"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475E0C9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FFFFFF"/>
            <w:noWrap/>
            <w:vAlign w:val="center"/>
          </w:tcPr>
          <w:p w14:paraId="7E1538AB"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p>
        </w:tc>
        <w:tc>
          <w:tcPr>
            <w:tcW w:w="249" w:type="pct"/>
            <w:shd w:val="clear" w:color="auto" w:fill="auto"/>
            <w:noWrap/>
            <w:vAlign w:val="center"/>
          </w:tcPr>
          <w:p w14:paraId="0F2BED16"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8" w:type="pct"/>
            <w:shd w:val="clear" w:color="auto" w:fill="auto"/>
            <w:noWrap/>
            <w:vAlign w:val="center"/>
          </w:tcPr>
          <w:p w14:paraId="23332D4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7D5DA14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C0258B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51118E6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990511F"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084CDF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1DEE71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F54D73D"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596F9C0" w14:textId="77777777" w:rsidTr="00A53EA0">
        <w:trPr>
          <w:trHeight w:val="454"/>
          <w:tblHeader/>
        </w:trPr>
        <w:tc>
          <w:tcPr>
            <w:tcW w:w="771" w:type="pct"/>
            <w:shd w:val="clear" w:color="auto" w:fill="auto"/>
            <w:noWrap/>
            <w:vAlign w:val="bottom"/>
          </w:tcPr>
          <w:p w14:paraId="3F8553BD"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venetoclax</w:t>
            </w:r>
          </w:p>
        </w:tc>
        <w:tc>
          <w:tcPr>
            <w:tcW w:w="249" w:type="pct"/>
            <w:shd w:val="clear" w:color="auto" w:fill="auto"/>
            <w:noWrap/>
            <w:vAlign w:val="center"/>
          </w:tcPr>
          <w:p w14:paraId="78EA5080"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501F2C58"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56F510E5"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129614BC"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22A62739" w14:textId="77777777" w:rsidR="00A53EA0" w:rsidRPr="006B1E10" w:rsidRDefault="00A53EA0" w:rsidP="00A53EA0">
            <w:pPr>
              <w:rPr>
                <w:rFonts w:asciiTheme="minorHAnsi" w:hAnsiTheme="minorHAnsi"/>
                <w:color w:val="000000"/>
                <w:sz w:val="18"/>
                <w:szCs w:val="18"/>
                <w:highlight w:val="yellow"/>
                <w:vertAlign w:val="superscript"/>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Pr>
                <w:rFonts w:asciiTheme="minorHAnsi" w:hAnsiTheme="minorHAnsi"/>
                <w:sz w:val="18"/>
                <w:szCs w:val="18"/>
                <w:highlight w:val="yellow"/>
                <w:vertAlign w:val="superscript"/>
                <w:lang w:val="en-US"/>
              </w:rPr>
              <w:t>40</w:t>
            </w:r>
          </w:p>
        </w:tc>
        <w:tc>
          <w:tcPr>
            <w:tcW w:w="249" w:type="pct"/>
            <w:vAlign w:val="center"/>
          </w:tcPr>
          <w:p w14:paraId="5B3B6EA7"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1210D84F"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2B4707CC"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000000" w:fill="FFFFFF"/>
            <w:noWrap/>
            <w:vAlign w:val="center"/>
          </w:tcPr>
          <w:p w14:paraId="5F02E052"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Pr>
                <w:rFonts w:asciiTheme="minorHAnsi" w:hAnsiTheme="minorHAnsi"/>
                <w:sz w:val="18"/>
                <w:szCs w:val="18"/>
                <w:highlight w:val="yellow"/>
                <w:vertAlign w:val="superscript"/>
                <w:lang w:val="en-US"/>
              </w:rPr>
              <w:t>40</w:t>
            </w:r>
          </w:p>
        </w:tc>
        <w:tc>
          <w:tcPr>
            <w:tcW w:w="248" w:type="pct"/>
            <w:shd w:val="clear" w:color="auto" w:fill="auto"/>
            <w:noWrap/>
            <w:vAlign w:val="center"/>
          </w:tcPr>
          <w:p w14:paraId="0C648102"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sidRPr="001F3F94">
              <w:rPr>
                <w:rFonts w:asciiTheme="minorHAnsi" w:hAnsiTheme="minorHAnsi"/>
                <w:sz w:val="18"/>
                <w:szCs w:val="18"/>
                <w:highlight w:val="yellow"/>
                <w:vertAlign w:val="superscript"/>
                <w:lang w:val="en-US"/>
              </w:rPr>
              <w:t>40</w:t>
            </w:r>
          </w:p>
        </w:tc>
        <w:tc>
          <w:tcPr>
            <w:tcW w:w="249" w:type="pct"/>
            <w:shd w:val="clear" w:color="auto" w:fill="auto"/>
            <w:noWrap/>
            <w:vAlign w:val="center"/>
          </w:tcPr>
          <w:p w14:paraId="06B5EDB1"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sidRPr="001F3F94">
              <w:rPr>
                <w:rFonts w:asciiTheme="minorHAnsi" w:hAnsiTheme="minorHAnsi"/>
                <w:sz w:val="18"/>
                <w:szCs w:val="18"/>
                <w:highlight w:val="yellow"/>
                <w:vertAlign w:val="superscript"/>
                <w:lang w:val="en-US"/>
              </w:rPr>
              <w:t>40</w:t>
            </w:r>
          </w:p>
        </w:tc>
        <w:tc>
          <w:tcPr>
            <w:tcW w:w="249" w:type="pct"/>
            <w:shd w:val="clear" w:color="auto" w:fill="auto"/>
            <w:noWrap/>
            <w:vAlign w:val="center"/>
          </w:tcPr>
          <w:p w14:paraId="0C6C491D"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color w:val="FF0000"/>
                <w:sz w:val="18"/>
                <w:szCs w:val="18"/>
                <w:highlight w:val="yellow"/>
                <w:lang w:val="en-US"/>
              </w:rPr>
              <w:t xml:space="preserve">X </w:t>
            </w:r>
            <w:r w:rsidRPr="006B1E10">
              <w:rPr>
                <w:rFonts w:asciiTheme="minorHAnsi" w:hAnsiTheme="minorHAnsi"/>
                <w:sz w:val="18"/>
                <w:szCs w:val="18"/>
                <w:highlight w:val="yellow"/>
                <w:lang w:val="en-US"/>
              </w:rPr>
              <w:t>C</w:t>
            </w:r>
            <w:r w:rsidRPr="001F3F94">
              <w:rPr>
                <w:rFonts w:asciiTheme="minorHAnsi" w:hAnsiTheme="minorHAnsi"/>
                <w:sz w:val="18"/>
                <w:szCs w:val="18"/>
                <w:highlight w:val="yellow"/>
                <w:vertAlign w:val="superscript"/>
                <w:lang w:val="en-US"/>
              </w:rPr>
              <w:t>40</w:t>
            </w:r>
          </w:p>
        </w:tc>
        <w:tc>
          <w:tcPr>
            <w:tcW w:w="249" w:type="pct"/>
            <w:shd w:val="clear" w:color="auto" w:fill="auto"/>
            <w:noWrap/>
            <w:vAlign w:val="center"/>
          </w:tcPr>
          <w:p w14:paraId="313D9EA6"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23FC1A3A"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1986E755"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67656D8F" w14:textId="77777777" w:rsidR="00A53EA0" w:rsidRPr="006B1E10" w:rsidRDefault="00A53EA0" w:rsidP="00A53EA0">
            <w:pPr>
              <w:rPr>
                <w:rFonts w:asciiTheme="minorHAnsi" w:hAnsiTheme="minorHAnsi"/>
                <w:sz w:val="18"/>
                <w:szCs w:val="18"/>
                <w:highlight w:val="yellow"/>
              </w:rPr>
            </w:pPr>
          </w:p>
        </w:tc>
        <w:tc>
          <w:tcPr>
            <w:tcW w:w="245" w:type="pct"/>
            <w:shd w:val="clear" w:color="auto" w:fill="auto"/>
            <w:noWrap/>
            <w:vAlign w:val="center"/>
          </w:tcPr>
          <w:p w14:paraId="3929044E" w14:textId="77777777" w:rsidR="00A53EA0" w:rsidRPr="006B1E10" w:rsidRDefault="00A53EA0" w:rsidP="00A53EA0">
            <w:pPr>
              <w:rPr>
                <w:rFonts w:asciiTheme="minorHAnsi" w:hAnsiTheme="minorHAnsi"/>
                <w:sz w:val="18"/>
                <w:szCs w:val="18"/>
                <w:highlight w:val="yellow"/>
              </w:rPr>
            </w:pPr>
          </w:p>
        </w:tc>
      </w:tr>
      <w:tr w:rsidR="00A53EA0" w:rsidRPr="006B1E10" w14:paraId="43950EC0" w14:textId="77777777" w:rsidTr="00A53EA0">
        <w:trPr>
          <w:trHeight w:val="454"/>
          <w:tblHeader/>
        </w:trPr>
        <w:tc>
          <w:tcPr>
            <w:tcW w:w="771" w:type="pct"/>
            <w:shd w:val="clear" w:color="auto" w:fill="auto"/>
            <w:noWrap/>
            <w:vAlign w:val="bottom"/>
          </w:tcPr>
          <w:p w14:paraId="3BF83DA6" w14:textId="77777777" w:rsidR="00A53EA0" w:rsidRPr="006B1E10" w:rsidRDefault="00A53EA0" w:rsidP="00A53EA0">
            <w:pPr>
              <w:rPr>
                <w:rFonts w:asciiTheme="minorHAnsi" w:hAnsiTheme="minorHAnsi"/>
                <w:sz w:val="18"/>
                <w:szCs w:val="18"/>
                <w:highlight w:val="yellow"/>
              </w:rPr>
            </w:pPr>
            <w:r w:rsidRPr="006B1E10">
              <w:rPr>
                <w:rFonts w:asciiTheme="minorHAnsi" w:hAnsiTheme="minorHAnsi"/>
                <w:sz w:val="18"/>
                <w:szCs w:val="18"/>
                <w:highlight w:val="yellow"/>
              </w:rPr>
              <w:t>vismodegib</w:t>
            </w:r>
          </w:p>
        </w:tc>
        <w:tc>
          <w:tcPr>
            <w:tcW w:w="249" w:type="pct"/>
            <w:shd w:val="clear" w:color="auto" w:fill="auto"/>
            <w:noWrap/>
            <w:vAlign w:val="center"/>
          </w:tcPr>
          <w:p w14:paraId="3D61EFBB"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7136BE62"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5C32B38E"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201F3577"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6852D8C4" w14:textId="77777777" w:rsidR="00A53EA0" w:rsidRPr="006B1E10" w:rsidRDefault="00A53EA0" w:rsidP="00A53EA0">
            <w:pPr>
              <w:rPr>
                <w:rFonts w:asciiTheme="minorHAnsi" w:hAnsiTheme="minorHAnsi"/>
                <w:sz w:val="18"/>
                <w:szCs w:val="18"/>
                <w:highlight w:val="yellow"/>
              </w:rPr>
            </w:pPr>
          </w:p>
        </w:tc>
        <w:tc>
          <w:tcPr>
            <w:tcW w:w="249" w:type="pct"/>
            <w:vAlign w:val="center"/>
          </w:tcPr>
          <w:p w14:paraId="4D52BC6E"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7A13B102" w14:textId="77777777" w:rsidR="00A53EA0" w:rsidRPr="006B1E10" w:rsidRDefault="00A53EA0" w:rsidP="00A53EA0">
            <w:pPr>
              <w:rPr>
                <w:rFonts w:asciiTheme="minorHAnsi" w:hAnsiTheme="minorHAnsi"/>
                <w:sz w:val="18"/>
                <w:szCs w:val="18"/>
                <w:highlight w:val="yellow"/>
              </w:rPr>
            </w:pPr>
          </w:p>
        </w:tc>
        <w:tc>
          <w:tcPr>
            <w:tcW w:w="249" w:type="pct"/>
            <w:shd w:val="clear" w:color="auto" w:fill="auto"/>
            <w:noWrap/>
            <w:vAlign w:val="center"/>
          </w:tcPr>
          <w:p w14:paraId="607A8CE4" w14:textId="77777777" w:rsidR="00A53EA0" w:rsidRPr="006B1E10" w:rsidRDefault="00A53EA0" w:rsidP="00A53EA0">
            <w:pPr>
              <w:rPr>
                <w:rFonts w:asciiTheme="minorHAnsi" w:hAnsiTheme="minorHAnsi"/>
                <w:color w:val="000000"/>
                <w:sz w:val="18"/>
                <w:szCs w:val="18"/>
                <w:highlight w:val="yellow"/>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tc>
        <w:tc>
          <w:tcPr>
            <w:tcW w:w="249" w:type="pct"/>
            <w:shd w:val="clear" w:color="000000" w:fill="FFFFFF"/>
            <w:noWrap/>
            <w:vAlign w:val="center"/>
          </w:tcPr>
          <w:p w14:paraId="587BE7B6" w14:textId="77777777" w:rsidR="00A53EA0" w:rsidRPr="006B1E10" w:rsidRDefault="00A53EA0" w:rsidP="00A53EA0">
            <w:pPr>
              <w:rPr>
                <w:rFonts w:asciiTheme="minorHAnsi" w:hAnsiTheme="minorHAnsi"/>
                <w:sz w:val="18"/>
                <w:szCs w:val="18"/>
                <w:highlight w:val="magenta"/>
              </w:rPr>
            </w:pPr>
          </w:p>
        </w:tc>
        <w:tc>
          <w:tcPr>
            <w:tcW w:w="248" w:type="pct"/>
            <w:shd w:val="clear" w:color="auto" w:fill="auto"/>
            <w:noWrap/>
            <w:vAlign w:val="center"/>
          </w:tcPr>
          <w:p w14:paraId="247505A3"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86613DC"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3F14AA00"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16CA9BF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5CF1884"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24EC7777" w14:textId="77777777" w:rsidR="00A53EA0" w:rsidRPr="006B1E10" w:rsidRDefault="00A53EA0" w:rsidP="00A53EA0">
            <w:pPr>
              <w:rPr>
                <w:rFonts w:asciiTheme="minorHAnsi" w:hAnsiTheme="minorHAnsi"/>
                <w:sz w:val="18"/>
                <w:szCs w:val="18"/>
              </w:rPr>
            </w:pPr>
          </w:p>
        </w:tc>
        <w:tc>
          <w:tcPr>
            <w:tcW w:w="249" w:type="pct"/>
            <w:shd w:val="clear" w:color="auto" w:fill="auto"/>
            <w:noWrap/>
            <w:vAlign w:val="center"/>
          </w:tcPr>
          <w:p w14:paraId="1EAFDF48" w14:textId="77777777" w:rsidR="00A53EA0" w:rsidRPr="006B1E10" w:rsidRDefault="00A53EA0" w:rsidP="00A53EA0">
            <w:pPr>
              <w:rPr>
                <w:rFonts w:asciiTheme="minorHAnsi" w:hAnsiTheme="minorHAnsi"/>
                <w:sz w:val="18"/>
                <w:szCs w:val="18"/>
              </w:rPr>
            </w:pPr>
          </w:p>
        </w:tc>
        <w:tc>
          <w:tcPr>
            <w:tcW w:w="245" w:type="pct"/>
            <w:shd w:val="clear" w:color="auto" w:fill="auto"/>
            <w:noWrap/>
            <w:vAlign w:val="center"/>
          </w:tcPr>
          <w:p w14:paraId="5C1598D5" w14:textId="77777777" w:rsidR="00A53EA0" w:rsidRPr="006B1E10" w:rsidRDefault="00A53EA0" w:rsidP="00A53EA0">
            <w:pPr>
              <w:rPr>
                <w:rFonts w:asciiTheme="minorHAnsi" w:hAnsiTheme="minorHAnsi"/>
                <w:sz w:val="18"/>
                <w:szCs w:val="18"/>
              </w:rPr>
            </w:pPr>
          </w:p>
        </w:tc>
      </w:tr>
      <w:tr w:rsidR="00A53EA0" w:rsidRPr="006B1E10" w14:paraId="2533AD89" w14:textId="77777777" w:rsidTr="00A53EA0">
        <w:trPr>
          <w:trHeight w:val="454"/>
          <w:tblHeader/>
        </w:trPr>
        <w:tc>
          <w:tcPr>
            <w:tcW w:w="771" w:type="pct"/>
            <w:shd w:val="clear" w:color="auto" w:fill="auto"/>
            <w:noWrap/>
            <w:vAlign w:val="center"/>
          </w:tcPr>
          <w:p w14:paraId="4863C0C1"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voriconazol</w:t>
            </w:r>
          </w:p>
        </w:tc>
        <w:tc>
          <w:tcPr>
            <w:tcW w:w="249" w:type="pct"/>
            <w:shd w:val="clear" w:color="auto" w:fill="auto"/>
            <w:noWrap/>
            <w:vAlign w:val="center"/>
          </w:tcPr>
          <w:p w14:paraId="35E68042"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50" w:type="pct"/>
            <w:vAlign w:val="center"/>
          </w:tcPr>
          <w:p w14:paraId="66D33D24"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50DD6DC3"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vAlign w:val="center"/>
          </w:tcPr>
          <w:p w14:paraId="59C8A9F4" w14:textId="77777777" w:rsidR="00A53EA0" w:rsidRPr="006B1E10" w:rsidRDefault="00A53EA0" w:rsidP="00A53EA0">
            <w:pPr>
              <w:rPr>
                <w:rFonts w:ascii="Calibri" w:hAnsi="Calibri"/>
                <w:color w:val="FF0000"/>
                <w:sz w:val="18"/>
                <w:szCs w:val="18"/>
                <w:lang w:val="en-US" w:eastAsia="en-US"/>
              </w:rPr>
            </w:pPr>
          </w:p>
        </w:tc>
        <w:tc>
          <w:tcPr>
            <w:tcW w:w="249" w:type="pct"/>
            <w:shd w:val="clear" w:color="auto" w:fill="auto"/>
            <w:noWrap/>
            <w:vAlign w:val="center"/>
          </w:tcPr>
          <w:p w14:paraId="022CE6DD"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sidRPr="006B1E10">
              <w:rPr>
                <w:rFonts w:ascii="Calibri" w:hAnsi="Calibri"/>
                <w:sz w:val="18"/>
                <w:szCs w:val="18"/>
                <w:vertAlign w:val="superscript"/>
                <w:lang w:val="en-US" w:eastAsia="en-US"/>
              </w:rPr>
              <w:t>k</w:t>
            </w:r>
          </w:p>
        </w:tc>
        <w:tc>
          <w:tcPr>
            <w:tcW w:w="249" w:type="pct"/>
            <w:vAlign w:val="center"/>
          </w:tcPr>
          <w:p w14:paraId="0FA14B02" w14:textId="77777777" w:rsidR="00A53EA0" w:rsidRPr="006B1E10" w:rsidRDefault="00A53EA0" w:rsidP="00A53EA0">
            <w:pPr>
              <w:rPr>
                <w:rFonts w:ascii="Calibri" w:hAnsi="Calibri"/>
                <w:color w:val="000000"/>
                <w:sz w:val="18"/>
                <w:szCs w:val="18"/>
              </w:rPr>
            </w:pPr>
          </w:p>
        </w:tc>
        <w:tc>
          <w:tcPr>
            <w:tcW w:w="249" w:type="pct"/>
            <w:shd w:val="clear" w:color="auto" w:fill="auto"/>
            <w:noWrap/>
            <w:vAlign w:val="center"/>
          </w:tcPr>
          <w:p w14:paraId="39C75157"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2E883745"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000000" w:fill="FFFFFF"/>
            <w:noWrap/>
            <w:vAlign w:val="center"/>
          </w:tcPr>
          <w:p w14:paraId="3ABD228A"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41</w:t>
            </w:r>
          </w:p>
        </w:tc>
        <w:tc>
          <w:tcPr>
            <w:tcW w:w="248" w:type="pct"/>
            <w:shd w:val="clear" w:color="auto" w:fill="auto"/>
            <w:noWrap/>
            <w:vAlign w:val="center"/>
          </w:tcPr>
          <w:p w14:paraId="04E2E51F"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NR</w:t>
            </w:r>
            <w:r>
              <w:rPr>
                <w:rFonts w:ascii="Calibri" w:hAnsi="Calibri"/>
                <w:sz w:val="18"/>
                <w:szCs w:val="18"/>
                <w:vertAlign w:val="superscript"/>
                <w:lang w:val="en-US" w:eastAsia="en-US"/>
              </w:rPr>
              <w:t>41</w:t>
            </w:r>
          </w:p>
        </w:tc>
        <w:tc>
          <w:tcPr>
            <w:tcW w:w="249" w:type="pct"/>
            <w:shd w:val="clear" w:color="auto" w:fill="auto"/>
            <w:noWrap/>
            <w:vAlign w:val="center"/>
          </w:tcPr>
          <w:p w14:paraId="0F7C99B3"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r>
              <w:rPr>
                <w:rFonts w:ascii="Calibri" w:hAnsi="Calibri"/>
                <w:sz w:val="18"/>
                <w:szCs w:val="18"/>
                <w:vertAlign w:val="superscript"/>
                <w:lang w:val="en-US" w:eastAsia="en-US"/>
              </w:rPr>
              <w:t>41</w:t>
            </w:r>
          </w:p>
        </w:tc>
        <w:tc>
          <w:tcPr>
            <w:tcW w:w="249" w:type="pct"/>
            <w:shd w:val="clear" w:color="auto" w:fill="auto"/>
            <w:noWrap/>
            <w:vAlign w:val="center"/>
          </w:tcPr>
          <w:p w14:paraId="3A212DC9" w14:textId="77777777" w:rsidR="00A53EA0" w:rsidRPr="006B1E10" w:rsidRDefault="00A53EA0" w:rsidP="00A53EA0">
            <w:pPr>
              <w:rPr>
                <w:rFonts w:ascii="Calibri" w:hAnsi="Calibri"/>
                <w:color w:val="000000"/>
                <w:sz w:val="18"/>
                <w:szCs w:val="18"/>
              </w:rPr>
            </w:pPr>
            <w:r w:rsidRPr="006B1E10">
              <w:rPr>
                <w:rFonts w:ascii="Calibri" w:hAnsi="Calibri"/>
                <w:color w:val="FF0000"/>
                <w:sz w:val="18"/>
                <w:szCs w:val="18"/>
                <w:lang w:val="en-US" w:eastAsia="en-US"/>
              </w:rPr>
              <w:t>X</w:t>
            </w:r>
            <w:r w:rsidRPr="006B1E10">
              <w:rPr>
                <w:rFonts w:ascii="Calibri" w:hAnsi="Calibri"/>
                <w:sz w:val="18"/>
                <w:szCs w:val="18"/>
                <w:lang w:val="en-US" w:eastAsia="en-US"/>
              </w:rPr>
              <w:t xml:space="preserve"> C</w:t>
            </w:r>
            <w:r>
              <w:rPr>
                <w:rFonts w:ascii="Calibri" w:hAnsi="Calibri"/>
                <w:sz w:val="18"/>
                <w:szCs w:val="18"/>
                <w:vertAlign w:val="superscript"/>
                <w:lang w:val="en-US" w:eastAsia="en-US"/>
              </w:rPr>
              <w:t>41</w:t>
            </w:r>
          </w:p>
        </w:tc>
        <w:tc>
          <w:tcPr>
            <w:tcW w:w="249" w:type="pct"/>
            <w:shd w:val="clear" w:color="auto" w:fill="auto"/>
            <w:noWrap/>
            <w:vAlign w:val="center"/>
          </w:tcPr>
          <w:p w14:paraId="25E655FB"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107D4F7C"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325EFE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9" w:type="pct"/>
            <w:shd w:val="clear" w:color="auto" w:fill="auto"/>
            <w:noWrap/>
            <w:vAlign w:val="center"/>
          </w:tcPr>
          <w:p w14:paraId="0159F00E"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c>
          <w:tcPr>
            <w:tcW w:w="245" w:type="pct"/>
            <w:shd w:val="clear" w:color="auto" w:fill="auto"/>
            <w:noWrap/>
            <w:vAlign w:val="center"/>
          </w:tcPr>
          <w:p w14:paraId="725AEC99" w14:textId="77777777" w:rsidR="00A53EA0" w:rsidRPr="006B1E10" w:rsidRDefault="00A53EA0" w:rsidP="00A53EA0">
            <w:pPr>
              <w:rPr>
                <w:rFonts w:ascii="Calibri" w:hAnsi="Calibri"/>
                <w:color w:val="000000"/>
                <w:sz w:val="18"/>
                <w:szCs w:val="18"/>
              </w:rPr>
            </w:pPr>
            <w:r w:rsidRPr="006B1E10">
              <w:rPr>
                <w:rFonts w:ascii="Calibri" w:hAnsi="Calibri"/>
                <w:color w:val="000000"/>
                <w:sz w:val="18"/>
                <w:szCs w:val="18"/>
              </w:rPr>
              <w:t> </w:t>
            </w:r>
          </w:p>
        </w:tc>
      </w:tr>
      <w:tr w:rsidR="00A53EA0" w:rsidRPr="006B1E10" w14:paraId="7EB9A515" w14:textId="77777777" w:rsidTr="00A53EA0">
        <w:trPr>
          <w:trHeight w:val="454"/>
          <w:tblHeader/>
        </w:trPr>
        <w:tc>
          <w:tcPr>
            <w:tcW w:w="771" w:type="pct"/>
            <w:shd w:val="clear" w:color="auto" w:fill="auto"/>
            <w:noWrap/>
            <w:vAlign w:val="center"/>
          </w:tcPr>
          <w:p w14:paraId="4A951AD7" w14:textId="77777777" w:rsidR="00A53EA0" w:rsidRPr="006B1E10" w:rsidRDefault="00A53EA0" w:rsidP="00A53EA0">
            <w:pPr>
              <w:rPr>
                <w:rFonts w:asciiTheme="minorHAnsi" w:hAnsiTheme="minorHAnsi"/>
                <w:sz w:val="18"/>
                <w:szCs w:val="18"/>
                <w:highlight w:val="magenta"/>
              </w:rPr>
            </w:pPr>
            <w:r w:rsidRPr="00A2609C">
              <w:rPr>
                <w:rFonts w:asciiTheme="minorHAnsi" w:hAnsiTheme="minorHAnsi"/>
                <w:sz w:val="18"/>
                <w:szCs w:val="18"/>
                <w:highlight w:val="yellow"/>
              </w:rPr>
              <w:t>voxilaprevir/sofosbuvir/velpatasvir</w:t>
            </w:r>
          </w:p>
        </w:tc>
        <w:tc>
          <w:tcPr>
            <w:tcW w:w="249" w:type="pct"/>
            <w:shd w:val="clear" w:color="auto" w:fill="auto"/>
            <w:noWrap/>
            <w:vAlign w:val="center"/>
          </w:tcPr>
          <w:p w14:paraId="55337B2D" w14:textId="77777777" w:rsidR="00A53EA0" w:rsidRPr="006B1E10" w:rsidRDefault="00A53EA0" w:rsidP="00A53EA0">
            <w:pPr>
              <w:rPr>
                <w:rFonts w:asciiTheme="minorHAnsi" w:hAnsiTheme="minorHAnsi"/>
                <w:sz w:val="18"/>
                <w:szCs w:val="18"/>
                <w:highlight w:val="yellow"/>
              </w:rPr>
            </w:pPr>
          </w:p>
        </w:tc>
        <w:tc>
          <w:tcPr>
            <w:tcW w:w="250" w:type="pct"/>
            <w:vAlign w:val="center"/>
          </w:tcPr>
          <w:p w14:paraId="33095BB8" w14:textId="77777777" w:rsidR="00A53EA0" w:rsidRPr="006B1E10" w:rsidRDefault="00A53EA0" w:rsidP="00A53EA0">
            <w:pPr>
              <w:rPr>
                <w:rFonts w:asciiTheme="minorHAnsi" w:hAnsiTheme="minorHAnsi"/>
                <w:color w:val="FF0000"/>
                <w:sz w:val="18"/>
                <w:szCs w:val="18"/>
                <w:highlight w:val="yellow"/>
                <w:lang w:val="en-US"/>
              </w:rPr>
            </w:pPr>
          </w:p>
        </w:tc>
        <w:tc>
          <w:tcPr>
            <w:tcW w:w="249" w:type="pct"/>
            <w:shd w:val="clear" w:color="auto" w:fill="auto"/>
            <w:noWrap/>
            <w:vAlign w:val="center"/>
          </w:tcPr>
          <w:p w14:paraId="09106AAD" w14:textId="77777777" w:rsidR="00A53EA0" w:rsidRPr="006B1E10" w:rsidRDefault="00A53EA0" w:rsidP="00A53EA0">
            <w:pPr>
              <w:rPr>
                <w:rFonts w:asciiTheme="minorHAnsi" w:hAnsiTheme="minorHAnsi"/>
                <w:sz w:val="18"/>
                <w:szCs w:val="18"/>
                <w:highlight w:val="magenta"/>
              </w:rPr>
            </w:pPr>
          </w:p>
        </w:tc>
        <w:tc>
          <w:tcPr>
            <w:tcW w:w="249" w:type="pct"/>
            <w:vAlign w:val="center"/>
          </w:tcPr>
          <w:p w14:paraId="55D9379A" w14:textId="77777777" w:rsidR="00A53EA0" w:rsidRPr="006B1E10" w:rsidRDefault="00A53EA0" w:rsidP="00A53EA0">
            <w:pPr>
              <w:rPr>
                <w:rFonts w:asciiTheme="minorHAnsi" w:hAnsiTheme="minorHAnsi"/>
                <w:sz w:val="18"/>
                <w:szCs w:val="18"/>
                <w:highlight w:val="magenta"/>
                <w:lang w:val="en-US"/>
              </w:rPr>
            </w:pPr>
          </w:p>
        </w:tc>
        <w:tc>
          <w:tcPr>
            <w:tcW w:w="249" w:type="pct"/>
            <w:shd w:val="clear" w:color="auto" w:fill="auto"/>
            <w:noWrap/>
            <w:vAlign w:val="center"/>
          </w:tcPr>
          <w:p w14:paraId="0936F719" w14:textId="77777777" w:rsidR="00A53EA0" w:rsidRPr="006B1E10" w:rsidRDefault="00A53EA0" w:rsidP="00A53EA0">
            <w:pPr>
              <w:rPr>
                <w:rFonts w:asciiTheme="minorHAnsi" w:hAnsiTheme="minorHAnsi"/>
                <w:sz w:val="18"/>
                <w:szCs w:val="18"/>
                <w:highlight w:val="magenta"/>
                <w:lang w:val="en-US"/>
              </w:rPr>
            </w:pPr>
          </w:p>
        </w:tc>
        <w:tc>
          <w:tcPr>
            <w:tcW w:w="249" w:type="pct"/>
            <w:vAlign w:val="center"/>
          </w:tcPr>
          <w:p w14:paraId="1CB23FF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7D4DB8CE"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29B7A642"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0571E95A" w14:textId="77777777" w:rsidR="00A53EA0" w:rsidRPr="006B1E10" w:rsidRDefault="00A53EA0" w:rsidP="00A53EA0">
            <w:pPr>
              <w:rPr>
                <w:rFonts w:asciiTheme="minorHAnsi" w:hAnsiTheme="minorHAnsi"/>
                <w:color w:val="000000"/>
                <w:sz w:val="18"/>
                <w:szCs w:val="18"/>
                <w:highlight w:val="magenta"/>
              </w:rPr>
            </w:pPr>
            <w:r w:rsidRPr="006B1E10">
              <w:rPr>
                <w:rFonts w:asciiTheme="minorHAnsi" w:hAnsiTheme="minorHAnsi"/>
                <w:sz w:val="18"/>
                <w:szCs w:val="18"/>
                <w:highlight w:val="yellow"/>
                <w:lang w:val="en-US"/>
              </w:rPr>
              <w:sym w:font="Symbol" w:char="F0AF"/>
            </w:r>
            <w:r w:rsidRPr="006B1E10">
              <w:rPr>
                <w:rFonts w:asciiTheme="minorHAnsi" w:hAnsiTheme="minorHAnsi"/>
                <w:sz w:val="18"/>
                <w:szCs w:val="18"/>
                <w:highlight w:val="yellow"/>
                <w:lang w:val="en-US"/>
              </w:rPr>
              <w:t>FCO</w:t>
            </w:r>
          </w:p>
        </w:tc>
        <w:tc>
          <w:tcPr>
            <w:tcW w:w="249" w:type="pct"/>
            <w:shd w:val="clear" w:color="000000" w:fill="FFFFFF"/>
            <w:noWrap/>
            <w:vAlign w:val="center"/>
          </w:tcPr>
          <w:p w14:paraId="7E11DE16"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0E81DB45"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FCO</w:t>
            </w:r>
          </w:p>
        </w:tc>
        <w:tc>
          <w:tcPr>
            <w:tcW w:w="248" w:type="pct"/>
            <w:shd w:val="clear" w:color="auto" w:fill="auto"/>
            <w:noWrap/>
            <w:vAlign w:val="center"/>
          </w:tcPr>
          <w:p w14:paraId="26C5A17D"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color w:val="FF0000"/>
                <w:sz w:val="18"/>
                <w:szCs w:val="18"/>
                <w:highlight w:val="yellow"/>
                <w:lang w:val="en-US"/>
              </w:rPr>
              <w:t>X</w:t>
            </w:r>
            <w:r w:rsidRPr="006B1E10">
              <w:rPr>
                <w:rFonts w:asciiTheme="minorHAnsi" w:hAnsiTheme="minorHAnsi"/>
                <w:sz w:val="18"/>
                <w:szCs w:val="18"/>
                <w:highlight w:val="yellow"/>
                <w:lang w:val="en-US"/>
              </w:rPr>
              <w:t xml:space="preserve"> NR</w:t>
            </w:r>
          </w:p>
          <w:p w14:paraId="06D0ED77" w14:textId="77777777" w:rsidR="00A53EA0" w:rsidRPr="006B1E10" w:rsidRDefault="00A53EA0" w:rsidP="00A53EA0">
            <w:pPr>
              <w:rPr>
                <w:rFonts w:asciiTheme="minorHAnsi" w:hAnsiTheme="minorHAnsi"/>
                <w:color w:val="FF0000"/>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TOX</w:t>
            </w:r>
          </w:p>
        </w:tc>
        <w:tc>
          <w:tcPr>
            <w:tcW w:w="249" w:type="pct"/>
            <w:shd w:val="clear" w:color="auto" w:fill="auto"/>
            <w:noWrap/>
            <w:vAlign w:val="center"/>
          </w:tcPr>
          <w:p w14:paraId="1832926C"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FCO</w:t>
            </w:r>
          </w:p>
        </w:tc>
        <w:tc>
          <w:tcPr>
            <w:tcW w:w="249" w:type="pct"/>
            <w:shd w:val="clear" w:color="auto" w:fill="auto"/>
            <w:noWrap/>
            <w:vAlign w:val="center"/>
          </w:tcPr>
          <w:p w14:paraId="672808CE" w14:textId="77777777" w:rsidR="00A53EA0" w:rsidRPr="006B1E10" w:rsidRDefault="00A53EA0" w:rsidP="00A53EA0">
            <w:pPr>
              <w:rPr>
                <w:rFonts w:asciiTheme="minorHAnsi" w:hAnsiTheme="minorHAnsi"/>
                <w:sz w:val="18"/>
                <w:szCs w:val="18"/>
                <w:highlight w:val="yellow"/>
                <w:lang w:val="en-US"/>
              </w:rPr>
            </w:pPr>
            <w:r w:rsidRPr="006B1E10">
              <w:rPr>
                <w:rFonts w:asciiTheme="minorHAnsi" w:hAnsiTheme="minorHAnsi"/>
                <w:sz w:val="18"/>
                <w:szCs w:val="18"/>
                <w:highlight w:val="yellow"/>
                <w:lang w:val="en-US"/>
              </w:rPr>
              <w:sym w:font="Symbol" w:char="F0AD"/>
            </w:r>
            <w:r w:rsidRPr="006B1E10">
              <w:rPr>
                <w:rFonts w:asciiTheme="minorHAnsi" w:hAnsiTheme="minorHAnsi"/>
                <w:sz w:val="18"/>
                <w:szCs w:val="18"/>
                <w:highlight w:val="yellow"/>
                <w:lang w:val="en-US"/>
              </w:rPr>
              <w:t>FCO</w:t>
            </w:r>
          </w:p>
        </w:tc>
        <w:tc>
          <w:tcPr>
            <w:tcW w:w="249" w:type="pct"/>
            <w:shd w:val="clear" w:color="auto" w:fill="auto"/>
            <w:noWrap/>
            <w:vAlign w:val="center"/>
          </w:tcPr>
          <w:p w14:paraId="05E6C34C"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00DEE2C6"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01AE8732" w14:textId="77777777" w:rsidR="00A53EA0" w:rsidRPr="006B1E10" w:rsidRDefault="00A53EA0" w:rsidP="00A53EA0">
            <w:pPr>
              <w:rPr>
                <w:rFonts w:asciiTheme="minorHAnsi" w:hAnsiTheme="minorHAnsi"/>
                <w:sz w:val="18"/>
                <w:szCs w:val="18"/>
                <w:highlight w:val="magenta"/>
              </w:rPr>
            </w:pPr>
          </w:p>
        </w:tc>
        <w:tc>
          <w:tcPr>
            <w:tcW w:w="249" w:type="pct"/>
            <w:shd w:val="clear" w:color="auto" w:fill="auto"/>
            <w:noWrap/>
            <w:vAlign w:val="center"/>
          </w:tcPr>
          <w:p w14:paraId="1F8544A9"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ARV</w:t>
            </w:r>
          </w:p>
        </w:tc>
        <w:tc>
          <w:tcPr>
            <w:tcW w:w="245" w:type="pct"/>
            <w:shd w:val="clear" w:color="auto" w:fill="auto"/>
            <w:noWrap/>
            <w:vAlign w:val="center"/>
          </w:tcPr>
          <w:p w14:paraId="56A7CEE9" w14:textId="77777777" w:rsidR="00A53EA0" w:rsidRPr="006B1E10" w:rsidRDefault="00A53EA0" w:rsidP="00A53EA0">
            <w:pPr>
              <w:rPr>
                <w:rFonts w:asciiTheme="minorHAnsi" w:hAnsiTheme="minorHAnsi"/>
                <w:sz w:val="18"/>
                <w:szCs w:val="18"/>
                <w:highlight w:val="magenta"/>
              </w:rPr>
            </w:pPr>
            <w:r w:rsidRPr="006B1E10">
              <w:rPr>
                <w:rFonts w:asciiTheme="minorHAnsi" w:hAnsiTheme="minorHAnsi"/>
                <w:sz w:val="18"/>
                <w:szCs w:val="18"/>
                <w:highlight w:val="yellow"/>
              </w:rPr>
              <w:sym w:font="Symbol" w:char="F0AD"/>
            </w:r>
            <w:r w:rsidRPr="006B1E10">
              <w:rPr>
                <w:rFonts w:asciiTheme="minorHAnsi" w:hAnsiTheme="minorHAnsi"/>
                <w:sz w:val="18"/>
                <w:szCs w:val="18"/>
                <w:highlight w:val="yellow"/>
              </w:rPr>
              <w:t>ARV</w:t>
            </w:r>
          </w:p>
        </w:tc>
      </w:tr>
    </w:tbl>
    <w:p w14:paraId="32FF1675" w14:textId="77777777" w:rsidR="00A53EA0" w:rsidRPr="00931B65" w:rsidRDefault="00A53EA0" w:rsidP="00A53EA0">
      <w:pPr>
        <w:spacing w:after="200" w:line="276" w:lineRule="auto"/>
        <w:rPr>
          <w:rFonts w:ascii="Calibri" w:hAnsi="Calibri"/>
          <w:sz w:val="20"/>
          <w:szCs w:val="20"/>
          <w:lang w:eastAsia="en-US"/>
        </w:rPr>
      </w:pPr>
    </w:p>
    <w:p w14:paraId="7F0D5BD8" w14:textId="77777777" w:rsidR="00A53EA0" w:rsidRPr="00931B65" w:rsidRDefault="00A53EA0" w:rsidP="00A53EA0">
      <w:pPr>
        <w:spacing w:after="200" w:line="276" w:lineRule="auto"/>
        <w:rPr>
          <w:rFonts w:ascii="Calibri" w:hAnsi="Calibri"/>
          <w:sz w:val="20"/>
          <w:szCs w:val="20"/>
          <w:lang w:eastAsia="en-US"/>
        </w:rPr>
      </w:pPr>
      <w:r w:rsidRPr="00931B65">
        <w:rPr>
          <w:rFonts w:ascii="Calibri" w:hAnsi="Calibri"/>
          <w:b/>
          <w:sz w:val="20"/>
          <w:szCs w:val="20"/>
          <w:lang w:eastAsia="en-US"/>
        </w:rPr>
        <w:t>Nota</w:t>
      </w:r>
      <w:r w:rsidRPr="00931B65">
        <w:rPr>
          <w:rFonts w:ascii="Calibri" w:hAnsi="Calibri"/>
          <w:sz w:val="20"/>
          <w:szCs w:val="20"/>
          <w:lang w:eastAsia="en-US"/>
        </w:rPr>
        <w:t xml:space="preserve">: no se han tenido en cuenta los siguientes fármacos por no estar disponibles en nuestro país (ni mediante importación como medicamento extranjero): bepridil, boceprevir, cisaprida, dextropropoxifeno, flibanserina, levometadil, lurasidona. Algunos de ellos fueron retirados del mercado por toxicidad.  A pesar de no estar incluidos en la tabla, podrían tener contraindicaciones con algunos antirretrovirales. </w:t>
      </w:r>
    </w:p>
    <w:p w14:paraId="3E896967" w14:textId="77777777" w:rsidR="00A53EA0" w:rsidRPr="00931B65" w:rsidRDefault="00A53EA0" w:rsidP="00A53EA0">
      <w:pPr>
        <w:ind w:left="708" w:hanging="708"/>
        <w:rPr>
          <w:rFonts w:ascii="Calibri" w:hAnsi="Calibri"/>
          <w:sz w:val="20"/>
          <w:szCs w:val="20"/>
          <w:lang w:eastAsia="en-US"/>
        </w:rPr>
      </w:pPr>
      <w:r w:rsidRPr="00931B65">
        <w:rPr>
          <w:rFonts w:ascii="Calibri" w:hAnsi="Calibri"/>
          <w:b/>
          <w:sz w:val="20"/>
          <w:szCs w:val="20"/>
          <w:lang w:eastAsia="en-US"/>
        </w:rPr>
        <w:t>Abreviaturas:</w:t>
      </w:r>
      <w:r w:rsidRPr="00931B65">
        <w:rPr>
          <w:rFonts w:ascii="Calibri" w:hAnsi="Calibri"/>
          <w:sz w:val="20"/>
          <w:szCs w:val="20"/>
          <w:lang w:eastAsia="en-US"/>
        </w:rPr>
        <w:t xml:space="preserve"> </w:t>
      </w:r>
    </w:p>
    <w:p w14:paraId="389D58AE" w14:textId="77777777" w:rsidR="00A53EA0" w:rsidRPr="00931B65" w:rsidRDefault="00A53EA0" w:rsidP="00A53EA0">
      <w:pPr>
        <w:ind w:left="708"/>
        <w:rPr>
          <w:rFonts w:ascii="Calibri" w:hAnsi="Calibri"/>
          <w:color w:val="FF0000"/>
          <w:lang w:eastAsia="en-US"/>
        </w:rPr>
      </w:pPr>
    </w:p>
    <w:p w14:paraId="075FD0E6"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t xml:space="preserve"> C: asociaciones </w:t>
      </w:r>
      <w:r>
        <w:rPr>
          <w:rFonts w:ascii="Calibri" w:hAnsi="Calibri"/>
          <w:lang w:eastAsia="en-US"/>
        </w:rPr>
        <w:t>“</w:t>
      </w:r>
      <w:r w:rsidRPr="00931B65">
        <w:rPr>
          <w:rFonts w:ascii="Calibri" w:hAnsi="Calibri"/>
          <w:lang w:eastAsia="en-US"/>
        </w:rPr>
        <w:t>contraindicadas</w:t>
      </w:r>
      <w:r>
        <w:rPr>
          <w:rFonts w:ascii="Calibri" w:hAnsi="Calibri"/>
          <w:lang w:eastAsia="en-US"/>
        </w:rPr>
        <w:t xml:space="preserve">” </w:t>
      </w:r>
      <w:r w:rsidRPr="00837101">
        <w:rPr>
          <w:rFonts w:ascii="Calibri" w:hAnsi="Calibri"/>
          <w:highlight w:val="yellow"/>
          <w:lang w:eastAsia="en-US"/>
        </w:rPr>
        <w:t>o “no debe emplearse”</w:t>
      </w:r>
      <w:r w:rsidRPr="00931B65">
        <w:rPr>
          <w:rFonts w:ascii="Calibri" w:hAnsi="Calibri"/>
          <w:lang w:eastAsia="en-US"/>
        </w:rPr>
        <w:t xml:space="preserve"> según la ficha técnica europea</w:t>
      </w:r>
    </w:p>
    <w:p w14:paraId="01DDB830"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t xml:space="preserve"> NR: asociaciones</w:t>
      </w:r>
      <w:r>
        <w:rPr>
          <w:rFonts w:ascii="Calibri" w:hAnsi="Calibri"/>
          <w:lang w:eastAsia="en-US"/>
        </w:rPr>
        <w:t xml:space="preserve">  “</w:t>
      </w:r>
      <w:r w:rsidRPr="00931B65">
        <w:rPr>
          <w:rFonts w:ascii="Calibri" w:hAnsi="Calibri"/>
          <w:lang w:eastAsia="en-US"/>
        </w:rPr>
        <w:t>no recomendadas</w:t>
      </w:r>
      <w:r>
        <w:rPr>
          <w:rFonts w:ascii="Calibri" w:hAnsi="Calibri"/>
          <w:lang w:eastAsia="en-US"/>
        </w:rPr>
        <w:t>”</w:t>
      </w:r>
      <w:r w:rsidRPr="00931B65">
        <w:rPr>
          <w:rFonts w:ascii="Calibri" w:hAnsi="Calibri"/>
          <w:lang w:eastAsia="en-US"/>
        </w:rPr>
        <w:t xml:space="preserve"> según la ficha técnica europea</w:t>
      </w:r>
    </w:p>
    <w:p w14:paraId="31EFB87E"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sym w:font="Symbol" w:char="F0AD"/>
      </w:r>
      <w:r w:rsidRPr="00931B65">
        <w:rPr>
          <w:rFonts w:ascii="Calibri" w:hAnsi="Calibri"/>
          <w:lang w:eastAsia="en-US"/>
        </w:rPr>
        <w:t>TOX: no asociar por riesgo de aumento de toxicidad, ya sea por interacción farmacodinámica o farmacocinética</w:t>
      </w:r>
    </w:p>
    <w:p w14:paraId="54859650"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sym w:font="Symbol" w:char="F0AF"/>
      </w:r>
      <w:r w:rsidRPr="00931B65">
        <w:rPr>
          <w:rFonts w:ascii="Calibri" w:hAnsi="Calibri"/>
          <w:lang w:eastAsia="en-US"/>
        </w:rPr>
        <w:t>FCO: no asociar por reducción de niveles plasmáticos/eficacia del fármaco</w:t>
      </w:r>
    </w:p>
    <w:p w14:paraId="23E4520E"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sym w:font="Symbol" w:char="F0AD"/>
      </w:r>
      <w:r w:rsidRPr="00931B65">
        <w:rPr>
          <w:rFonts w:ascii="Calibri" w:hAnsi="Calibri"/>
          <w:lang w:eastAsia="en-US"/>
        </w:rPr>
        <w:t>FCO: no asociar por aumento de niveles plasmáticos/toxicidad del fármaco</w:t>
      </w:r>
    </w:p>
    <w:p w14:paraId="092CB882"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t>X</w:t>
      </w:r>
      <w:r w:rsidRPr="00931B65">
        <w:rPr>
          <w:rFonts w:ascii="Calibri" w:hAnsi="Calibri"/>
          <w:lang w:eastAsia="en-US"/>
        </w:rPr>
        <w:sym w:font="Symbol" w:char="F0AF"/>
      </w:r>
      <w:r w:rsidRPr="00931B65">
        <w:rPr>
          <w:rFonts w:ascii="Calibri" w:hAnsi="Calibri"/>
          <w:lang w:eastAsia="en-US"/>
        </w:rPr>
        <w:t>ARV: no asociar por disminución de niveles plasmáticos/eficacia del antirretroviral</w:t>
      </w:r>
    </w:p>
    <w:p w14:paraId="13AF0967" w14:textId="77777777" w:rsidR="00A53EA0" w:rsidRPr="00931B65" w:rsidRDefault="00A53EA0" w:rsidP="00A53EA0">
      <w:pPr>
        <w:ind w:left="708"/>
        <w:rPr>
          <w:rFonts w:ascii="Calibri" w:hAnsi="Calibri"/>
          <w:lang w:eastAsia="en-US"/>
        </w:rPr>
      </w:pPr>
      <w:r w:rsidRPr="00931B65">
        <w:rPr>
          <w:rFonts w:ascii="Calibri" w:hAnsi="Calibri"/>
          <w:color w:val="FF0000"/>
          <w:lang w:eastAsia="en-US"/>
        </w:rPr>
        <w:lastRenderedPageBreak/>
        <w:t>X</w:t>
      </w:r>
      <w:r w:rsidRPr="00931B65">
        <w:rPr>
          <w:rFonts w:ascii="Calibri" w:hAnsi="Calibri"/>
          <w:lang w:eastAsia="en-US"/>
        </w:rPr>
        <w:t xml:space="preserve"> </w:t>
      </w:r>
      <w:r w:rsidRPr="00931B65">
        <w:rPr>
          <w:rFonts w:ascii="Calibri" w:hAnsi="Calibri"/>
          <w:lang w:eastAsia="en-US"/>
        </w:rPr>
        <w:sym w:font="Symbol" w:char="F0AD"/>
      </w:r>
      <w:r w:rsidRPr="00931B65">
        <w:rPr>
          <w:rFonts w:ascii="Calibri" w:hAnsi="Calibri"/>
          <w:lang w:eastAsia="en-US"/>
        </w:rPr>
        <w:t>ARV: no asociar por aumento de niveles plasmáticos/toxicidad del antirretroviral.</w:t>
      </w:r>
    </w:p>
    <w:p w14:paraId="3D087468" w14:textId="77777777" w:rsidR="00A53EA0" w:rsidRDefault="00A53EA0" w:rsidP="00A53EA0">
      <w:pPr>
        <w:ind w:left="708"/>
        <w:rPr>
          <w:rFonts w:ascii="Calibri" w:hAnsi="Calibri"/>
          <w:lang w:eastAsia="en-US"/>
        </w:rPr>
      </w:pPr>
      <w:r w:rsidRPr="00931B65">
        <w:rPr>
          <w:rFonts w:ascii="Calibri" w:hAnsi="Calibri"/>
          <w:color w:val="FF0000"/>
          <w:lang w:eastAsia="en-US"/>
        </w:rPr>
        <w:t xml:space="preserve">X </w:t>
      </w:r>
      <w:r w:rsidRPr="00931B65">
        <w:rPr>
          <w:rFonts w:ascii="Calibri" w:hAnsi="Calibri"/>
          <w:lang w:eastAsia="en-US"/>
        </w:rPr>
        <w:t xml:space="preserve">¿? : dada la incertidumbre, es preferible emplear otras combinaciones, ya sea sustituyendo el antirretroviral o el fármaco asociado, en función de las posibilidades. </w:t>
      </w:r>
    </w:p>
    <w:p w14:paraId="08669845" w14:textId="77777777" w:rsidR="00A53EA0" w:rsidRPr="00931B65" w:rsidRDefault="00A53EA0" w:rsidP="00A53EA0">
      <w:pPr>
        <w:ind w:left="708"/>
        <w:rPr>
          <w:rFonts w:ascii="Calibri" w:hAnsi="Calibri"/>
          <w:lang w:eastAsia="en-US"/>
        </w:rPr>
      </w:pPr>
    </w:p>
    <w:p w14:paraId="62EC446A" w14:textId="77777777" w:rsidR="00A53EA0" w:rsidRPr="00837101" w:rsidRDefault="00A53EA0" w:rsidP="00A53EA0">
      <w:pPr>
        <w:ind w:left="708" w:hanging="708"/>
        <w:rPr>
          <w:rFonts w:ascii="Calibri" w:hAnsi="Calibri"/>
          <w:b/>
          <w:sz w:val="20"/>
          <w:szCs w:val="20"/>
          <w:lang w:eastAsia="en-US"/>
        </w:rPr>
      </w:pPr>
      <w:r w:rsidRPr="00837101">
        <w:rPr>
          <w:rFonts w:ascii="Calibri" w:hAnsi="Calibri"/>
          <w:b/>
          <w:sz w:val="20"/>
          <w:szCs w:val="20"/>
          <w:lang w:eastAsia="en-US"/>
        </w:rPr>
        <w:t>Superíndices:</w:t>
      </w:r>
    </w:p>
    <w:p w14:paraId="1D097CF0" w14:textId="77777777" w:rsidR="00A53EA0" w:rsidRPr="00EE66A2" w:rsidRDefault="00A53EA0" w:rsidP="00A53EA0">
      <w:pPr>
        <w:spacing w:after="200" w:line="276" w:lineRule="auto"/>
        <w:jc w:val="both"/>
        <w:rPr>
          <w:rFonts w:asciiTheme="minorHAnsi" w:hAnsiTheme="minorHAnsi"/>
          <w:sz w:val="20"/>
          <w:szCs w:val="20"/>
          <w:lang w:eastAsia="en-US"/>
        </w:rPr>
      </w:pPr>
      <w:r w:rsidRPr="00EE66A2">
        <w:rPr>
          <w:rFonts w:asciiTheme="minorHAnsi" w:hAnsiTheme="minorHAnsi"/>
          <w:sz w:val="20"/>
          <w:szCs w:val="20"/>
          <w:vertAlign w:val="superscript"/>
          <w:lang w:val="es-ES_tradnl" w:eastAsia="en-US"/>
        </w:rPr>
        <w:t>1</w:t>
      </w:r>
      <w:r w:rsidRPr="00EE66A2">
        <w:rPr>
          <w:rFonts w:asciiTheme="minorHAnsi" w:hAnsiTheme="minorHAnsi"/>
          <w:sz w:val="20"/>
          <w:szCs w:val="20"/>
          <w:lang w:val="es-ES_tradnl" w:eastAsia="en-US"/>
        </w:rPr>
        <w:t xml:space="preserve"> Si no es posible evitar la coadministración, se debe reducir la dosis de abemaciclib: en pacientes con 150</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mg/12</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 xml:space="preserve">h reducir a 100 mg dos veces al día; en pacientes con dosis reducida de 100 mg dos veces al día reducir a 50 mg dos veces al día; en pacientes con dosis reducida de 50 mg dos veces al día mantener la dosis de abemaciclib con un estrecho control de los signos de toxicidad. Alternativamente, se puede reducir la dosis a 50 mg una vez al día o suspender el tratamiento. En caso de suspender el inhibidor de CYP3A4, la dosis de abemaciclib se debe aumentar a la dosis utilizada previamente (después de 3 a 5 semividas del inhibidor CYP3A4). </w:t>
      </w:r>
    </w:p>
    <w:p w14:paraId="100AC248" w14:textId="77777777" w:rsidR="00A53EA0" w:rsidRPr="00EE66A2" w:rsidRDefault="00A53EA0" w:rsidP="00A53EA0">
      <w:pPr>
        <w:spacing w:after="120"/>
        <w:jc w:val="both"/>
        <w:rPr>
          <w:rFonts w:asciiTheme="minorHAnsi" w:hAnsiTheme="minorHAnsi"/>
          <w:sz w:val="20"/>
          <w:szCs w:val="20"/>
          <w:lang w:eastAsia="en-US"/>
        </w:rPr>
      </w:pPr>
      <w:r w:rsidRPr="00EE66A2">
        <w:rPr>
          <w:rFonts w:asciiTheme="minorHAnsi" w:hAnsiTheme="minorHAnsi"/>
          <w:sz w:val="20"/>
          <w:szCs w:val="20"/>
          <w:vertAlign w:val="superscript"/>
          <w:lang w:eastAsia="en-US"/>
        </w:rPr>
        <w:t>2</w:t>
      </w:r>
      <w:r>
        <w:rPr>
          <w:rFonts w:asciiTheme="minorHAnsi" w:hAnsiTheme="minorHAnsi"/>
          <w:sz w:val="20"/>
          <w:szCs w:val="20"/>
          <w:vertAlign w:val="superscript"/>
          <w:lang w:eastAsia="en-US"/>
        </w:rPr>
        <w:t xml:space="preserve"> </w:t>
      </w:r>
      <w:r w:rsidRPr="00B23F22">
        <w:rPr>
          <w:rFonts w:asciiTheme="minorHAnsi" w:hAnsiTheme="minorHAnsi"/>
          <w:b/>
          <w:sz w:val="20"/>
          <w:szCs w:val="20"/>
          <w:lang w:eastAsia="en-US"/>
        </w:rPr>
        <w:t>Antiácidos</w:t>
      </w:r>
      <w:r w:rsidRPr="00EE66A2">
        <w:rPr>
          <w:rFonts w:asciiTheme="minorHAnsi" w:hAnsiTheme="minorHAnsi"/>
          <w:sz w:val="20"/>
          <w:szCs w:val="20"/>
          <w:lang w:eastAsia="en-US"/>
        </w:rPr>
        <w:t>: En general,  presencia de resistencia a INI, evitar cualquier antiácido en combinación con INI.</w:t>
      </w:r>
    </w:p>
    <w:p w14:paraId="07CBF563" w14:textId="77777777" w:rsidR="00A53EA0" w:rsidRPr="00EE66A2" w:rsidRDefault="00A53EA0" w:rsidP="00676FD1">
      <w:pPr>
        <w:numPr>
          <w:ilvl w:val="0"/>
          <w:numId w:val="38"/>
        </w:numPr>
        <w:spacing w:after="120"/>
        <w:jc w:val="both"/>
        <w:rPr>
          <w:rFonts w:asciiTheme="minorHAnsi" w:hAnsiTheme="minorHAnsi"/>
          <w:sz w:val="20"/>
          <w:szCs w:val="20"/>
          <w:lang w:val="es-ES_tradnl" w:eastAsia="en-US"/>
        </w:rPr>
      </w:pPr>
      <w:r w:rsidRPr="00B23F22">
        <w:rPr>
          <w:rFonts w:asciiTheme="minorHAnsi" w:hAnsiTheme="minorHAnsi"/>
          <w:b/>
          <w:sz w:val="20"/>
          <w:szCs w:val="20"/>
          <w:lang w:val="es-ES_tradnl" w:eastAsia="en-US"/>
        </w:rPr>
        <w:t>BIC</w:t>
      </w:r>
      <w:r w:rsidRPr="00EE66A2">
        <w:rPr>
          <w:rFonts w:asciiTheme="minorHAnsi" w:hAnsiTheme="minorHAnsi"/>
          <w:sz w:val="20"/>
          <w:szCs w:val="20"/>
          <w:lang w:val="es-ES_tradnl" w:eastAsia="en-US"/>
        </w:rPr>
        <w:t>: con Al o Mg: BIC 2</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h antes del antiácid</w:t>
      </w:r>
      <w:r>
        <w:rPr>
          <w:rFonts w:asciiTheme="minorHAnsi" w:hAnsiTheme="minorHAnsi"/>
          <w:sz w:val="20"/>
          <w:szCs w:val="20"/>
          <w:lang w:val="es-ES_tradnl" w:eastAsia="en-US"/>
        </w:rPr>
        <w:t xml:space="preserve">o o junto con alimentos 2 h </w:t>
      </w:r>
      <w:r w:rsidRPr="00EE66A2">
        <w:rPr>
          <w:rFonts w:asciiTheme="minorHAnsi" w:hAnsiTheme="minorHAnsi"/>
          <w:sz w:val="20"/>
          <w:szCs w:val="20"/>
          <w:lang w:val="es-ES_tradnl" w:eastAsia="en-US"/>
        </w:rPr>
        <w:t>después del antiácido. No se recomienda la administración concomitante con sucralfa</w:t>
      </w:r>
      <w:r>
        <w:rPr>
          <w:rFonts w:asciiTheme="minorHAnsi" w:hAnsiTheme="minorHAnsi"/>
          <w:sz w:val="20"/>
          <w:szCs w:val="20"/>
          <w:lang w:val="es-ES_tradnl" w:eastAsia="en-US"/>
        </w:rPr>
        <w:t>to. Con Fe: BIC al menos 2 h</w:t>
      </w:r>
      <w:r w:rsidRPr="00EE66A2">
        <w:rPr>
          <w:rFonts w:asciiTheme="minorHAnsi" w:hAnsiTheme="minorHAnsi"/>
          <w:sz w:val="20"/>
          <w:szCs w:val="20"/>
          <w:lang w:val="es-ES_tradnl" w:eastAsia="en-US"/>
        </w:rPr>
        <w:t xml:space="preserve"> antes del suplementos de hierro, o tomar los dos juntos con alimentos. </w:t>
      </w:r>
    </w:p>
    <w:p w14:paraId="36919767" w14:textId="77777777" w:rsidR="00A53EA0" w:rsidRPr="00EE66A2" w:rsidRDefault="00A53EA0" w:rsidP="00676FD1">
      <w:pPr>
        <w:numPr>
          <w:ilvl w:val="0"/>
          <w:numId w:val="38"/>
        </w:numPr>
        <w:spacing w:after="120"/>
        <w:jc w:val="both"/>
        <w:rPr>
          <w:rFonts w:asciiTheme="minorHAnsi" w:hAnsiTheme="minorHAnsi"/>
          <w:sz w:val="20"/>
          <w:szCs w:val="20"/>
          <w:lang w:val="es-ES_tradnl" w:eastAsia="en-US"/>
        </w:rPr>
      </w:pPr>
      <w:r w:rsidRPr="00B23F22">
        <w:rPr>
          <w:rFonts w:asciiTheme="minorHAnsi" w:hAnsiTheme="minorHAnsi"/>
          <w:b/>
          <w:sz w:val="20"/>
          <w:szCs w:val="20"/>
          <w:lang w:val="es-ES_tradnl" w:eastAsia="en-US"/>
        </w:rPr>
        <w:t>DTG</w:t>
      </w:r>
      <w:r w:rsidRPr="00EE66A2">
        <w:rPr>
          <w:rFonts w:asciiTheme="minorHAnsi" w:hAnsiTheme="minorHAnsi"/>
          <w:sz w:val="20"/>
          <w:szCs w:val="20"/>
          <w:lang w:val="es-ES_tradnl" w:eastAsia="en-US"/>
        </w:rPr>
        <w:t>: debe tomarse como mínimo 2</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h antes o 6</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 xml:space="preserve">h después de los preparados que contengan Al (incluyendo sucralfato), Mg o multivitamínicos. Con carbonato de calcio o fumarato ferroso puede administrarse el </w:t>
      </w:r>
      <w:r>
        <w:rPr>
          <w:rFonts w:asciiTheme="minorHAnsi" w:hAnsiTheme="minorHAnsi"/>
          <w:sz w:val="20"/>
          <w:szCs w:val="20"/>
          <w:lang w:val="es-ES_tradnl" w:eastAsia="en-US"/>
        </w:rPr>
        <w:t>DTG</w:t>
      </w:r>
      <w:r w:rsidRPr="00EE66A2">
        <w:rPr>
          <w:rFonts w:asciiTheme="minorHAnsi" w:hAnsiTheme="minorHAnsi"/>
          <w:sz w:val="20"/>
          <w:szCs w:val="20"/>
          <w:lang w:val="es-ES_tradnl" w:eastAsia="en-US"/>
        </w:rPr>
        <w:t xml:space="preserve"> conjuntamente con el antiácido siempre que se tomen con alimentos. </w:t>
      </w:r>
    </w:p>
    <w:p w14:paraId="0A6A2C5A" w14:textId="77777777" w:rsidR="00A53EA0" w:rsidRPr="00EE66A2" w:rsidRDefault="00A53EA0" w:rsidP="00676FD1">
      <w:pPr>
        <w:numPr>
          <w:ilvl w:val="0"/>
          <w:numId w:val="38"/>
        </w:numPr>
        <w:spacing w:after="120"/>
        <w:jc w:val="both"/>
        <w:rPr>
          <w:rFonts w:asciiTheme="minorHAnsi" w:hAnsiTheme="minorHAnsi"/>
          <w:sz w:val="20"/>
          <w:szCs w:val="20"/>
          <w:lang w:val="es-ES_tradnl" w:eastAsia="en-US"/>
        </w:rPr>
      </w:pPr>
      <w:r w:rsidRPr="00B23F22">
        <w:rPr>
          <w:rFonts w:asciiTheme="minorHAnsi" w:hAnsiTheme="minorHAnsi"/>
          <w:b/>
          <w:sz w:val="20"/>
          <w:szCs w:val="20"/>
          <w:lang w:val="es-ES_tradnl" w:eastAsia="en-US"/>
        </w:rPr>
        <w:t>EVG/cobi</w:t>
      </w:r>
      <w:r w:rsidRPr="00EE66A2">
        <w:rPr>
          <w:rFonts w:asciiTheme="minorHAnsi" w:hAnsiTheme="minorHAnsi"/>
          <w:sz w:val="20"/>
          <w:szCs w:val="20"/>
          <w:lang w:val="es-ES_tradnl" w:eastAsia="en-US"/>
        </w:rPr>
        <w:t>: se recomienda espaciarlo 4</w:t>
      </w:r>
      <w:r>
        <w:rPr>
          <w:rFonts w:asciiTheme="minorHAnsi" w:hAnsiTheme="minorHAnsi"/>
          <w:sz w:val="20"/>
          <w:szCs w:val="20"/>
          <w:lang w:val="es-ES_tradnl" w:eastAsia="en-US"/>
        </w:rPr>
        <w:t xml:space="preserve"> </w:t>
      </w:r>
      <w:r w:rsidRPr="00EE66A2">
        <w:rPr>
          <w:rFonts w:asciiTheme="minorHAnsi" w:hAnsiTheme="minorHAnsi"/>
          <w:sz w:val="20"/>
          <w:szCs w:val="20"/>
          <w:lang w:val="es-ES_tradnl" w:eastAsia="en-US"/>
        </w:rPr>
        <w:t xml:space="preserve">h de los antiácidos.  </w:t>
      </w:r>
    </w:p>
    <w:p w14:paraId="26343BAF" w14:textId="77777777" w:rsidR="00A53EA0" w:rsidRPr="00EE66A2" w:rsidRDefault="00A53EA0" w:rsidP="00676FD1">
      <w:pPr>
        <w:numPr>
          <w:ilvl w:val="0"/>
          <w:numId w:val="38"/>
        </w:numPr>
        <w:spacing w:after="120"/>
        <w:jc w:val="both"/>
        <w:rPr>
          <w:rFonts w:asciiTheme="minorHAnsi" w:hAnsiTheme="minorHAnsi"/>
          <w:sz w:val="20"/>
          <w:szCs w:val="20"/>
          <w:lang w:val="es-ES_tradnl" w:eastAsia="en-US"/>
        </w:rPr>
      </w:pPr>
      <w:r w:rsidRPr="00B23F22">
        <w:rPr>
          <w:rFonts w:asciiTheme="minorHAnsi" w:hAnsiTheme="minorHAnsi"/>
          <w:b/>
          <w:sz w:val="20"/>
          <w:szCs w:val="20"/>
          <w:lang w:val="es-ES_tradnl" w:eastAsia="en-US"/>
        </w:rPr>
        <w:t>RAL QD</w:t>
      </w:r>
      <w:r w:rsidRPr="00EE66A2">
        <w:rPr>
          <w:rFonts w:asciiTheme="minorHAnsi" w:hAnsiTheme="minorHAnsi"/>
          <w:sz w:val="20"/>
          <w:szCs w:val="20"/>
          <w:lang w:val="es-ES_tradnl" w:eastAsia="en-US"/>
        </w:rPr>
        <w:t>: evitar antiácidos ya sea juntos o separados, incluso los de calcio.</w:t>
      </w:r>
    </w:p>
    <w:p w14:paraId="3CE26AE3" w14:textId="77777777" w:rsidR="00A53EA0" w:rsidRPr="00EE66A2" w:rsidRDefault="00A53EA0" w:rsidP="00676FD1">
      <w:pPr>
        <w:numPr>
          <w:ilvl w:val="0"/>
          <w:numId w:val="38"/>
        </w:numPr>
        <w:spacing w:after="120"/>
        <w:rPr>
          <w:rFonts w:asciiTheme="minorHAnsi" w:hAnsiTheme="minorHAnsi"/>
          <w:sz w:val="20"/>
          <w:szCs w:val="20"/>
          <w:lang w:val="es-ES_tradnl" w:eastAsia="en-US"/>
        </w:rPr>
      </w:pPr>
      <w:r w:rsidRPr="00B23F22">
        <w:rPr>
          <w:rFonts w:asciiTheme="minorHAnsi" w:hAnsiTheme="minorHAnsi"/>
          <w:b/>
          <w:sz w:val="20"/>
          <w:szCs w:val="20"/>
          <w:lang w:val="es-ES_tradnl" w:eastAsia="en-US"/>
        </w:rPr>
        <w:t>RAL BID</w:t>
      </w:r>
      <w:r w:rsidRPr="00EE66A2">
        <w:rPr>
          <w:rFonts w:asciiTheme="minorHAnsi" w:hAnsiTheme="minorHAnsi"/>
          <w:sz w:val="20"/>
          <w:szCs w:val="20"/>
          <w:lang w:val="es-ES_tradnl" w:eastAsia="en-US"/>
        </w:rPr>
        <w:t xml:space="preserve">: con Al (incluyendo sucralfato) y Mg probablemente sea mejor evitar la asociación (la ficha técnica europea no recomienda la administración simultánea y la americana ni la simultánea ni espaciados).  Con Ca: interacción sin importancia clínica.  </w:t>
      </w:r>
    </w:p>
    <w:p w14:paraId="552B56C9" w14:textId="77777777" w:rsidR="00A53EA0" w:rsidRPr="00EE66A2" w:rsidRDefault="00A53EA0" w:rsidP="00676FD1">
      <w:pPr>
        <w:numPr>
          <w:ilvl w:val="0"/>
          <w:numId w:val="38"/>
        </w:numPr>
        <w:spacing w:after="120"/>
        <w:rPr>
          <w:rFonts w:asciiTheme="minorHAnsi" w:hAnsiTheme="minorHAnsi"/>
          <w:sz w:val="20"/>
          <w:szCs w:val="20"/>
          <w:lang w:val="es-ES_tradnl" w:eastAsia="en-US"/>
        </w:rPr>
      </w:pPr>
      <w:r w:rsidRPr="00B23F22">
        <w:rPr>
          <w:rFonts w:asciiTheme="minorHAnsi" w:hAnsiTheme="minorHAnsi"/>
          <w:b/>
          <w:sz w:val="20"/>
          <w:szCs w:val="20"/>
          <w:lang w:val="es-ES_tradnl" w:eastAsia="en-US"/>
        </w:rPr>
        <w:t>ATV</w:t>
      </w:r>
      <w:r w:rsidRPr="00EE66A2">
        <w:rPr>
          <w:rFonts w:asciiTheme="minorHAnsi" w:hAnsiTheme="minorHAnsi"/>
          <w:sz w:val="20"/>
          <w:szCs w:val="20"/>
          <w:lang w:val="es-ES_tradnl" w:eastAsia="en-US"/>
        </w:rPr>
        <w:t>: administrar ATV 2h antes de los antiácidos ó 1h después de los mismos. </w:t>
      </w:r>
    </w:p>
    <w:p w14:paraId="7AAD526E" w14:textId="77777777" w:rsidR="00A53EA0" w:rsidRPr="00EE66A2" w:rsidRDefault="00A53EA0" w:rsidP="00676FD1">
      <w:pPr>
        <w:numPr>
          <w:ilvl w:val="0"/>
          <w:numId w:val="38"/>
        </w:numPr>
        <w:spacing w:after="120"/>
        <w:rPr>
          <w:rFonts w:asciiTheme="minorHAnsi" w:hAnsiTheme="minorHAnsi"/>
          <w:sz w:val="20"/>
          <w:szCs w:val="20"/>
          <w:lang w:val="es-ES_tradnl" w:eastAsia="en-US"/>
        </w:rPr>
      </w:pPr>
      <w:r w:rsidRPr="00B23F22">
        <w:rPr>
          <w:rFonts w:asciiTheme="minorHAnsi" w:hAnsiTheme="minorHAnsi"/>
          <w:b/>
          <w:sz w:val="20"/>
          <w:szCs w:val="20"/>
          <w:lang w:val="es-ES_tradnl" w:eastAsia="en-US"/>
        </w:rPr>
        <w:t>RPV</w:t>
      </w:r>
      <w:r w:rsidRPr="00EE66A2">
        <w:rPr>
          <w:rFonts w:asciiTheme="minorHAnsi" w:hAnsiTheme="minorHAnsi"/>
          <w:sz w:val="20"/>
          <w:szCs w:val="20"/>
          <w:lang w:val="es-ES_tradnl" w:eastAsia="en-US"/>
        </w:rPr>
        <w:t xml:space="preserve">: administrar RPV 4h antes ó 2h después de los antiácidos. </w:t>
      </w:r>
    </w:p>
    <w:p w14:paraId="66403800" w14:textId="5F6BA7AC" w:rsidR="00A53EA0" w:rsidRPr="00EE66A2" w:rsidRDefault="00A53EA0" w:rsidP="00A53EA0">
      <w:pPr>
        <w:spacing w:after="120"/>
        <w:rPr>
          <w:rFonts w:asciiTheme="minorHAnsi" w:hAnsiTheme="minorHAnsi"/>
          <w:sz w:val="20"/>
          <w:szCs w:val="20"/>
        </w:rPr>
      </w:pPr>
      <w:r w:rsidRPr="00EE66A2">
        <w:rPr>
          <w:rFonts w:asciiTheme="minorHAnsi" w:hAnsiTheme="minorHAnsi"/>
          <w:sz w:val="20"/>
          <w:szCs w:val="20"/>
          <w:vertAlign w:val="superscript"/>
        </w:rPr>
        <w:t>3</w:t>
      </w:r>
      <w:r>
        <w:rPr>
          <w:rFonts w:asciiTheme="minorHAnsi" w:hAnsiTheme="minorHAnsi"/>
          <w:sz w:val="20"/>
          <w:szCs w:val="20"/>
        </w:rPr>
        <w:t xml:space="preserve"> </w:t>
      </w:r>
      <w:r w:rsidRPr="00EE66A2">
        <w:rPr>
          <w:rFonts w:asciiTheme="minorHAnsi" w:hAnsiTheme="minorHAnsi"/>
          <w:sz w:val="20"/>
          <w:szCs w:val="20"/>
        </w:rPr>
        <w:t xml:space="preserve">Dabigatran administrado de forma simultánea con ritonavir podría suponer una alternativa más segura que rivaroxaban, aunque los datos son escasos. Se han publicado dos casos de asociación de dabigatran con ATV/r y LPV/r  sin interacción significativa. En cambio,el uso de dabigatran con cobicistat podría aumentar el riesgo de sangrado. Probablemente sea porque cobicistat es más inhibidor de la P-gp intestinal que ritonavir. </w:t>
      </w:r>
      <w:r w:rsidRPr="00EE66A2">
        <w:rPr>
          <w:rFonts w:asciiTheme="minorHAnsi" w:hAnsiTheme="minorHAnsi"/>
          <w:sz w:val="20"/>
          <w:szCs w:val="20"/>
          <w:highlight w:val="yellow"/>
        </w:rPr>
        <w:t>Con apixaban, la ficha técnica americana recomienda para una dosis de 5 mg/12h al añadir un inhibidor potente del CYP3A4 y P-gp (como ritonavir o cobicistat) ajustar dosis de mantenimiento a 2,5 mg/12h, mientras que si la dosis inicial es de 2,5 mg/12h, evitar la asociación. Una serie de 6 casos apoya este ajuste (la dosis inicial empleada en TVP fue de 5 -10 mg/12h los 7 primeros días, seguido de 2,5 mg/12h).</w:t>
      </w:r>
    </w:p>
    <w:p w14:paraId="48B14386" w14:textId="77777777" w:rsidR="00A53EA0" w:rsidRPr="00EE66A2" w:rsidRDefault="00A53EA0" w:rsidP="00A53EA0">
      <w:pPr>
        <w:spacing w:after="200" w:line="276" w:lineRule="auto"/>
        <w:rPr>
          <w:rFonts w:asciiTheme="minorHAnsi" w:hAnsiTheme="minorHAnsi"/>
          <w:sz w:val="20"/>
          <w:szCs w:val="20"/>
          <w:lang w:eastAsia="en-US"/>
        </w:rPr>
      </w:pPr>
      <w:r w:rsidRPr="00EE66A2">
        <w:rPr>
          <w:rFonts w:asciiTheme="minorHAnsi" w:hAnsiTheme="minorHAnsi"/>
          <w:sz w:val="20"/>
          <w:szCs w:val="20"/>
          <w:vertAlign w:val="superscript"/>
          <w:lang w:eastAsia="en-US"/>
        </w:rPr>
        <w:t>4</w:t>
      </w:r>
      <w:r w:rsidRPr="00EE66A2">
        <w:rPr>
          <w:rFonts w:asciiTheme="minorHAnsi" w:hAnsiTheme="minorHAnsi"/>
          <w:sz w:val="20"/>
          <w:szCs w:val="20"/>
          <w:lang w:eastAsia="en-US"/>
        </w:rPr>
        <w:t xml:space="preserve"> También atazanavir no potenciado. </w:t>
      </w:r>
    </w:p>
    <w:p w14:paraId="53783841" w14:textId="77777777" w:rsidR="00A53EA0" w:rsidRPr="00EE66A2" w:rsidRDefault="00A53EA0" w:rsidP="00A53EA0">
      <w:pPr>
        <w:spacing w:after="200" w:line="276" w:lineRule="auto"/>
        <w:rPr>
          <w:rFonts w:asciiTheme="minorHAnsi" w:hAnsiTheme="minorHAnsi"/>
          <w:sz w:val="20"/>
          <w:szCs w:val="20"/>
          <w:lang w:eastAsia="en-US"/>
        </w:rPr>
      </w:pPr>
      <w:r w:rsidRPr="00EE66A2">
        <w:rPr>
          <w:rFonts w:asciiTheme="minorHAnsi" w:hAnsiTheme="minorHAnsi"/>
          <w:sz w:val="20"/>
          <w:szCs w:val="20"/>
          <w:vertAlign w:val="superscript"/>
          <w:lang w:eastAsia="en-US"/>
        </w:rPr>
        <w:t xml:space="preserve">5 </w:t>
      </w:r>
      <w:r w:rsidRPr="00EE66A2">
        <w:rPr>
          <w:rFonts w:asciiTheme="minorHAnsi" w:hAnsiTheme="minorHAnsi"/>
          <w:sz w:val="20"/>
          <w:szCs w:val="20"/>
          <w:lang w:eastAsia="en-US"/>
        </w:rPr>
        <w:t>EFV: si se requiere coadministración de ATV con un ITINN como EFV, en pacientes naive podría considerarse ATV/r 400/100 mg c/24h con cuidadosa monitorización. En pacientes pretratados no se recomienda. No se puede emplear ATV no potenciado ni ATV potenciado con cobicistat.</w:t>
      </w:r>
    </w:p>
    <w:p w14:paraId="461307E1" w14:textId="77777777" w:rsidR="00A53EA0" w:rsidRPr="009F5F47" w:rsidRDefault="00A53EA0" w:rsidP="00A53EA0">
      <w:pPr>
        <w:spacing w:after="200" w:line="276" w:lineRule="auto"/>
        <w:rPr>
          <w:rFonts w:asciiTheme="minorHAnsi" w:hAnsiTheme="minorHAnsi"/>
          <w:sz w:val="20"/>
          <w:szCs w:val="20"/>
          <w:lang w:eastAsia="en-US"/>
        </w:rPr>
      </w:pPr>
      <w:r w:rsidRPr="00EE66A2">
        <w:rPr>
          <w:rFonts w:asciiTheme="minorHAnsi" w:hAnsiTheme="minorHAnsi"/>
          <w:sz w:val="20"/>
          <w:szCs w:val="20"/>
          <w:vertAlign w:val="superscript"/>
          <w:lang w:eastAsia="en-US"/>
        </w:rPr>
        <w:t xml:space="preserve">6 </w:t>
      </w:r>
      <w:r w:rsidRPr="00EE66A2">
        <w:rPr>
          <w:rFonts w:asciiTheme="minorHAnsi" w:hAnsiTheme="minorHAnsi"/>
          <w:sz w:val="20"/>
          <w:szCs w:val="20"/>
          <w:lang w:eastAsia="en-US"/>
        </w:rPr>
        <w:t xml:space="preserve">DOR asociada a inductores moderados del CYP3A4: con rifabutina: aumentar DOR a 100 mg dos veces al día (espaciados aproximadamente 12 horas). Con el resto de inductores moderados no se ha estudiado. Si no es posible evitar la combinación, aumentar DOR a 100 mg dos veces al día (espaciados aproximadamente 12 horas).  </w:t>
      </w:r>
    </w:p>
    <w:p w14:paraId="63221CA7" w14:textId="77777777" w:rsidR="00A53EA0" w:rsidRPr="009F5F47" w:rsidRDefault="00A53EA0" w:rsidP="00A53EA0">
      <w:pPr>
        <w:spacing w:after="200" w:line="276" w:lineRule="auto"/>
        <w:rPr>
          <w:rFonts w:asciiTheme="minorHAnsi" w:hAnsiTheme="minorHAnsi"/>
          <w:sz w:val="20"/>
          <w:szCs w:val="20"/>
          <w:lang w:val="es-ES_tradnl" w:eastAsia="en-US"/>
        </w:rPr>
      </w:pPr>
      <w:r w:rsidRPr="00BA7B5F">
        <w:rPr>
          <w:rFonts w:asciiTheme="minorHAnsi" w:hAnsiTheme="minorHAnsi"/>
          <w:sz w:val="20"/>
          <w:szCs w:val="20"/>
          <w:highlight w:val="yellow"/>
          <w:vertAlign w:val="superscript"/>
          <w:lang w:eastAsia="en-US"/>
        </w:rPr>
        <w:lastRenderedPageBreak/>
        <w:t>7</w:t>
      </w:r>
      <w:r w:rsidRPr="00BA7B5F">
        <w:rPr>
          <w:rFonts w:asciiTheme="minorHAnsi" w:hAnsiTheme="minorHAnsi"/>
          <w:sz w:val="20"/>
          <w:szCs w:val="20"/>
          <w:highlight w:val="yellow"/>
          <w:lang w:eastAsia="en-US"/>
        </w:rPr>
        <w:t xml:space="preserve"> </w:t>
      </w:r>
      <w:r w:rsidRPr="00BA7B5F">
        <w:rPr>
          <w:rFonts w:asciiTheme="minorHAnsi" w:hAnsiTheme="minorHAnsi"/>
          <w:sz w:val="20"/>
          <w:szCs w:val="20"/>
          <w:highlight w:val="yellow"/>
          <w:lang w:val="es-ES_tradnl" w:eastAsia="en-US"/>
        </w:rPr>
        <w:t>Si no es posible evitar la coadministración con un inhibidor potente del CYP3A con bosutinib, reducir la dosis de bosutinib o interrumpir el tratamiento.</w:t>
      </w:r>
    </w:p>
    <w:p w14:paraId="2EB20B4F" w14:textId="77777777" w:rsidR="00A53EA0" w:rsidRPr="009F5F47" w:rsidRDefault="00A53EA0" w:rsidP="00A53EA0">
      <w:pPr>
        <w:spacing w:after="200" w:line="276" w:lineRule="auto"/>
        <w:rPr>
          <w:rFonts w:asciiTheme="minorHAnsi" w:hAnsiTheme="minorHAnsi"/>
          <w:sz w:val="20"/>
          <w:szCs w:val="20"/>
          <w:lang w:eastAsia="en-US"/>
        </w:rPr>
      </w:pPr>
      <w:r w:rsidRPr="009F5F47">
        <w:rPr>
          <w:rFonts w:asciiTheme="minorHAnsi" w:hAnsiTheme="minorHAnsi"/>
          <w:sz w:val="20"/>
          <w:szCs w:val="20"/>
          <w:vertAlign w:val="superscript"/>
          <w:lang w:eastAsia="en-US"/>
        </w:rPr>
        <w:t>8</w:t>
      </w:r>
      <w:r w:rsidRPr="009F5F47">
        <w:rPr>
          <w:rFonts w:asciiTheme="minorHAnsi" w:hAnsiTheme="minorHAnsi"/>
          <w:sz w:val="20"/>
          <w:szCs w:val="20"/>
          <w:lang w:eastAsia="en-US"/>
        </w:rPr>
        <w:t xml:space="preserve"> Corticoides metabolizados mediante el CYP3A4: sus concentraciones pueden aumentar en presencia de inhibidores de esta enzima como ritonavir o cobicistat.  La ficha técnica de cobicistat a nivel teórico no recomienda ninguno de ellos. La ficha técnica de ritonavir no recomienda fluticasona, budesonida, ni triamcinolona y recomienda precaución con dexametasona y prednisolona/prednisona. Dexametasona puede emplearse en dosis únicas pero en dosis múltiples se ha descrito sd. Cushing incluso con gotas oftálmicas junto con IP potenciados con RTV. En caso de que deban emplearse estas asociaciones, se recomienda una monitorización cuidadosa de los efectos terapéuticos y las reacciones adversas. Debe considerarse el uso de corticoides alternativos como beclometasona. En caso de retirada del glucocorticoide, se puede requerir una reducción progresiva de la dosis durante un mayor periodo de tiempo.</w:t>
      </w:r>
    </w:p>
    <w:p w14:paraId="7F68AAF7" w14:textId="77777777" w:rsidR="00A53EA0" w:rsidRDefault="00A53EA0" w:rsidP="00A53EA0">
      <w:pPr>
        <w:spacing w:after="200" w:line="276" w:lineRule="auto"/>
        <w:rPr>
          <w:rFonts w:asciiTheme="minorHAnsi" w:hAnsiTheme="minorHAnsi"/>
          <w:sz w:val="20"/>
          <w:szCs w:val="20"/>
          <w:lang w:eastAsia="en-US"/>
        </w:rPr>
      </w:pPr>
      <w:r w:rsidRPr="009F5F47">
        <w:rPr>
          <w:rFonts w:asciiTheme="minorHAnsi" w:hAnsiTheme="minorHAnsi"/>
          <w:sz w:val="20"/>
          <w:szCs w:val="20"/>
          <w:vertAlign w:val="superscript"/>
          <w:lang w:eastAsia="en-US"/>
        </w:rPr>
        <w:t xml:space="preserve">9 </w:t>
      </w:r>
      <w:r w:rsidRPr="009F5F47">
        <w:rPr>
          <w:rFonts w:asciiTheme="minorHAnsi" w:hAnsiTheme="minorHAnsi"/>
          <w:sz w:val="20"/>
          <w:szCs w:val="20"/>
          <w:lang w:eastAsia="en-US"/>
        </w:rPr>
        <w:t>DTG: en pacientes sin resistencia a INI, aumentar DTG a 50 mg c/12h y en pacientes con resistencia a INI considerar otras alternativas terepéuticas. En el caso de oxcarbazepina, aunque la FT de Tivicay® incluye la misma información, es probable que la interacción sea menor, dado que oxcarbazepina inductor débil de CYP3A4, en comparación con carbamacepina que es un inductor potente del mismo.</w:t>
      </w:r>
    </w:p>
    <w:p w14:paraId="6D73BAB1" w14:textId="77777777" w:rsidR="00A53EA0" w:rsidRPr="009F5F47" w:rsidRDefault="00A53EA0" w:rsidP="00A53EA0">
      <w:pPr>
        <w:spacing w:after="200" w:line="276" w:lineRule="auto"/>
        <w:rPr>
          <w:rFonts w:asciiTheme="minorHAnsi" w:hAnsiTheme="minorHAnsi"/>
          <w:sz w:val="20"/>
          <w:szCs w:val="20"/>
          <w:lang w:eastAsia="en-US"/>
        </w:rPr>
      </w:pPr>
      <w:r w:rsidRPr="009F5F47">
        <w:rPr>
          <w:rFonts w:asciiTheme="minorHAnsi" w:hAnsiTheme="minorHAnsi"/>
          <w:sz w:val="20"/>
          <w:szCs w:val="20"/>
          <w:vertAlign w:val="superscript"/>
          <w:lang w:eastAsia="en-US"/>
        </w:rPr>
        <w:t>10</w:t>
      </w:r>
      <w:r w:rsidRPr="009F5F47">
        <w:rPr>
          <w:rFonts w:asciiTheme="minorHAnsi" w:hAnsiTheme="minorHAnsi"/>
          <w:sz w:val="20"/>
          <w:szCs w:val="20"/>
          <w:lang w:eastAsia="en-US"/>
        </w:rPr>
        <w:t xml:space="preserve"> El carbón activo puede retener fármacos en su superficie dificultando su absorción.  La información es escasa y se desconoce el tiempo que deben separarse los  fármacos para evitar la interacción. Evitar en lo posible. </w:t>
      </w:r>
    </w:p>
    <w:p w14:paraId="0BCE06F9" w14:textId="77777777" w:rsidR="00A53EA0" w:rsidRPr="009F5F47" w:rsidRDefault="00A53EA0" w:rsidP="00A53EA0">
      <w:pPr>
        <w:spacing w:after="200" w:line="276" w:lineRule="auto"/>
        <w:rPr>
          <w:rFonts w:asciiTheme="minorHAnsi" w:hAnsiTheme="minorHAnsi"/>
          <w:sz w:val="20"/>
          <w:szCs w:val="20"/>
          <w:lang w:val="es-ES_tradnl" w:eastAsia="en-US"/>
        </w:rPr>
      </w:pPr>
      <w:r w:rsidRPr="00BA7B5F">
        <w:rPr>
          <w:rFonts w:asciiTheme="minorHAnsi" w:hAnsiTheme="minorHAnsi"/>
          <w:sz w:val="20"/>
          <w:szCs w:val="20"/>
          <w:highlight w:val="yellow"/>
          <w:vertAlign w:val="superscript"/>
          <w:lang w:val="es-ES_tradnl" w:eastAsia="en-US"/>
        </w:rPr>
        <w:t>11</w:t>
      </w:r>
      <w:r w:rsidRPr="00BA7B5F">
        <w:rPr>
          <w:rFonts w:asciiTheme="minorHAnsi" w:hAnsiTheme="minorHAnsi"/>
          <w:sz w:val="20"/>
          <w:szCs w:val="20"/>
          <w:highlight w:val="yellow"/>
          <w:lang w:val="es-ES_tradnl" w:eastAsia="en-US"/>
        </w:rPr>
        <w:t xml:space="preserve"> Ceritinib, mediante la inhibición del CYP3A4, puede aumentar los niveles de RPV. Ambos fármacos pueden prolongar el intervalo QT, por lo que se recomienda precaución.</w:t>
      </w:r>
      <w:r w:rsidRPr="009F5F47">
        <w:rPr>
          <w:rFonts w:asciiTheme="minorHAnsi" w:hAnsiTheme="minorHAnsi"/>
          <w:sz w:val="20"/>
          <w:szCs w:val="20"/>
          <w:lang w:val="es-ES_tradnl" w:eastAsia="en-US"/>
        </w:rPr>
        <w:t xml:space="preserve"> </w:t>
      </w:r>
    </w:p>
    <w:p w14:paraId="79EE3CDE" w14:textId="77777777" w:rsidR="00A53EA0" w:rsidRDefault="00A53EA0" w:rsidP="00A53EA0">
      <w:pPr>
        <w:spacing w:after="200" w:line="276" w:lineRule="auto"/>
        <w:rPr>
          <w:rFonts w:asciiTheme="minorHAnsi" w:hAnsiTheme="minorHAnsi"/>
          <w:sz w:val="20"/>
          <w:szCs w:val="20"/>
          <w:lang w:val="es-ES_tradnl" w:eastAsia="en-US"/>
        </w:rPr>
      </w:pPr>
      <w:r w:rsidRPr="00BA7B5F">
        <w:rPr>
          <w:rFonts w:asciiTheme="minorHAnsi" w:hAnsiTheme="minorHAnsi"/>
          <w:sz w:val="20"/>
          <w:szCs w:val="20"/>
          <w:highlight w:val="yellow"/>
          <w:vertAlign w:val="superscript"/>
          <w:lang w:val="es-ES_tradnl" w:eastAsia="en-US"/>
        </w:rPr>
        <w:t>12</w:t>
      </w:r>
      <w:r w:rsidRPr="00BA7B5F">
        <w:rPr>
          <w:rFonts w:asciiTheme="minorHAnsi" w:hAnsiTheme="minorHAnsi"/>
          <w:sz w:val="20"/>
          <w:szCs w:val="20"/>
          <w:highlight w:val="yellow"/>
          <w:lang w:eastAsia="en-US"/>
        </w:rPr>
        <w:t xml:space="preserve"> </w:t>
      </w:r>
      <w:r w:rsidRPr="00BA7B5F">
        <w:rPr>
          <w:rFonts w:asciiTheme="minorHAnsi" w:hAnsiTheme="minorHAnsi"/>
          <w:sz w:val="20"/>
          <w:szCs w:val="20"/>
          <w:highlight w:val="yellow"/>
          <w:lang w:val="es-ES_tradnl" w:eastAsia="en-US"/>
        </w:rPr>
        <w:t>Si no es posible evitar la coadministración, reducir la dosis de ceritinib a un tercio aproximadamente (dosis no comprobada clínicamente), redondeándola al múltiplo de 150 mg más cercano. Si el paciente tolera bien una dosis reducida, ésta puede incrementarse de nuevo vigilando estrechamente la seguridad, para evitar que el paciente resulte insuficientemente tratado. Después de la interrupción del tratamiento con el inhibidor potente de CYP3A, restablecer la dosis previa.</w:t>
      </w:r>
    </w:p>
    <w:p w14:paraId="43A21C9D" w14:textId="77777777" w:rsidR="00A53EA0" w:rsidRPr="009F5F47" w:rsidRDefault="00A53EA0" w:rsidP="00A53EA0">
      <w:pPr>
        <w:spacing w:after="200" w:line="276" w:lineRule="auto"/>
        <w:rPr>
          <w:rFonts w:asciiTheme="minorHAnsi" w:hAnsiTheme="minorHAnsi"/>
          <w:sz w:val="20"/>
          <w:szCs w:val="20"/>
          <w:lang w:eastAsia="en-US"/>
        </w:rPr>
      </w:pPr>
      <w:r w:rsidRPr="009F5F47">
        <w:rPr>
          <w:rFonts w:asciiTheme="minorHAnsi" w:hAnsiTheme="minorHAnsi"/>
          <w:sz w:val="20"/>
          <w:szCs w:val="20"/>
          <w:vertAlign w:val="superscript"/>
          <w:lang w:eastAsia="en-US"/>
        </w:rPr>
        <w:t>13</w:t>
      </w:r>
      <w:r w:rsidRPr="009F5F47">
        <w:rPr>
          <w:rFonts w:asciiTheme="minorHAnsi" w:hAnsiTheme="minorHAnsi"/>
          <w:sz w:val="20"/>
          <w:szCs w:val="20"/>
          <w:lang w:eastAsia="en-US"/>
        </w:rPr>
        <w:t xml:space="preserve"> Si insuficiencia renal: ClCr 30-60 mL/min: reducir 50% la dosis de claritromicina; ClCr&lt;30 mL/min: reducir 75% la dosis de claritromicina. </w:t>
      </w:r>
    </w:p>
    <w:p w14:paraId="3D309890" w14:textId="77777777" w:rsidR="00A53EA0" w:rsidRPr="009F5F47" w:rsidRDefault="00A53EA0" w:rsidP="00A53EA0">
      <w:pPr>
        <w:spacing w:after="200" w:line="276" w:lineRule="auto"/>
        <w:rPr>
          <w:rFonts w:asciiTheme="minorHAnsi" w:hAnsiTheme="minorHAnsi"/>
          <w:sz w:val="20"/>
          <w:szCs w:val="20"/>
          <w:lang w:eastAsia="en-US"/>
        </w:rPr>
      </w:pPr>
      <w:r w:rsidRPr="009F5F47">
        <w:rPr>
          <w:rFonts w:asciiTheme="minorHAnsi" w:hAnsiTheme="minorHAnsi"/>
          <w:sz w:val="20"/>
          <w:szCs w:val="20"/>
          <w:vertAlign w:val="superscript"/>
          <w:lang w:eastAsia="en-US"/>
        </w:rPr>
        <w:t>14</w:t>
      </w:r>
      <w:r w:rsidRPr="009F5F47">
        <w:rPr>
          <w:rFonts w:asciiTheme="minorHAnsi" w:hAnsiTheme="minorHAnsi"/>
          <w:sz w:val="20"/>
          <w:szCs w:val="20"/>
          <w:lang w:eastAsia="en-US"/>
        </w:rPr>
        <w:t xml:space="preserve"> colchicina: no debe administrarse junto con RTV </w:t>
      </w:r>
      <w:r>
        <w:rPr>
          <w:rFonts w:asciiTheme="minorHAnsi" w:hAnsiTheme="minorHAnsi"/>
          <w:sz w:val="20"/>
          <w:szCs w:val="20"/>
          <w:lang w:eastAsia="en-US"/>
        </w:rPr>
        <w:t>o</w:t>
      </w:r>
      <w:r w:rsidRPr="009F5F47">
        <w:rPr>
          <w:rFonts w:asciiTheme="minorHAnsi" w:hAnsiTheme="minorHAnsi"/>
          <w:sz w:val="20"/>
          <w:szCs w:val="20"/>
          <w:lang w:eastAsia="en-US"/>
        </w:rPr>
        <w:t xml:space="preserve"> COBI en pacientes con insuficiencia renal o insuficiencia hepática; en el resto de casos asociar con precaución.</w:t>
      </w:r>
    </w:p>
    <w:p w14:paraId="0C59AAE0" w14:textId="77777777" w:rsidR="00A53EA0" w:rsidRPr="009F5F47" w:rsidRDefault="00A53EA0" w:rsidP="00A53EA0">
      <w:pPr>
        <w:spacing w:after="200" w:line="276" w:lineRule="auto"/>
        <w:rPr>
          <w:rFonts w:asciiTheme="minorHAnsi" w:hAnsiTheme="minorHAnsi"/>
          <w:sz w:val="20"/>
          <w:szCs w:val="20"/>
          <w:lang w:val="es-ES_tradnl" w:eastAsia="en-US"/>
        </w:rPr>
      </w:pPr>
      <w:r w:rsidRPr="003A5C23">
        <w:rPr>
          <w:rFonts w:asciiTheme="minorHAnsi" w:hAnsiTheme="minorHAnsi"/>
          <w:sz w:val="20"/>
          <w:szCs w:val="20"/>
          <w:highlight w:val="yellow"/>
          <w:vertAlign w:val="superscript"/>
          <w:lang w:val="es-ES_tradnl" w:eastAsia="en-US"/>
        </w:rPr>
        <w:t xml:space="preserve">15 </w:t>
      </w:r>
      <w:r w:rsidRPr="003A5C23">
        <w:rPr>
          <w:rFonts w:asciiTheme="minorHAnsi" w:hAnsiTheme="minorHAnsi"/>
          <w:sz w:val="20"/>
          <w:szCs w:val="20"/>
          <w:highlight w:val="yellow"/>
          <w:lang w:val="es-ES_tradnl" w:eastAsia="en-US"/>
        </w:rPr>
        <w:t>La administración conjunta con fármacos que prolongan el intervalo QT y/o inducen Torsade de Pointes está contraindicada.</w:t>
      </w:r>
    </w:p>
    <w:p w14:paraId="66FD0FB1" w14:textId="77777777" w:rsidR="00A53EA0" w:rsidRPr="009F5F47" w:rsidRDefault="00A53EA0" w:rsidP="00A53EA0">
      <w:pPr>
        <w:spacing w:after="200" w:line="276" w:lineRule="auto"/>
        <w:rPr>
          <w:rFonts w:asciiTheme="minorHAnsi" w:hAnsiTheme="minorHAnsi"/>
          <w:sz w:val="20"/>
          <w:szCs w:val="20"/>
          <w:lang w:val="es-ES_tradnl" w:eastAsia="en-US"/>
        </w:rPr>
      </w:pPr>
      <w:r w:rsidRPr="003A5C23">
        <w:rPr>
          <w:rFonts w:asciiTheme="minorHAnsi" w:hAnsiTheme="minorHAnsi"/>
          <w:sz w:val="20"/>
          <w:szCs w:val="20"/>
          <w:highlight w:val="yellow"/>
          <w:vertAlign w:val="superscript"/>
          <w:lang w:val="es-ES_tradnl" w:eastAsia="en-US"/>
        </w:rPr>
        <w:t>16</w:t>
      </w:r>
      <w:r w:rsidRPr="003A5C23">
        <w:rPr>
          <w:rFonts w:asciiTheme="minorHAnsi" w:hAnsiTheme="minorHAnsi"/>
          <w:sz w:val="20"/>
          <w:szCs w:val="20"/>
          <w:highlight w:val="yellow"/>
          <w:lang w:val="es-ES_tradnl" w:eastAsia="en-US"/>
        </w:rPr>
        <w:t xml:space="preserve"> La administración conjunta con fármacos que prolongan el intervalo QT no está recomendada (en caso imprescindible, monitorizar electrocardiograma)</w:t>
      </w:r>
    </w:p>
    <w:p w14:paraId="154FDB9C" w14:textId="77777777" w:rsidR="00A53EA0" w:rsidRPr="00936693" w:rsidRDefault="00A53EA0" w:rsidP="00A53EA0">
      <w:pPr>
        <w:spacing w:after="200" w:line="276" w:lineRule="auto"/>
        <w:rPr>
          <w:rFonts w:asciiTheme="minorHAnsi" w:hAnsiTheme="minorHAnsi"/>
          <w:sz w:val="20"/>
          <w:szCs w:val="20"/>
          <w:lang w:val="es-ES_tradnl" w:eastAsia="en-US"/>
        </w:rPr>
      </w:pPr>
      <w:r w:rsidRPr="009F5F47">
        <w:rPr>
          <w:rFonts w:asciiTheme="minorHAnsi" w:hAnsiTheme="minorHAnsi"/>
          <w:sz w:val="20"/>
          <w:szCs w:val="20"/>
          <w:vertAlign w:val="superscript"/>
          <w:lang w:val="es-ES_tradnl" w:eastAsia="en-US"/>
        </w:rPr>
        <w:t>1</w:t>
      </w:r>
      <w:r w:rsidRPr="00936693">
        <w:rPr>
          <w:rFonts w:asciiTheme="minorHAnsi" w:hAnsiTheme="minorHAnsi"/>
          <w:sz w:val="20"/>
          <w:szCs w:val="20"/>
          <w:vertAlign w:val="superscript"/>
          <w:lang w:val="es-ES_tradnl" w:eastAsia="en-US"/>
        </w:rPr>
        <w:t>7</w:t>
      </w:r>
      <w:r w:rsidRPr="00936693">
        <w:rPr>
          <w:rFonts w:asciiTheme="minorHAnsi" w:hAnsiTheme="minorHAnsi"/>
          <w:sz w:val="20"/>
          <w:szCs w:val="20"/>
          <w:lang w:val="es-ES_tradnl" w:eastAsia="en-US"/>
        </w:rPr>
        <w:t xml:space="preserve"> Precaución por riesgo de prolongar el intervalo QT.</w:t>
      </w:r>
    </w:p>
    <w:p w14:paraId="33A8AF23" w14:textId="77777777" w:rsidR="00A53EA0" w:rsidRPr="00936693" w:rsidRDefault="00A53EA0" w:rsidP="00A53EA0">
      <w:pPr>
        <w:spacing w:after="200" w:line="276" w:lineRule="auto"/>
        <w:rPr>
          <w:rFonts w:asciiTheme="minorHAnsi" w:hAnsiTheme="minorHAnsi"/>
          <w:sz w:val="20"/>
          <w:szCs w:val="20"/>
          <w:lang w:eastAsia="en-US"/>
        </w:rPr>
      </w:pPr>
      <w:r w:rsidRPr="00936693">
        <w:rPr>
          <w:rFonts w:asciiTheme="minorHAnsi" w:hAnsiTheme="minorHAnsi"/>
          <w:sz w:val="20"/>
          <w:szCs w:val="20"/>
          <w:vertAlign w:val="superscript"/>
          <w:lang w:eastAsia="en-US"/>
        </w:rPr>
        <w:t>18</w:t>
      </w:r>
      <w:r w:rsidRPr="00936693">
        <w:rPr>
          <w:rFonts w:asciiTheme="minorHAnsi" w:hAnsiTheme="minorHAnsi"/>
          <w:sz w:val="20"/>
          <w:szCs w:val="20"/>
          <w:lang w:eastAsia="en-US"/>
        </w:rPr>
        <w:t xml:space="preserve"> EFV: junto con DRV/r 800/100 mg c/24h puede dar lugar a una Cmin de DRV subóptima. Debe emplearse DRV/r 600/100 mg c/12h. </w:t>
      </w:r>
    </w:p>
    <w:p w14:paraId="6953A5C8" w14:textId="77777777" w:rsidR="00A53EA0" w:rsidRPr="00217B6D" w:rsidRDefault="00A53EA0" w:rsidP="00A53EA0">
      <w:pPr>
        <w:spacing w:after="200" w:line="276" w:lineRule="auto"/>
        <w:rPr>
          <w:sz w:val="20"/>
          <w:szCs w:val="20"/>
        </w:rPr>
      </w:pPr>
      <w:r w:rsidRPr="000579BD">
        <w:rPr>
          <w:rFonts w:asciiTheme="minorHAnsi" w:hAnsiTheme="minorHAnsi"/>
          <w:sz w:val="20"/>
          <w:szCs w:val="20"/>
          <w:highlight w:val="yellow"/>
          <w:vertAlign w:val="superscript"/>
          <w:lang w:val="es-ES_tradnl" w:eastAsia="en-US"/>
        </w:rPr>
        <w:t>19</w:t>
      </w:r>
      <w:r w:rsidRPr="000579BD">
        <w:rPr>
          <w:rFonts w:asciiTheme="minorHAnsi" w:hAnsiTheme="minorHAnsi"/>
          <w:sz w:val="20"/>
          <w:szCs w:val="20"/>
          <w:highlight w:val="yellow"/>
          <w:lang w:val="es-ES_tradnl" w:eastAsia="en-US"/>
        </w:rPr>
        <w:t xml:space="preserve"> Antes de iniciar eliglustat debe genotiparse el CYP2D6. </w:t>
      </w:r>
      <w:r>
        <w:rPr>
          <w:rFonts w:asciiTheme="minorHAnsi" w:hAnsiTheme="minorHAnsi"/>
          <w:sz w:val="20"/>
          <w:szCs w:val="20"/>
          <w:highlight w:val="yellow"/>
          <w:lang w:val="es-ES_tradnl" w:eastAsia="en-US"/>
        </w:rPr>
        <w:t>En m</w:t>
      </w:r>
      <w:r w:rsidRPr="000579BD">
        <w:rPr>
          <w:rFonts w:asciiTheme="minorHAnsi" w:hAnsiTheme="minorHAnsi"/>
          <w:sz w:val="20"/>
          <w:szCs w:val="20"/>
          <w:highlight w:val="yellow"/>
          <w:lang w:val="es-ES_tradnl" w:eastAsia="en-US"/>
        </w:rPr>
        <w:t xml:space="preserve">etabolizadores ultrarrápidos </w:t>
      </w:r>
      <w:r>
        <w:rPr>
          <w:rFonts w:asciiTheme="minorHAnsi" w:hAnsiTheme="minorHAnsi"/>
          <w:sz w:val="20"/>
          <w:szCs w:val="20"/>
          <w:highlight w:val="yellow"/>
          <w:lang w:val="es-ES_tradnl" w:eastAsia="en-US"/>
        </w:rPr>
        <w:t>del</w:t>
      </w:r>
      <w:r w:rsidRPr="000579BD">
        <w:rPr>
          <w:rFonts w:asciiTheme="minorHAnsi" w:hAnsiTheme="minorHAnsi"/>
          <w:sz w:val="20"/>
          <w:szCs w:val="20"/>
          <w:highlight w:val="yellow"/>
          <w:lang w:val="es-ES_tradnl" w:eastAsia="en-US"/>
        </w:rPr>
        <w:t xml:space="preserve"> CYP2D6 no debe emplearse eliglustat en ninguna circunstancia</w:t>
      </w:r>
      <w:r>
        <w:rPr>
          <w:rFonts w:asciiTheme="minorHAnsi" w:hAnsiTheme="minorHAnsi"/>
          <w:sz w:val="20"/>
          <w:szCs w:val="20"/>
          <w:highlight w:val="yellow"/>
          <w:lang w:val="es-ES_tradnl" w:eastAsia="en-US"/>
        </w:rPr>
        <w:t xml:space="preserve">. El uso de </w:t>
      </w:r>
      <w:r w:rsidRPr="00217B6D">
        <w:rPr>
          <w:rFonts w:asciiTheme="minorHAnsi" w:hAnsiTheme="minorHAnsi"/>
          <w:sz w:val="20"/>
          <w:szCs w:val="20"/>
          <w:highlight w:val="yellow"/>
          <w:lang w:val="es-ES_tradnl" w:eastAsia="en-US"/>
        </w:rPr>
        <w:t>inhibidores potentes</w:t>
      </w:r>
      <w:r>
        <w:rPr>
          <w:rFonts w:asciiTheme="minorHAnsi" w:hAnsiTheme="minorHAnsi"/>
          <w:sz w:val="20"/>
          <w:szCs w:val="20"/>
          <w:highlight w:val="yellow"/>
          <w:lang w:val="es-ES_tradnl" w:eastAsia="en-US"/>
        </w:rPr>
        <w:t xml:space="preserve"> o moderados</w:t>
      </w:r>
      <w:r w:rsidRPr="00217B6D">
        <w:rPr>
          <w:rFonts w:asciiTheme="minorHAnsi" w:hAnsiTheme="minorHAnsi"/>
          <w:sz w:val="20"/>
          <w:szCs w:val="20"/>
          <w:highlight w:val="yellow"/>
          <w:lang w:val="es-ES_tradnl" w:eastAsia="en-US"/>
        </w:rPr>
        <w:t xml:space="preserve"> del CYP3A</w:t>
      </w:r>
      <w:r>
        <w:rPr>
          <w:rFonts w:asciiTheme="minorHAnsi" w:hAnsiTheme="minorHAnsi"/>
          <w:sz w:val="20"/>
          <w:szCs w:val="20"/>
          <w:highlight w:val="yellow"/>
          <w:lang w:val="es-ES_tradnl" w:eastAsia="en-US"/>
        </w:rPr>
        <w:t xml:space="preserve">4 combinado con inhibidores potentes o moderados del CYP2D6 está contraindicado.  RTV y COBI son inhibidores potentes del CYP3A4 y débiles del CYP2D6. Sería preferible emplear TAR con INI no </w:t>
      </w:r>
      <w:r>
        <w:rPr>
          <w:rFonts w:asciiTheme="minorHAnsi" w:hAnsiTheme="minorHAnsi"/>
          <w:sz w:val="20"/>
          <w:szCs w:val="20"/>
          <w:highlight w:val="yellow"/>
          <w:lang w:val="es-ES_tradnl" w:eastAsia="en-US"/>
        </w:rPr>
        <w:lastRenderedPageBreak/>
        <w:t>potenciados. En caso imprescindible, consultar la ficha técnica del fármaco (ajustes de dosis complejos basados en la función renal, función hepática e interacciones)</w:t>
      </w:r>
      <w:r>
        <w:rPr>
          <w:rFonts w:asciiTheme="minorHAnsi" w:hAnsiTheme="minorHAnsi"/>
          <w:sz w:val="20"/>
          <w:szCs w:val="20"/>
          <w:lang w:val="es-ES_tradnl" w:eastAsia="en-US"/>
        </w:rPr>
        <w:t>.</w:t>
      </w:r>
    </w:p>
    <w:p w14:paraId="490BE237" w14:textId="77777777" w:rsidR="00A53EA0" w:rsidRPr="00936693" w:rsidRDefault="00A53EA0" w:rsidP="00A53EA0">
      <w:pPr>
        <w:spacing w:after="200" w:line="276" w:lineRule="auto"/>
        <w:rPr>
          <w:rFonts w:asciiTheme="minorHAnsi" w:hAnsiTheme="minorHAnsi"/>
          <w:sz w:val="20"/>
          <w:szCs w:val="20"/>
          <w:lang w:eastAsia="en-US"/>
        </w:rPr>
      </w:pPr>
      <w:r w:rsidRPr="00936693">
        <w:rPr>
          <w:rFonts w:asciiTheme="minorHAnsi" w:hAnsiTheme="minorHAnsi"/>
          <w:sz w:val="20"/>
          <w:szCs w:val="20"/>
          <w:vertAlign w:val="superscript"/>
          <w:lang w:eastAsia="en-US"/>
        </w:rPr>
        <w:t xml:space="preserve">20 </w:t>
      </w:r>
      <w:r w:rsidRPr="00936693">
        <w:rPr>
          <w:rFonts w:asciiTheme="minorHAnsi" w:hAnsiTheme="minorHAnsi"/>
          <w:sz w:val="20"/>
          <w:szCs w:val="20"/>
          <w:lang w:eastAsia="en-US"/>
        </w:rPr>
        <w:t>IBP: ATV/c: no se recomienda. ATV/r: no se recomienda. Si la combinación de ATV/r con un IBP es inevitable, valorar ATV/r 400/100 mg c/24h y no exceder una dosis de omeprazol de 20 mg c/24h (o dosis equivalente de otro IBP).</w:t>
      </w:r>
    </w:p>
    <w:p w14:paraId="67F23BC8" w14:textId="77777777" w:rsidR="00A53EA0" w:rsidRPr="00936693" w:rsidRDefault="00A53EA0" w:rsidP="00A53EA0">
      <w:pPr>
        <w:spacing w:after="200" w:line="276" w:lineRule="auto"/>
        <w:rPr>
          <w:rFonts w:asciiTheme="minorHAnsi" w:hAnsiTheme="minorHAnsi"/>
          <w:sz w:val="20"/>
          <w:szCs w:val="20"/>
          <w:lang w:eastAsia="en-US"/>
        </w:rPr>
      </w:pPr>
      <w:r w:rsidRPr="00936693">
        <w:rPr>
          <w:rFonts w:asciiTheme="minorHAnsi" w:hAnsiTheme="minorHAnsi"/>
          <w:sz w:val="20"/>
          <w:szCs w:val="20"/>
          <w:vertAlign w:val="superscript"/>
          <w:lang w:eastAsia="en-US"/>
        </w:rPr>
        <w:t xml:space="preserve">21 </w:t>
      </w:r>
      <w:r w:rsidRPr="00936693">
        <w:rPr>
          <w:rFonts w:asciiTheme="minorHAnsi" w:hAnsiTheme="minorHAnsi"/>
          <w:sz w:val="20"/>
          <w:szCs w:val="20"/>
          <w:lang w:eastAsia="en-US"/>
        </w:rPr>
        <w:t>DTG: en pacientes con resistencia a INI no se debe utilizar con ETR sin la administración concomitante de ATV/r, DRV/r o LPV/r (recordar que ETR no debe asociarse a cobicistat.</w:t>
      </w:r>
    </w:p>
    <w:p w14:paraId="52EC65C2" w14:textId="77777777" w:rsidR="00A53EA0" w:rsidRPr="009F5F47" w:rsidRDefault="00A53EA0" w:rsidP="00A53EA0">
      <w:pPr>
        <w:spacing w:after="200" w:line="276" w:lineRule="auto"/>
        <w:rPr>
          <w:rFonts w:asciiTheme="minorHAnsi" w:hAnsiTheme="minorHAnsi"/>
          <w:b/>
          <w:sz w:val="20"/>
          <w:szCs w:val="20"/>
          <w:lang w:eastAsia="en-US"/>
        </w:rPr>
      </w:pPr>
      <w:r w:rsidRPr="009F5F47">
        <w:rPr>
          <w:rFonts w:asciiTheme="minorHAnsi" w:hAnsiTheme="minorHAnsi"/>
          <w:b/>
          <w:sz w:val="20"/>
          <w:szCs w:val="20"/>
          <w:vertAlign w:val="superscript"/>
          <w:lang w:eastAsia="en-US"/>
        </w:rPr>
        <w:t>22</w:t>
      </w:r>
      <w:r w:rsidRPr="009F5F47">
        <w:rPr>
          <w:rFonts w:asciiTheme="minorHAnsi" w:hAnsiTheme="minorHAnsi"/>
          <w:b/>
          <w:sz w:val="20"/>
          <w:szCs w:val="20"/>
          <w:lang w:eastAsia="en-US"/>
        </w:rPr>
        <w:t xml:space="preserve"> </w:t>
      </w:r>
      <w:r w:rsidRPr="009F5F47">
        <w:rPr>
          <w:rFonts w:asciiTheme="minorHAnsi" w:hAnsiTheme="minorHAnsi"/>
          <w:b/>
          <w:sz w:val="20"/>
          <w:szCs w:val="20"/>
          <w:u w:val="single"/>
          <w:lang w:eastAsia="en-US"/>
        </w:rPr>
        <w:t>antagonistas H2</w:t>
      </w:r>
      <w:r>
        <w:rPr>
          <w:rFonts w:asciiTheme="minorHAnsi" w:hAnsiTheme="minorHAnsi"/>
          <w:b/>
          <w:sz w:val="20"/>
          <w:szCs w:val="20"/>
          <w:u w:val="single"/>
          <w:lang w:eastAsia="en-US"/>
        </w:rPr>
        <w:t>:</w:t>
      </w:r>
    </w:p>
    <w:p w14:paraId="5208B837" w14:textId="77777777" w:rsidR="00A53EA0" w:rsidRDefault="00A53EA0" w:rsidP="00A53EA0">
      <w:pPr>
        <w:spacing w:after="200" w:line="276" w:lineRule="auto"/>
        <w:ind w:left="708"/>
        <w:rPr>
          <w:rFonts w:asciiTheme="minorHAnsi" w:hAnsiTheme="minorHAnsi"/>
          <w:sz w:val="20"/>
          <w:szCs w:val="20"/>
          <w:lang w:eastAsia="en-US"/>
        </w:rPr>
      </w:pPr>
      <w:r w:rsidRPr="00517651">
        <w:rPr>
          <w:rFonts w:asciiTheme="minorHAnsi" w:hAnsiTheme="minorHAnsi"/>
          <w:b/>
          <w:sz w:val="20"/>
          <w:szCs w:val="20"/>
          <w:u w:val="single"/>
          <w:lang w:eastAsia="en-US"/>
        </w:rPr>
        <w:t>ATV/c</w:t>
      </w:r>
      <w:r w:rsidRPr="00517651">
        <w:rPr>
          <w:rFonts w:asciiTheme="minorHAnsi" w:hAnsiTheme="minorHAnsi"/>
          <w:sz w:val="20"/>
          <w:szCs w:val="20"/>
          <w:lang w:eastAsia="en-US"/>
        </w:rPr>
        <w:t xml:space="preserve">: para los pacientes que </w:t>
      </w:r>
      <w:r>
        <w:rPr>
          <w:rFonts w:asciiTheme="minorHAnsi" w:hAnsiTheme="minorHAnsi"/>
          <w:sz w:val="20"/>
          <w:szCs w:val="20"/>
          <w:lang w:eastAsia="en-US"/>
        </w:rPr>
        <w:t>NO</w:t>
      </w:r>
      <w:r w:rsidRPr="00517651">
        <w:rPr>
          <w:rFonts w:asciiTheme="minorHAnsi" w:hAnsiTheme="minorHAnsi"/>
          <w:sz w:val="20"/>
          <w:szCs w:val="20"/>
          <w:lang w:eastAsia="en-US"/>
        </w:rPr>
        <w:t xml:space="preserve"> tomen tenofovir DF, se debe administrar ATV/c una vez al día con alimentos simultáneamente con o por lo menos 10 horas después de una dosis del antagonista del receptor-H2. La dosis del antagonista del receptor-H2 no debe exceder una dosis comparable a 20 mg de famotidina dos veces al día. Para los pacientes que</w:t>
      </w:r>
      <w:r>
        <w:rPr>
          <w:rFonts w:asciiTheme="minorHAnsi" w:hAnsiTheme="minorHAnsi"/>
          <w:sz w:val="20"/>
          <w:szCs w:val="20"/>
          <w:lang w:eastAsia="en-US"/>
        </w:rPr>
        <w:t xml:space="preserve"> SI</w:t>
      </w:r>
      <w:r w:rsidRPr="00517651">
        <w:rPr>
          <w:rFonts w:asciiTheme="minorHAnsi" w:hAnsiTheme="minorHAnsi"/>
          <w:sz w:val="20"/>
          <w:szCs w:val="20"/>
          <w:lang w:eastAsia="en-US"/>
        </w:rPr>
        <w:t xml:space="preserve"> tomen tenofovir DF, no se recomienda administrar de forma conjunta ATV/c con</w:t>
      </w:r>
      <w:r>
        <w:rPr>
          <w:rFonts w:asciiTheme="minorHAnsi" w:hAnsiTheme="minorHAnsi"/>
          <w:sz w:val="20"/>
          <w:szCs w:val="20"/>
          <w:lang w:eastAsia="en-US"/>
        </w:rPr>
        <w:t xml:space="preserve"> un antagonista del receptor-H2.</w:t>
      </w:r>
    </w:p>
    <w:p w14:paraId="338FEFAC" w14:textId="77777777" w:rsidR="00A53EA0" w:rsidRDefault="00A53EA0" w:rsidP="00A53EA0">
      <w:pPr>
        <w:spacing w:after="200" w:line="276" w:lineRule="auto"/>
        <w:ind w:left="708"/>
        <w:rPr>
          <w:rFonts w:asciiTheme="minorHAnsi" w:hAnsiTheme="minorHAnsi"/>
          <w:sz w:val="20"/>
          <w:szCs w:val="20"/>
          <w:lang w:eastAsia="en-US"/>
        </w:rPr>
      </w:pPr>
      <w:r w:rsidRPr="00517651">
        <w:rPr>
          <w:rFonts w:asciiTheme="minorHAnsi" w:hAnsiTheme="minorHAnsi"/>
          <w:b/>
          <w:sz w:val="20"/>
          <w:szCs w:val="20"/>
          <w:u w:val="single"/>
          <w:lang w:eastAsia="en-US"/>
        </w:rPr>
        <w:t>ATV/r-antagonistas H2</w:t>
      </w:r>
      <w:r w:rsidRPr="00517651">
        <w:rPr>
          <w:rFonts w:asciiTheme="minorHAnsi" w:hAnsiTheme="minorHAnsi"/>
          <w:sz w:val="20"/>
          <w:szCs w:val="20"/>
          <w:lang w:eastAsia="en-US"/>
        </w:rPr>
        <w:t xml:space="preserve">: para pacientes que </w:t>
      </w:r>
      <w:r>
        <w:rPr>
          <w:rFonts w:asciiTheme="minorHAnsi" w:hAnsiTheme="minorHAnsi"/>
          <w:sz w:val="20"/>
          <w:szCs w:val="20"/>
          <w:lang w:eastAsia="en-US"/>
        </w:rPr>
        <w:t>NO</w:t>
      </w:r>
      <w:r w:rsidRPr="00517651">
        <w:rPr>
          <w:rFonts w:asciiTheme="minorHAnsi" w:hAnsiTheme="minorHAnsi"/>
          <w:sz w:val="20"/>
          <w:szCs w:val="20"/>
          <w:lang w:eastAsia="en-US"/>
        </w:rPr>
        <w:t xml:space="preserve"> estén tomando tenofovir DF, si se administra de forma conjunta ATV/r 300/100 mg y antagonistas de receptores-H2, no se debe superar una dosis equivalente a 20 mg de famotidina dos veces al día. Si fuese necesaria una dosis mayor de un antagonista de receptor-H2 (p. ej. 40 mg de famotidina dos veces al día o equivalente) se puede considerar un aumento de la dosis de ATV/r desde 300/100 mg hasta 400/100 mg. Para pacientes que </w:t>
      </w:r>
      <w:r>
        <w:rPr>
          <w:rFonts w:asciiTheme="minorHAnsi" w:hAnsiTheme="minorHAnsi"/>
          <w:sz w:val="20"/>
          <w:szCs w:val="20"/>
          <w:lang w:eastAsia="en-US"/>
        </w:rPr>
        <w:t xml:space="preserve">SI </w:t>
      </w:r>
      <w:r w:rsidRPr="00517651">
        <w:rPr>
          <w:rFonts w:asciiTheme="minorHAnsi" w:hAnsiTheme="minorHAnsi"/>
          <w:sz w:val="20"/>
          <w:szCs w:val="20"/>
          <w:lang w:eastAsia="en-US"/>
        </w:rPr>
        <w:t>tomen tenofovir DF, si se administra de forma conjunta ATV/r y un antagonista de receptor-H2, se recomienda un aumento de ATV/a 400/100 mg. No se debe superar una dosi</w:t>
      </w:r>
      <w:r>
        <w:rPr>
          <w:rFonts w:asciiTheme="minorHAnsi" w:hAnsiTheme="minorHAnsi"/>
          <w:sz w:val="20"/>
          <w:szCs w:val="20"/>
          <w:lang w:eastAsia="en-US"/>
        </w:rPr>
        <w:t>s</w:t>
      </w:r>
      <w:r w:rsidRPr="00517651">
        <w:rPr>
          <w:rFonts w:asciiTheme="minorHAnsi" w:hAnsiTheme="minorHAnsi"/>
          <w:sz w:val="20"/>
          <w:szCs w:val="20"/>
          <w:lang w:eastAsia="en-US"/>
        </w:rPr>
        <w:t xml:space="preserve"> equivalente a 40 mg</w:t>
      </w:r>
      <w:r>
        <w:rPr>
          <w:rFonts w:asciiTheme="minorHAnsi" w:hAnsiTheme="minorHAnsi"/>
          <w:sz w:val="20"/>
          <w:szCs w:val="20"/>
          <w:lang w:eastAsia="en-US"/>
        </w:rPr>
        <w:t xml:space="preserve"> de famotidina dos veces al día.</w:t>
      </w:r>
    </w:p>
    <w:p w14:paraId="33EA5D38" w14:textId="77777777" w:rsidR="00A53EA0" w:rsidRPr="00517651" w:rsidRDefault="00A53EA0" w:rsidP="00A53EA0">
      <w:pPr>
        <w:spacing w:after="200" w:line="276" w:lineRule="auto"/>
        <w:ind w:left="708"/>
        <w:rPr>
          <w:rFonts w:asciiTheme="minorHAnsi" w:hAnsiTheme="minorHAnsi"/>
          <w:sz w:val="20"/>
          <w:szCs w:val="20"/>
          <w:lang w:eastAsia="en-US"/>
        </w:rPr>
      </w:pPr>
      <w:r w:rsidRPr="00517651">
        <w:rPr>
          <w:rFonts w:asciiTheme="minorHAnsi" w:hAnsiTheme="minorHAnsi"/>
          <w:b/>
          <w:sz w:val="20"/>
          <w:szCs w:val="20"/>
          <w:u w:val="single"/>
          <w:lang w:eastAsia="en-US"/>
        </w:rPr>
        <w:t>RPV-antagonistas H2</w:t>
      </w:r>
      <w:r w:rsidRPr="00517651">
        <w:rPr>
          <w:rFonts w:asciiTheme="minorHAnsi" w:hAnsiTheme="minorHAnsi"/>
          <w:sz w:val="20"/>
          <w:szCs w:val="20"/>
          <w:lang w:eastAsia="en-US"/>
        </w:rPr>
        <w:t>: solamente se deben utilizar los antagonistas de los receptores H2 que se puedan administrar una vez al día. Éstos deben administrarse al menos 12 horas antes o al menos 4 horas después de rilpivirina.</w:t>
      </w:r>
    </w:p>
    <w:p w14:paraId="41070EFA"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23</w:t>
      </w:r>
      <w:r w:rsidRPr="00BA7B5F">
        <w:rPr>
          <w:rFonts w:asciiTheme="minorHAnsi" w:hAnsiTheme="minorHAnsi"/>
          <w:sz w:val="20"/>
          <w:szCs w:val="20"/>
          <w:lang w:eastAsia="en-US"/>
        </w:rPr>
        <w:t xml:space="preserve"> Información escasa. Valorar riesgo/beneficio. Si es posible, emplear otras combinaciones.</w:t>
      </w:r>
    </w:p>
    <w:p w14:paraId="46D65A4C"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 xml:space="preserve">24 </w:t>
      </w:r>
      <w:r w:rsidRPr="00BA7B5F">
        <w:rPr>
          <w:rFonts w:asciiTheme="minorHAnsi" w:hAnsiTheme="minorHAnsi"/>
          <w:sz w:val="20"/>
          <w:szCs w:val="20"/>
          <w:lang w:eastAsia="en-US"/>
        </w:rPr>
        <w:t xml:space="preserve">Evitar el uso de atazanavir no potenciado con ginkgo biloba. Riesgo de reducción de niveles de ATV (en cambio no se observó interaccion importante con LPV/r, por lo que una interacción con potenciados parece poco probable). </w:t>
      </w:r>
    </w:p>
    <w:p w14:paraId="2852E868" w14:textId="77777777" w:rsidR="00A53EA0" w:rsidRPr="00BA7B5F" w:rsidRDefault="00A53EA0" w:rsidP="00A53EA0">
      <w:pPr>
        <w:spacing w:after="200" w:line="276" w:lineRule="auto"/>
        <w:rPr>
          <w:rFonts w:asciiTheme="minorHAnsi" w:hAnsiTheme="minorHAnsi"/>
          <w:sz w:val="20"/>
          <w:szCs w:val="20"/>
          <w:lang w:val="es-ES_tradnl" w:eastAsia="en-US"/>
        </w:rPr>
      </w:pPr>
      <w:r w:rsidRPr="003A5C23">
        <w:rPr>
          <w:rFonts w:asciiTheme="minorHAnsi" w:hAnsiTheme="minorHAnsi"/>
          <w:sz w:val="20"/>
          <w:szCs w:val="20"/>
          <w:highlight w:val="yellow"/>
          <w:vertAlign w:val="superscript"/>
          <w:lang w:val="es-ES_tradnl" w:eastAsia="en-US"/>
        </w:rPr>
        <w:t>25</w:t>
      </w:r>
      <w:r w:rsidRPr="003A5C23">
        <w:rPr>
          <w:rFonts w:asciiTheme="minorHAnsi" w:hAnsiTheme="minorHAnsi"/>
          <w:sz w:val="20"/>
          <w:szCs w:val="20"/>
          <w:highlight w:val="yellow"/>
          <w:lang w:val="es-ES_tradnl" w:eastAsia="en-US"/>
        </w:rPr>
        <w:t xml:space="preserve"> La administración concomitante de glecaprevir/pibrentasvir con ATV/r está contraindicada debido al riesgo de elevaciones de la ALT. Se produce un aumento importante de los niveles de glecaprevir (AUC 6 veces mayor) y, en menor medida, de pibrentasvir.</w:t>
      </w:r>
      <w:r w:rsidRPr="00BA7B5F">
        <w:rPr>
          <w:rFonts w:asciiTheme="minorHAnsi" w:hAnsiTheme="minorHAnsi"/>
          <w:sz w:val="20"/>
          <w:szCs w:val="20"/>
          <w:lang w:val="es-ES_tradnl" w:eastAsia="en-US"/>
        </w:rPr>
        <w:t xml:space="preserve"> </w:t>
      </w:r>
    </w:p>
    <w:p w14:paraId="0FAAAC9C"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26</w:t>
      </w:r>
      <w:r w:rsidRPr="00BA7B5F">
        <w:rPr>
          <w:rFonts w:asciiTheme="minorHAnsi" w:hAnsiTheme="minorHAnsi"/>
          <w:sz w:val="20"/>
          <w:szCs w:val="20"/>
          <w:lang w:eastAsia="en-US"/>
        </w:rPr>
        <w:t xml:space="preserve"> itraconazol/ketoconazol: no se recomiendan dosis del antifúngico mayores a 200 mg c/24h.</w:t>
      </w:r>
    </w:p>
    <w:p w14:paraId="21AC9372"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27</w:t>
      </w:r>
      <w:r w:rsidRPr="00BA7B5F">
        <w:rPr>
          <w:rFonts w:asciiTheme="minorHAnsi" w:hAnsiTheme="minorHAnsi"/>
          <w:sz w:val="20"/>
          <w:szCs w:val="20"/>
          <w:lang w:eastAsia="en-US"/>
        </w:rPr>
        <w:t xml:space="preserve"> Basándose en estudios farmacocinéticos, si el uso de lapatinib con inhibidores potents del CYP3A4 no puede evitarse, podría valorarse una reducción de dosis de 1250 mg a 500 mg al día para alcanzar niveles similares a los obtenidos con la dosis habitual de lapatinib en ausencia de estos inhibidores. Cuando el inhibidor potente se suspende, una semana después debe volver a aumentarse la dosis de lapatinib a 1250 mg al día. </w:t>
      </w:r>
    </w:p>
    <w:p w14:paraId="74A14DC9"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 xml:space="preserve">28 </w:t>
      </w:r>
      <w:r w:rsidRPr="00BA7B5F">
        <w:rPr>
          <w:rFonts w:asciiTheme="minorHAnsi" w:hAnsiTheme="minorHAnsi"/>
          <w:sz w:val="20"/>
          <w:szCs w:val="20"/>
          <w:lang w:eastAsia="en-US"/>
        </w:rPr>
        <w:t>EFV: junto con LPV/r se recomienda aumentar la dosis de LPV/r a 600/150 mg c/12h.</w:t>
      </w:r>
    </w:p>
    <w:p w14:paraId="6B31FBE6"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lastRenderedPageBreak/>
        <w:t>29</w:t>
      </w:r>
      <w:r w:rsidRPr="00BA7B5F">
        <w:rPr>
          <w:rFonts w:asciiTheme="minorHAnsi" w:hAnsiTheme="minorHAnsi"/>
          <w:sz w:val="20"/>
          <w:szCs w:val="20"/>
          <w:lang w:eastAsia="en-US"/>
        </w:rPr>
        <w:t xml:space="preserve"> La ficha técnica de rilpivirina recomienda aumentar la dosis a 50 mg/dia en presencia de rifabutina, basado es estudios farmacocinéticos. Dado que no hay experiencia clínica con este ajuste de dosis, se recomienda valorar otras pautas de TAR.</w:t>
      </w:r>
    </w:p>
    <w:p w14:paraId="77998556" w14:textId="77777777" w:rsidR="00A53EA0" w:rsidRPr="00BA7B5F" w:rsidRDefault="00A53EA0" w:rsidP="00A53EA0">
      <w:pPr>
        <w:spacing w:after="200" w:line="276" w:lineRule="auto"/>
        <w:rPr>
          <w:rFonts w:asciiTheme="minorHAnsi" w:hAnsiTheme="minorHAnsi"/>
          <w:sz w:val="20"/>
          <w:szCs w:val="20"/>
          <w:lang w:val="es-ES_tradnl" w:eastAsia="en-US"/>
        </w:rPr>
      </w:pPr>
      <w:r w:rsidRPr="00DC41F4">
        <w:rPr>
          <w:rFonts w:asciiTheme="minorHAnsi" w:hAnsiTheme="minorHAnsi"/>
          <w:sz w:val="20"/>
          <w:szCs w:val="20"/>
          <w:highlight w:val="yellow"/>
          <w:vertAlign w:val="superscript"/>
          <w:lang w:val="es-ES_tradnl" w:eastAsia="en-US"/>
        </w:rPr>
        <w:t>30</w:t>
      </w:r>
      <w:r w:rsidRPr="00DC41F4">
        <w:rPr>
          <w:rFonts w:asciiTheme="minorHAnsi" w:hAnsiTheme="minorHAnsi"/>
          <w:sz w:val="20"/>
          <w:szCs w:val="20"/>
          <w:highlight w:val="yellow"/>
          <w:lang w:val="es-ES_tradnl" w:eastAsia="en-US"/>
        </w:rPr>
        <w:t xml:space="preserve"> Si no es posible evitar la coadministración, se recomienda reducir la dosis de olaparib a 100 mg dos veces al día (equivalente a una dosis total diaria de 200 mg).</w:t>
      </w:r>
    </w:p>
    <w:p w14:paraId="579D2BE7"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31</w:t>
      </w:r>
      <w:r w:rsidRPr="00BA7B5F">
        <w:rPr>
          <w:rFonts w:asciiTheme="minorHAnsi" w:hAnsiTheme="minorHAnsi"/>
          <w:sz w:val="20"/>
          <w:szCs w:val="20"/>
          <w:lang w:eastAsia="en-US"/>
        </w:rPr>
        <w:t xml:space="preserve"> Durante el tratamiento con ombitasvir/paritaprevir/ritonavir/dasabuvir puede administrarse ATV ó DRV suspendiendo temporalmente la potenciación con ritonavir, dado que el fármaco para el tratamiento del VHC ya va potenciado con ritonavir.</w:t>
      </w:r>
    </w:p>
    <w:p w14:paraId="43AA19E7" w14:textId="77777777" w:rsidR="00A53EA0" w:rsidRPr="00BA7B5F" w:rsidRDefault="00A53EA0" w:rsidP="00A53EA0">
      <w:pPr>
        <w:spacing w:after="200" w:line="276" w:lineRule="auto"/>
        <w:rPr>
          <w:rFonts w:asciiTheme="minorHAnsi" w:hAnsiTheme="minorHAnsi"/>
          <w:sz w:val="20"/>
          <w:szCs w:val="20"/>
          <w:lang w:eastAsia="en-US"/>
        </w:rPr>
      </w:pPr>
      <w:r w:rsidRPr="00BA7B5F">
        <w:rPr>
          <w:rFonts w:asciiTheme="minorHAnsi" w:hAnsiTheme="minorHAnsi"/>
          <w:sz w:val="20"/>
          <w:szCs w:val="20"/>
          <w:vertAlign w:val="superscript"/>
          <w:lang w:eastAsia="en-US"/>
        </w:rPr>
        <w:t xml:space="preserve">32 </w:t>
      </w:r>
      <w:r w:rsidRPr="00BA7B5F">
        <w:rPr>
          <w:rFonts w:asciiTheme="minorHAnsi" w:hAnsiTheme="minorHAnsi"/>
          <w:sz w:val="20"/>
          <w:szCs w:val="20"/>
          <w:lang w:eastAsia="en-US"/>
        </w:rPr>
        <w:t> Si la administración concomitante es inevitable, se debe reducir la dosis de palbociclib a 75 mg al día. Si se interrumpe la administración del inhibidor potente, se debe aumentar la dosis de palbociclib (tras 3-5 semividas del inhibidor: aprox 36-60h para los IP) hasta la dosis utilizada antes de comenzar la administración del inhibidor potente del CYP3A.</w:t>
      </w:r>
    </w:p>
    <w:p w14:paraId="6FB09CB7" w14:textId="77777777" w:rsidR="00A53EA0" w:rsidRPr="00BA7B5F" w:rsidRDefault="00A53EA0" w:rsidP="00A53EA0">
      <w:pPr>
        <w:spacing w:after="200" w:line="276" w:lineRule="auto"/>
        <w:rPr>
          <w:rFonts w:asciiTheme="minorHAnsi" w:hAnsiTheme="minorHAnsi"/>
          <w:sz w:val="20"/>
          <w:szCs w:val="20"/>
          <w:lang w:val="es-ES_tradnl" w:eastAsia="en-US"/>
        </w:rPr>
      </w:pPr>
      <w:r w:rsidRPr="00DC41F4">
        <w:rPr>
          <w:rFonts w:asciiTheme="minorHAnsi" w:hAnsiTheme="minorHAnsi"/>
          <w:sz w:val="20"/>
          <w:szCs w:val="20"/>
          <w:highlight w:val="yellow"/>
          <w:vertAlign w:val="superscript"/>
          <w:lang w:val="es-ES_tradnl" w:eastAsia="en-US"/>
        </w:rPr>
        <w:t>33</w:t>
      </w:r>
      <w:r w:rsidRPr="00DC41F4">
        <w:rPr>
          <w:rFonts w:asciiTheme="minorHAnsi" w:hAnsiTheme="minorHAnsi"/>
          <w:sz w:val="20"/>
          <w:szCs w:val="20"/>
          <w:highlight w:val="yellow"/>
          <w:lang w:val="es-ES_tradnl" w:eastAsia="en-US"/>
        </w:rPr>
        <w:t xml:space="preserve"> Se recomienda evitar la administración concomitante y si no es posible, reducir la dosis de pazopanib a 400mg/día y monitorizar las reacciones adversas y reducir la dosis de nuevo si se observan reacciones adversas relacionadas con el fármaco.</w:t>
      </w:r>
    </w:p>
    <w:p w14:paraId="6579049A" w14:textId="77777777" w:rsidR="00A53EA0" w:rsidRPr="00BA7B5F" w:rsidRDefault="00A53EA0" w:rsidP="00A53EA0">
      <w:pPr>
        <w:spacing w:after="200" w:line="276" w:lineRule="auto"/>
        <w:rPr>
          <w:rFonts w:asciiTheme="minorHAnsi" w:hAnsiTheme="minorHAnsi"/>
          <w:sz w:val="20"/>
          <w:szCs w:val="20"/>
          <w:lang w:val="es-ES_tradnl" w:eastAsia="en-US"/>
        </w:rPr>
      </w:pPr>
      <w:r w:rsidRPr="00DC41F4">
        <w:rPr>
          <w:rFonts w:asciiTheme="minorHAnsi" w:hAnsiTheme="minorHAnsi"/>
          <w:sz w:val="20"/>
          <w:szCs w:val="20"/>
          <w:highlight w:val="yellow"/>
          <w:vertAlign w:val="superscript"/>
          <w:lang w:val="es-ES_tradnl" w:eastAsia="en-US"/>
        </w:rPr>
        <w:t>34</w:t>
      </w:r>
      <w:r w:rsidRPr="00DC41F4">
        <w:rPr>
          <w:rFonts w:asciiTheme="minorHAnsi" w:hAnsiTheme="minorHAnsi"/>
          <w:sz w:val="20"/>
          <w:szCs w:val="20"/>
          <w:highlight w:val="yellow"/>
          <w:lang w:val="es-ES_tradnl" w:eastAsia="en-US"/>
        </w:rPr>
        <w:t xml:space="preserve"> Según ficha técnica, cuando se coadministre ponatinib con inhibidores potentes del CYP3A, se recomienda reducir la dosis inicial de ponatinib a 30 mg.</w:t>
      </w:r>
      <w:r>
        <w:rPr>
          <w:rFonts w:asciiTheme="minorHAnsi" w:hAnsiTheme="minorHAnsi"/>
          <w:sz w:val="20"/>
          <w:szCs w:val="20"/>
          <w:lang w:val="es-ES_tradnl" w:eastAsia="en-US"/>
        </w:rPr>
        <w:t xml:space="preserve"> </w:t>
      </w:r>
    </w:p>
    <w:p w14:paraId="6EB265FA" w14:textId="77777777" w:rsidR="00A53EA0" w:rsidRPr="00BA7B5F" w:rsidRDefault="00A53EA0" w:rsidP="00A53EA0">
      <w:pPr>
        <w:spacing w:after="200" w:line="276" w:lineRule="auto"/>
        <w:rPr>
          <w:rFonts w:asciiTheme="minorHAnsi" w:hAnsiTheme="minorHAnsi"/>
          <w:sz w:val="20"/>
          <w:szCs w:val="20"/>
          <w:lang w:val="es-ES_tradnl" w:eastAsia="en-US"/>
        </w:rPr>
      </w:pPr>
      <w:r w:rsidRPr="00BA7B5F">
        <w:rPr>
          <w:rFonts w:asciiTheme="minorHAnsi" w:hAnsiTheme="minorHAnsi"/>
          <w:sz w:val="20"/>
          <w:szCs w:val="20"/>
          <w:highlight w:val="yellow"/>
          <w:vertAlign w:val="superscript"/>
          <w:lang w:val="es-ES_tradnl" w:eastAsia="en-US"/>
        </w:rPr>
        <w:t>35</w:t>
      </w:r>
      <w:r w:rsidRPr="00BA7B5F">
        <w:rPr>
          <w:rFonts w:asciiTheme="minorHAnsi" w:hAnsiTheme="minorHAnsi"/>
          <w:sz w:val="20"/>
          <w:szCs w:val="20"/>
          <w:highlight w:val="yellow"/>
          <w:lang w:val="es-ES_tradnl" w:eastAsia="en-US"/>
        </w:rPr>
        <w:t xml:space="preserve"> Según ficha técnica, evitar el uso de ribociclib con los inhibidores potentes de CYP3A4 por riesgo de prolongación del intervalo QT clínicamente significativa. Si no se puede evitar, reducir la dosis a 400 mg/24h. Sin embargo, no hay datos clínicos con este ajuste y debido a la variabilidad interpaciente, se recomienda un seguimiento estrecho. En caso de toxicidad, reducir dosis o interrumpir el tratamiento temporalmente. Si se suspende el inhibidor potente de CYP3A4, después de al menos 5 semividas del inhibidor de CYP3A4, restablecer la dosis previa de ribociclib.</w:t>
      </w:r>
      <w:r w:rsidRPr="00BA7B5F">
        <w:rPr>
          <w:rFonts w:asciiTheme="minorHAnsi" w:hAnsiTheme="minorHAnsi"/>
          <w:sz w:val="20"/>
          <w:szCs w:val="20"/>
          <w:lang w:val="es-ES_tradnl" w:eastAsia="en-US"/>
        </w:rPr>
        <w:t xml:space="preserve"> </w:t>
      </w:r>
    </w:p>
    <w:p w14:paraId="4CFF2673" w14:textId="77777777" w:rsidR="00A53EA0" w:rsidRPr="00EE66A2" w:rsidRDefault="00A53EA0" w:rsidP="00A53EA0">
      <w:pPr>
        <w:spacing w:after="200" w:line="276" w:lineRule="auto"/>
        <w:rPr>
          <w:rFonts w:asciiTheme="minorHAnsi" w:hAnsiTheme="minorHAnsi"/>
          <w:sz w:val="20"/>
          <w:szCs w:val="20"/>
          <w:lang w:eastAsia="en-US"/>
        </w:rPr>
      </w:pPr>
      <w:r>
        <w:rPr>
          <w:rFonts w:asciiTheme="minorHAnsi" w:hAnsiTheme="minorHAnsi"/>
          <w:sz w:val="20"/>
          <w:szCs w:val="20"/>
          <w:vertAlign w:val="superscript"/>
          <w:lang w:eastAsia="en-US"/>
        </w:rPr>
        <w:t>36</w:t>
      </w:r>
      <w:r w:rsidRPr="00EE66A2">
        <w:rPr>
          <w:rFonts w:asciiTheme="minorHAnsi" w:hAnsiTheme="minorHAnsi"/>
          <w:sz w:val="20"/>
          <w:szCs w:val="20"/>
          <w:lang w:eastAsia="en-US"/>
        </w:rPr>
        <w:t xml:space="preserve"> silodosina: la ficha técnica de silodosina no recomienda el uso concomitante de inhibidores potentes del CYP3A4 (aumento del riesgo de hipotensión ortostática). En caso imprescindible, en pacientes que reciban ritonavir o cobicistat podría valorarse el uso de dosis bajas de tamsulosina 0,4 mg/día o silodosina  (empezar con 4 mg al día). Como alfabloqueantes no uroselectivos podrían emplearse terazosina (que se metaboliza mínimamente en el hígado)  u otros con mayor metabolismo hepático que  deberán iniciarse dosis bajas y con estrecha monitorización, como doxazoxina ó prazosina. El inhibidor de la 5-alfa-reductasa finasterida es metabolizado mediante el YP3A4 pero tiene amplio margen terapéutico</w:t>
      </w:r>
      <w:r>
        <w:rPr>
          <w:rFonts w:asciiTheme="minorHAnsi" w:hAnsiTheme="minorHAnsi"/>
          <w:sz w:val="20"/>
          <w:szCs w:val="20"/>
          <w:lang w:eastAsia="en-US"/>
        </w:rPr>
        <w:t>.</w:t>
      </w:r>
    </w:p>
    <w:p w14:paraId="7372E2B7" w14:textId="77777777" w:rsidR="00A53EA0" w:rsidRPr="00EE66A2" w:rsidRDefault="00A53EA0" w:rsidP="00A53EA0">
      <w:pPr>
        <w:rPr>
          <w:rFonts w:asciiTheme="minorHAnsi" w:hAnsiTheme="minorHAnsi"/>
          <w:sz w:val="20"/>
          <w:szCs w:val="20"/>
          <w:lang w:eastAsia="en-US"/>
        </w:rPr>
      </w:pPr>
      <w:r>
        <w:rPr>
          <w:rFonts w:asciiTheme="minorHAnsi" w:hAnsiTheme="minorHAnsi"/>
          <w:sz w:val="20"/>
          <w:szCs w:val="20"/>
          <w:vertAlign w:val="superscript"/>
          <w:lang w:eastAsia="en-US"/>
        </w:rPr>
        <w:t>37</w:t>
      </w:r>
      <w:r w:rsidRPr="00EE66A2">
        <w:rPr>
          <w:rFonts w:asciiTheme="minorHAnsi" w:hAnsiTheme="minorHAnsi"/>
          <w:sz w:val="20"/>
          <w:szCs w:val="20"/>
          <w:lang w:eastAsia="en-US"/>
        </w:rPr>
        <w:t xml:space="preserve"> Evitar el uso de inhibidores potentes del CYP3A4 con sunitinib (aumento del riesgo de prolongación del intervalo QT). Si esto no es posible, puede que sea necesario reducir las dosis de sunitinib hasta un mínimo de 37,5 mg al día en el caso de tumor del estroma gastrointestinal (GIST) y  carcinoma de células renales metastásico (CCRM) o de 25 mg al día para tumores neuro</w:t>
      </w:r>
      <w:r>
        <w:rPr>
          <w:rFonts w:asciiTheme="minorHAnsi" w:hAnsiTheme="minorHAnsi"/>
          <w:sz w:val="20"/>
          <w:szCs w:val="20"/>
          <w:lang w:eastAsia="en-US"/>
        </w:rPr>
        <w:t xml:space="preserve">endocrinos pancreáticos (pNET), </w:t>
      </w:r>
      <w:r w:rsidRPr="00EE66A2">
        <w:rPr>
          <w:rFonts w:asciiTheme="minorHAnsi" w:hAnsiTheme="minorHAnsi"/>
          <w:sz w:val="20"/>
          <w:szCs w:val="20"/>
          <w:lang w:eastAsia="en-US"/>
        </w:rPr>
        <w:t>junto con una cuidadosa monitorización de la tolerabilidad.</w:t>
      </w:r>
    </w:p>
    <w:p w14:paraId="197077A0" w14:textId="77777777" w:rsidR="00A53EA0" w:rsidRPr="00EE66A2" w:rsidRDefault="00A53EA0" w:rsidP="00A53EA0">
      <w:pPr>
        <w:rPr>
          <w:rFonts w:asciiTheme="minorHAnsi" w:hAnsiTheme="minorHAnsi"/>
          <w:sz w:val="20"/>
          <w:szCs w:val="20"/>
          <w:lang w:eastAsia="en-US"/>
        </w:rPr>
      </w:pPr>
    </w:p>
    <w:p w14:paraId="0AA9F365" w14:textId="77777777" w:rsidR="00A53EA0" w:rsidRPr="00EE66A2" w:rsidRDefault="00A53EA0" w:rsidP="00A53EA0">
      <w:pPr>
        <w:rPr>
          <w:rFonts w:asciiTheme="minorHAnsi" w:hAnsiTheme="minorHAnsi"/>
          <w:sz w:val="20"/>
          <w:szCs w:val="20"/>
          <w:lang w:eastAsia="en-US"/>
        </w:rPr>
      </w:pPr>
      <w:r>
        <w:rPr>
          <w:rFonts w:asciiTheme="minorHAnsi" w:hAnsiTheme="minorHAnsi"/>
          <w:sz w:val="20"/>
          <w:szCs w:val="20"/>
          <w:vertAlign w:val="superscript"/>
          <w:lang w:eastAsia="en-US"/>
        </w:rPr>
        <w:t xml:space="preserve">38 </w:t>
      </w:r>
      <w:r w:rsidRPr="00EE66A2">
        <w:rPr>
          <w:rFonts w:asciiTheme="minorHAnsi" w:hAnsiTheme="minorHAnsi"/>
          <w:sz w:val="20"/>
          <w:szCs w:val="20"/>
          <w:lang w:eastAsia="en-US"/>
        </w:rPr>
        <w:t xml:space="preserve">Prasugrel supone una alternativa más segura desde el punto de vista de las interacciones. A pesar que es metabolizado mediante el CYP3A4, ni inductores potentes ni inhibidores potentes modificaron </w:t>
      </w:r>
      <w:r w:rsidRPr="004E2797">
        <w:rPr>
          <w:rFonts w:asciiTheme="minorHAnsi" w:hAnsiTheme="minorHAnsi"/>
          <w:sz w:val="20"/>
          <w:szCs w:val="20"/>
          <w:highlight w:val="yellow"/>
          <w:lang w:eastAsia="en-US"/>
        </w:rPr>
        <w:t>su eficacia antiagregante plaquetaria</w:t>
      </w:r>
      <w:r w:rsidRPr="00EE66A2">
        <w:rPr>
          <w:rFonts w:asciiTheme="minorHAnsi" w:hAnsiTheme="minorHAnsi"/>
          <w:sz w:val="20"/>
          <w:szCs w:val="20"/>
          <w:lang w:eastAsia="en-US"/>
        </w:rPr>
        <w:t xml:space="preserve">. No se recomienda el uso de prasugrel en edad ≥75 años, por aumento del riesgo de hemorragia. </w:t>
      </w:r>
    </w:p>
    <w:p w14:paraId="34EB1AFF" w14:textId="77777777" w:rsidR="00A53EA0" w:rsidRPr="00EE66A2" w:rsidRDefault="00A53EA0" w:rsidP="00A53EA0">
      <w:pPr>
        <w:rPr>
          <w:rFonts w:asciiTheme="minorHAnsi" w:hAnsiTheme="minorHAnsi"/>
          <w:sz w:val="20"/>
          <w:szCs w:val="20"/>
          <w:lang w:eastAsia="en-US"/>
        </w:rPr>
      </w:pPr>
    </w:p>
    <w:p w14:paraId="3A77700B" w14:textId="77777777" w:rsidR="00A53EA0" w:rsidRDefault="00A53EA0" w:rsidP="00A53EA0">
      <w:pPr>
        <w:rPr>
          <w:rFonts w:asciiTheme="minorHAnsi" w:hAnsiTheme="minorHAnsi"/>
          <w:sz w:val="20"/>
          <w:szCs w:val="20"/>
          <w:lang w:eastAsia="en-US"/>
        </w:rPr>
      </w:pPr>
      <w:r>
        <w:rPr>
          <w:rFonts w:asciiTheme="minorHAnsi" w:hAnsiTheme="minorHAnsi"/>
          <w:sz w:val="20"/>
          <w:szCs w:val="20"/>
          <w:vertAlign w:val="superscript"/>
          <w:lang w:eastAsia="en-US"/>
        </w:rPr>
        <w:t>39</w:t>
      </w:r>
      <w:r w:rsidRPr="00EE66A2">
        <w:rPr>
          <w:rFonts w:asciiTheme="minorHAnsi" w:hAnsiTheme="minorHAnsi"/>
          <w:sz w:val="20"/>
          <w:szCs w:val="20"/>
          <w:vertAlign w:val="superscript"/>
          <w:lang w:eastAsia="en-US"/>
        </w:rPr>
        <w:t xml:space="preserve"> </w:t>
      </w:r>
      <w:r w:rsidRPr="00EE66A2">
        <w:rPr>
          <w:rFonts w:asciiTheme="minorHAnsi" w:hAnsiTheme="minorHAnsi"/>
          <w:sz w:val="20"/>
          <w:szCs w:val="20"/>
          <w:lang w:eastAsia="en-US"/>
        </w:rPr>
        <w:t xml:space="preserve">tolterodina prolonga el intervalo QTc. La ruta metabólica principal está mediada por el enzima polimórfico CYP2D6, formando un metabolito 5-hidroximetílico con igual actividad al fármaco de origen. Un 7% de la población son metabolizadores lentos y en ellos las concentraciones plasmáticas son unas 7 veces mayores y el CYP3A4 pasa a ocupar un papel importante en el metabolismo. Si se añade un </w:t>
      </w:r>
      <w:r w:rsidRPr="00EE66A2">
        <w:rPr>
          <w:rFonts w:asciiTheme="minorHAnsi" w:hAnsiTheme="minorHAnsi"/>
          <w:sz w:val="20"/>
          <w:szCs w:val="20"/>
          <w:lang w:eastAsia="en-US"/>
        </w:rPr>
        <w:lastRenderedPageBreak/>
        <w:t xml:space="preserve">fármaco que es inhibidor potente del CYP3A4 como ritonavir o cobicistat las concentraciones de tolterodina podrían ser todavía mayores y aumentar el riesgo de prolongación del QT.  </w:t>
      </w:r>
    </w:p>
    <w:p w14:paraId="131233CF" w14:textId="77777777" w:rsidR="00A53EA0" w:rsidRDefault="00A53EA0" w:rsidP="00A53EA0">
      <w:pPr>
        <w:spacing w:before="120" w:after="120"/>
        <w:jc w:val="both"/>
        <w:rPr>
          <w:rFonts w:asciiTheme="minorHAnsi" w:hAnsiTheme="minorHAnsi"/>
          <w:sz w:val="20"/>
          <w:szCs w:val="20"/>
          <w:lang w:val="es-ES_tradnl"/>
        </w:rPr>
      </w:pPr>
      <w:r>
        <w:rPr>
          <w:rFonts w:asciiTheme="minorHAnsi" w:hAnsiTheme="minorHAnsi"/>
          <w:sz w:val="20"/>
          <w:szCs w:val="20"/>
          <w:highlight w:val="yellow"/>
          <w:vertAlign w:val="superscript"/>
          <w:lang w:val="es-ES_tradnl"/>
        </w:rPr>
        <w:t>40</w:t>
      </w:r>
      <w:r w:rsidRPr="00EE66A2">
        <w:rPr>
          <w:rFonts w:asciiTheme="minorHAnsi" w:hAnsiTheme="minorHAnsi"/>
          <w:sz w:val="20"/>
          <w:szCs w:val="20"/>
          <w:highlight w:val="yellow"/>
          <w:lang w:val="es-ES_tradnl"/>
        </w:rPr>
        <w:t xml:space="preserve"> Según datos de ficha técnica, el uso concomitante de venetoclax con i</w:t>
      </w:r>
      <w:r>
        <w:rPr>
          <w:rFonts w:asciiTheme="minorHAnsi" w:hAnsiTheme="minorHAnsi"/>
          <w:sz w:val="20"/>
          <w:szCs w:val="20"/>
          <w:highlight w:val="yellow"/>
          <w:lang w:val="es-ES_tradnl"/>
        </w:rPr>
        <w:t>nhibidores potentes del CYP3A4</w:t>
      </w:r>
      <w:r w:rsidRPr="00EE66A2">
        <w:rPr>
          <w:rFonts w:asciiTheme="minorHAnsi" w:hAnsiTheme="minorHAnsi"/>
          <w:sz w:val="20"/>
          <w:szCs w:val="20"/>
          <w:highlight w:val="yellow"/>
          <w:lang w:val="es-ES_tradnl"/>
        </w:rPr>
        <w:t>, está contraindicado al inicio y durante la fase de ajuste de la dosis debido al mayor riesgo de síndrome de lisis tumoral. Durante esta fase debería valorarse un cambio de TAR como por ejemplo a raltegravir, dolutegravir o bictegravir. Para los pacientes que hayan completado la fase de ajuste de dosis y estén recibiendo una dosis diaria constante de venetoclax, si el uso de ritonavir/cobicistat es imprescindible, la dosis de venetoclax debe reducirse a un 25% (reducción del 75%). Se recomienda monitorización estrecha de efectos adversos y ajustar la dosis si es necesario. En caso de cambio de TAR a otro que no sea inhibidor potente del CYP3A4, deberá restablecerse la dosis estándar de venetoclax a los 2 ó 3 días después de la interrupción del IP o cobicistat.</w:t>
      </w:r>
    </w:p>
    <w:p w14:paraId="3C5A4F8F" w14:textId="77777777" w:rsidR="00A53EA0" w:rsidRPr="001722B1" w:rsidRDefault="00A53EA0" w:rsidP="00A53EA0">
      <w:pPr>
        <w:rPr>
          <w:rFonts w:asciiTheme="minorHAnsi" w:hAnsiTheme="minorHAnsi"/>
          <w:sz w:val="20"/>
          <w:szCs w:val="20"/>
          <w:lang w:eastAsia="en-US"/>
        </w:rPr>
      </w:pPr>
      <w:r w:rsidRPr="001722B1">
        <w:rPr>
          <w:rFonts w:asciiTheme="minorHAnsi" w:hAnsiTheme="minorHAnsi"/>
          <w:sz w:val="20"/>
          <w:szCs w:val="20"/>
          <w:vertAlign w:val="superscript"/>
          <w:lang w:eastAsia="en-US"/>
        </w:rPr>
        <w:t>41</w:t>
      </w:r>
      <w:r w:rsidRPr="001722B1">
        <w:rPr>
          <w:rFonts w:asciiTheme="minorHAnsi" w:hAnsiTheme="minorHAnsi"/>
          <w:sz w:val="20"/>
          <w:szCs w:val="20"/>
          <w:lang w:eastAsia="en-US"/>
        </w:rPr>
        <w:t xml:space="preserve"> voriconazol: no debe emplearse a menos que una evaluación riesgo-beneficio justifique el uso. Se debe determinar, si es posible, el genotipo CYP2C19 de los pacientes. Si la combinación es inevitable, las recomendaciones según el estatus del CYP2C19 son las siguientes: a)  en pacientes con al menos un alelo CYP2C19 funcional, se recomienda estrecha monitorización clínica por la pérdida de eficacia de ambos fármacos. b) en pacientes sin un alelo CYP2C19 funcional, se recomienda realizar una estrecha monitorización de las reacciones adversas asociadas a voriconazol (ficha técnica de Reyataz®).</w:t>
      </w:r>
    </w:p>
    <w:p w14:paraId="6FAB061A" w14:textId="77777777" w:rsidR="00A53EA0" w:rsidRPr="00EE66A2" w:rsidRDefault="00A53EA0" w:rsidP="00A53EA0">
      <w:pPr>
        <w:spacing w:before="120" w:after="120"/>
        <w:jc w:val="both"/>
        <w:rPr>
          <w:rFonts w:asciiTheme="minorHAnsi" w:hAnsiTheme="minorHAnsi"/>
          <w:sz w:val="20"/>
          <w:szCs w:val="20"/>
          <w:highlight w:val="yellow"/>
          <w:lang w:val="es-ES_tradnl"/>
        </w:rPr>
      </w:pPr>
      <w:r>
        <w:rPr>
          <w:rFonts w:asciiTheme="minorHAnsi" w:hAnsiTheme="minorHAnsi"/>
          <w:sz w:val="20"/>
          <w:szCs w:val="20"/>
          <w:highlight w:val="yellow"/>
          <w:vertAlign w:val="superscript"/>
        </w:rPr>
        <w:t>42</w:t>
      </w:r>
      <w:r w:rsidRPr="00EE66A2">
        <w:rPr>
          <w:rFonts w:asciiTheme="minorHAnsi" w:hAnsiTheme="minorHAnsi"/>
          <w:sz w:val="20"/>
          <w:szCs w:val="20"/>
          <w:highlight w:val="yellow"/>
        </w:rPr>
        <w:t xml:space="preserve"> </w:t>
      </w:r>
      <w:r w:rsidRPr="00EE66A2">
        <w:rPr>
          <w:rFonts w:asciiTheme="minorHAnsi" w:hAnsiTheme="minorHAnsi"/>
          <w:sz w:val="20"/>
          <w:szCs w:val="20"/>
          <w:highlight w:val="yellow"/>
          <w:lang w:eastAsia="en-US"/>
        </w:rPr>
        <w:t>El efecto resultante de la interacción no está bien establecido (EFV es un inductor moderado del CYP3A4 y un inhibidor de MRP2). Hasta no disponer de más datos, se recomienda evitar la coadministración.</w:t>
      </w:r>
    </w:p>
    <w:p w14:paraId="0F15F588" w14:textId="77777777" w:rsidR="00A53EA0" w:rsidRPr="00EE66A2" w:rsidRDefault="00A53EA0" w:rsidP="00A53EA0">
      <w:pPr>
        <w:spacing w:before="120" w:after="120"/>
        <w:jc w:val="both"/>
        <w:rPr>
          <w:rFonts w:asciiTheme="minorHAnsi" w:hAnsiTheme="minorHAnsi"/>
          <w:sz w:val="20"/>
          <w:szCs w:val="20"/>
          <w:highlight w:val="yellow"/>
          <w:lang w:val="es-ES_tradnl"/>
        </w:rPr>
      </w:pPr>
      <w:r>
        <w:rPr>
          <w:rFonts w:asciiTheme="minorHAnsi" w:hAnsiTheme="minorHAnsi"/>
          <w:sz w:val="20"/>
          <w:szCs w:val="20"/>
          <w:highlight w:val="yellow"/>
          <w:vertAlign w:val="superscript"/>
          <w:lang w:val="es-ES_tradnl"/>
        </w:rPr>
        <w:t>43</w:t>
      </w:r>
      <w:r w:rsidRPr="00EE66A2">
        <w:rPr>
          <w:rFonts w:asciiTheme="minorHAnsi" w:hAnsiTheme="minorHAnsi"/>
          <w:sz w:val="20"/>
          <w:szCs w:val="20"/>
          <w:highlight w:val="yellow"/>
        </w:rPr>
        <w:t xml:space="preserve"> </w:t>
      </w:r>
      <w:r w:rsidRPr="00AD3C58">
        <w:rPr>
          <w:rFonts w:asciiTheme="minorHAnsi" w:hAnsiTheme="minorHAnsi"/>
          <w:sz w:val="20"/>
          <w:szCs w:val="20"/>
          <w:highlight w:val="yellow"/>
          <w:lang w:val="es-ES_tradnl"/>
        </w:rPr>
        <w:t xml:space="preserve">Según la ficha técnica </w:t>
      </w:r>
      <w:r>
        <w:rPr>
          <w:rFonts w:asciiTheme="minorHAnsi" w:hAnsiTheme="minorHAnsi"/>
          <w:sz w:val="20"/>
          <w:szCs w:val="20"/>
          <w:highlight w:val="yellow"/>
          <w:lang w:val="es-ES_tradnl"/>
        </w:rPr>
        <w:t>europea precaución con inhibidores potentes del CYP3A4. Según la</w:t>
      </w:r>
      <w:r w:rsidRPr="00EE66A2">
        <w:rPr>
          <w:rFonts w:asciiTheme="minorHAnsi" w:hAnsiTheme="minorHAnsi"/>
          <w:sz w:val="20"/>
          <w:szCs w:val="20"/>
          <w:highlight w:val="yellow"/>
          <w:lang w:val="es-ES_tradnl"/>
        </w:rPr>
        <w:t xml:space="preserve"> ficha técnica americana</w:t>
      </w:r>
      <w:r>
        <w:rPr>
          <w:rFonts w:asciiTheme="minorHAnsi" w:hAnsiTheme="minorHAnsi"/>
          <w:sz w:val="20"/>
          <w:szCs w:val="20"/>
          <w:highlight w:val="yellow"/>
          <w:lang w:val="es-ES_tradnl"/>
        </w:rPr>
        <w:t xml:space="preserve"> evitar la asociación y, en caso de no poder evitarl</w:t>
      </w:r>
      <w:r w:rsidRPr="00EE66A2">
        <w:rPr>
          <w:rFonts w:asciiTheme="minorHAnsi" w:hAnsiTheme="minorHAnsi"/>
          <w:sz w:val="20"/>
          <w:szCs w:val="20"/>
          <w:highlight w:val="yellow"/>
          <w:lang w:val="es-ES_tradnl"/>
        </w:rPr>
        <w:t>a, reducir la dosis de cabozantinib en 20 mg (por ej: de 60 mg a 40 mg/día o de 40 mg a 20 mg/día) y reanudar la dosis que se usó antes de iniciar el inhibidor del CYP3A4 al cabo de 2 o 3 días después de la interrupción del inhibidor potente del CYP3A4.</w:t>
      </w:r>
    </w:p>
    <w:p w14:paraId="58790D0A" w14:textId="77777777" w:rsidR="00A53EA0" w:rsidRPr="001722B1" w:rsidRDefault="00A53EA0" w:rsidP="00A53EA0">
      <w:pPr>
        <w:spacing w:before="120" w:after="120"/>
        <w:jc w:val="both"/>
        <w:rPr>
          <w:rFonts w:asciiTheme="minorHAnsi" w:hAnsiTheme="minorHAnsi"/>
          <w:sz w:val="20"/>
          <w:szCs w:val="20"/>
        </w:rPr>
      </w:pPr>
      <w:r w:rsidRPr="00517651">
        <w:rPr>
          <w:rFonts w:asciiTheme="minorHAnsi" w:hAnsiTheme="minorHAnsi"/>
          <w:sz w:val="20"/>
          <w:szCs w:val="20"/>
          <w:highlight w:val="yellow"/>
          <w:vertAlign w:val="superscript"/>
        </w:rPr>
        <w:t>44</w:t>
      </w:r>
      <w:r w:rsidRPr="00517651">
        <w:rPr>
          <w:rFonts w:asciiTheme="minorHAnsi" w:hAnsiTheme="minorHAnsi"/>
          <w:sz w:val="20"/>
          <w:szCs w:val="20"/>
          <w:highlight w:val="yellow"/>
        </w:rPr>
        <w:t xml:space="preserve"> En cambio no existe riesgo de interacción con lidocaína a dosis bajas para la administración de intramusculares.</w:t>
      </w:r>
      <w:r w:rsidRPr="001722B1">
        <w:rPr>
          <w:rFonts w:asciiTheme="minorHAnsi" w:hAnsiTheme="minorHAnsi"/>
          <w:sz w:val="20"/>
          <w:szCs w:val="20"/>
        </w:rPr>
        <w:t xml:space="preserve"> </w:t>
      </w:r>
    </w:p>
    <w:p w14:paraId="36F62009" w14:textId="77777777" w:rsidR="00A53EA0" w:rsidRPr="001722B1" w:rsidRDefault="00A53EA0" w:rsidP="00A53EA0">
      <w:pPr>
        <w:spacing w:before="120" w:after="120"/>
        <w:jc w:val="both"/>
        <w:rPr>
          <w:rFonts w:asciiTheme="minorHAnsi" w:hAnsiTheme="minorHAnsi"/>
          <w:sz w:val="20"/>
          <w:szCs w:val="20"/>
        </w:rPr>
      </w:pPr>
    </w:p>
    <w:p w14:paraId="5BF02373" w14:textId="3423AAFB" w:rsidR="002A6ADA" w:rsidRDefault="002A6ADA">
      <w:pPr>
        <w:rPr>
          <w:rFonts w:ascii="Arial" w:hAnsi="Arial" w:cs="Arial"/>
          <w:sz w:val="18"/>
          <w:szCs w:val="18"/>
        </w:rPr>
      </w:pPr>
      <w:r>
        <w:rPr>
          <w:rFonts w:ascii="Arial" w:hAnsi="Arial" w:cs="Arial"/>
          <w:sz w:val="18"/>
          <w:szCs w:val="18"/>
        </w:rPr>
        <w:br w:type="page"/>
      </w:r>
    </w:p>
    <w:p w14:paraId="0A7CF4BE" w14:textId="77777777" w:rsidR="007A7F0D" w:rsidRPr="003F3B0A" w:rsidRDefault="007A7F0D" w:rsidP="007A7F0D">
      <w:pPr>
        <w:snapToGrid w:val="0"/>
        <w:spacing w:before="120" w:after="120"/>
        <w:rPr>
          <w:rFonts w:ascii="Arial" w:hAnsi="Arial" w:cs="Arial"/>
          <w:b/>
          <w:noProof/>
          <w:color w:val="AE1C1F"/>
        </w:rPr>
      </w:pPr>
      <w:r w:rsidRPr="003F3B0A">
        <w:rPr>
          <w:rFonts w:ascii="Arial" w:hAnsi="Arial" w:cs="Arial"/>
          <w:b/>
          <w:color w:val="AE1C1F"/>
          <w:lang w:eastAsia="en-US"/>
        </w:rPr>
        <w:lastRenderedPageBreak/>
        <w:t>Tabla 10.</w:t>
      </w:r>
      <w:r w:rsidRPr="003F3B0A">
        <w:rPr>
          <w:rFonts w:ascii="Arial" w:hAnsi="Arial" w:cs="Arial"/>
          <w:b/>
          <w:noProof/>
          <w:color w:val="AE1C1F"/>
        </w:rPr>
        <w:t xml:space="preserve"> Manejo del TAR en distintas situaciones de la gestación </w:t>
      </w:r>
    </w:p>
    <w:p w14:paraId="76C5E09B" w14:textId="77777777" w:rsidR="007A7F0D" w:rsidRPr="003F3B0A" w:rsidRDefault="007A7F0D" w:rsidP="007A7F0D">
      <w:pPr>
        <w:snapToGrid w:val="0"/>
        <w:spacing w:before="120" w:after="120"/>
        <w:rPr>
          <w:rFonts w:ascii="Calibri" w:hAnsi="Calibri"/>
          <w:b/>
          <w:noProof/>
          <w:color w:val="006600"/>
          <w:sz w:val="22"/>
          <w:szCs w:val="22"/>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1737"/>
        <w:gridCol w:w="2976"/>
        <w:gridCol w:w="2268"/>
      </w:tblGrid>
      <w:tr w:rsidR="007A7F0D" w:rsidRPr="003F3B0A" w14:paraId="1FCA7C98" w14:textId="77777777" w:rsidTr="005476CD">
        <w:tc>
          <w:tcPr>
            <w:tcW w:w="2161" w:type="dxa"/>
            <w:shd w:val="clear" w:color="auto" w:fill="FBE4D5"/>
            <w:vAlign w:val="center"/>
          </w:tcPr>
          <w:p w14:paraId="2046945E" w14:textId="77777777" w:rsidR="007A7F0D" w:rsidRPr="003F3B0A" w:rsidRDefault="007A7F0D" w:rsidP="005476CD">
            <w:pPr>
              <w:autoSpaceDE w:val="0"/>
              <w:autoSpaceDN w:val="0"/>
              <w:adjustRightInd w:val="0"/>
              <w:spacing w:before="120" w:after="120"/>
              <w:jc w:val="center"/>
              <w:rPr>
                <w:rFonts w:ascii="Arial" w:hAnsi="Arial" w:cs="Arial"/>
                <w:b/>
                <w:bCs/>
                <w:color w:val="006600"/>
                <w:lang w:val="es-ES_tradnl" w:eastAsia="en-US"/>
              </w:rPr>
            </w:pPr>
          </w:p>
        </w:tc>
        <w:tc>
          <w:tcPr>
            <w:tcW w:w="1737" w:type="dxa"/>
            <w:shd w:val="clear" w:color="auto" w:fill="FBE4D5"/>
            <w:vAlign w:val="center"/>
          </w:tcPr>
          <w:p w14:paraId="4EB6AFF1" w14:textId="77777777" w:rsidR="007A7F0D" w:rsidRPr="003F3B0A" w:rsidRDefault="007A7F0D" w:rsidP="005476CD">
            <w:pPr>
              <w:autoSpaceDE w:val="0"/>
              <w:autoSpaceDN w:val="0"/>
              <w:adjustRightInd w:val="0"/>
              <w:spacing w:before="120" w:after="120"/>
              <w:jc w:val="center"/>
              <w:rPr>
                <w:rFonts w:ascii="Arial" w:hAnsi="Arial" w:cs="Arial"/>
                <w:b/>
                <w:color w:val="AE1C1F"/>
                <w:lang w:val="es-ES_tradnl" w:eastAsia="en-US"/>
              </w:rPr>
            </w:pPr>
            <w:r w:rsidRPr="003F3B0A">
              <w:rPr>
                <w:rFonts w:ascii="Arial" w:hAnsi="Arial" w:cs="Arial"/>
                <w:b/>
                <w:color w:val="AE1C1F"/>
                <w:sz w:val="22"/>
                <w:szCs w:val="22"/>
                <w:lang w:val="es-ES_tradnl" w:eastAsia="en-US"/>
              </w:rPr>
              <w:t>Semana inicio del TAR</w:t>
            </w:r>
          </w:p>
        </w:tc>
        <w:tc>
          <w:tcPr>
            <w:tcW w:w="2976" w:type="dxa"/>
            <w:shd w:val="clear" w:color="auto" w:fill="FBE4D5"/>
            <w:vAlign w:val="center"/>
          </w:tcPr>
          <w:p w14:paraId="51888991" w14:textId="77777777" w:rsidR="007A7F0D" w:rsidRPr="003F3B0A" w:rsidRDefault="007A7F0D" w:rsidP="005476CD">
            <w:pPr>
              <w:autoSpaceDE w:val="0"/>
              <w:autoSpaceDN w:val="0"/>
              <w:adjustRightInd w:val="0"/>
              <w:spacing w:before="120" w:after="120"/>
              <w:jc w:val="center"/>
              <w:rPr>
                <w:rFonts w:ascii="Arial" w:hAnsi="Arial" w:cs="Arial"/>
                <w:b/>
                <w:color w:val="AE1C1F"/>
                <w:lang w:val="es-ES_tradnl" w:eastAsia="en-US"/>
              </w:rPr>
            </w:pPr>
            <w:r w:rsidRPr="003F3B0A">
              <w:rPr>
                <w:rFonts w:ascii="Arial" w:hAnsi="Arial" w:cs="Arial"/>
                <w:b/>
                <w:color w:val="AE1C1F"/>
                <w:sz w:val="22"/>
                <w:szCs w:val="22"/>
                <w:lang w:val="es-ES_tradnl" w:eastAsia="en-US"/>
              </w:rPr>
              <w:t>Fármacos</w:t>
            </w:r>
          </w:p>
        </w:tc>
        <w:tc>
          <w:tcPr>
            <w:tcW w:w="2268" w:type="dxa"/>
            <w:shd w:val="clear" w:color="auto" w:fill="FBE4D5"/>
            <w:vAlign w:val="center"/>
          </w:tcPr>
          <w:p w14:paraId="7E12516B" w14:textId="77777777" w:rsidR="007A7F0D" w:rsidRPr="003F3B0A" w:rsidRDefault="007A7F0D" w:rsidP="005476CD">
            <w:pPr>
              <w:autoSpaceDE w:val="0"/>
              <w:autoSpaceDN w:val="0"/>
              <w:adjustRightInd w:val="0"/>
              <w:spacing w:before="120" w:after="120"/>
              <w:jc w:val="center"/>
              <w:rPr>
                <w:rFonts w:ascii="Arial" w:hAnsi="Arial" w:cs="Arial"/>
                <w:b/>
                <w:color w:val="AE1C1F"/>
                <w:lang w:val="es-ES_tradnl" w:eastAsia="en-US"/>
              </w:rPr>
            </w:pPr>
            <w:r w:rsidRPr="003F3B0A">
              <w:rPr>
                <w:rFonts w:ascii="Arial" w:hAnsi="Arial" w:cs="Arial"/>
                <w:b/>
                <w:color w:val="AE1C1F"/>
                <w:sz w:val="22"/>
                <w:szCs w:val="22"/>
                <w:lang w:val="es-ES_tradnl" w:eastAsia="en-US"/>
              </w:rPr>
              <w:t>Comentarios</w:t>
            </w:r>
          </w:p>
        </w:tc>
      </w:tr>
      <w:tr w:rsidR="007A7F0D" w:rsidRPr="003F3B0A" w14:paraId="2740D35A" w14:textId="77777777" w:rsidTr="005476CD">
        <w:tc>
          <w:tcPr>
            <w:tcW w:w="2161" w:type="dxa"/>
          </w:tcPr>
          <w:p w14:paraId="361A9D79" w14:textId="77777777" w:rsidR="007A7F0D" w:rsidRPr="003F3B0A" w:rsidRDefault="007A7F0D" w:rsidP="005476CD">
            <w:pPr>
              <w:autoSpaceDE w:val="0"/>
              <w:autoSpaceDN w:val="0"/>
              <w:adjustRightInd w:val="0"/>
              <w:spacing w:before="120" w:after="120"/>
              <w:rPr>
                <w:rFonts w:ascii="Arial" w:hAnsi="Arial" w:cs="Arial"/>
                <w:b/>
                <w:bCs/>
                <w:lang w:val="es-ES_tradnl" w:eastAsia="en-US"/>
              </w:rPr>
            </w:pPr>
            <w:r w:rsidRPr="003F3B0A">
              <w:rPr>
                <w:rFonts w:ascii="Arial" w:hAnsi="Arial" w:cs="Arial"/>
                <w:b/>
                <w:bCs/>
                <w:sz w:val="22"/>
                <w:szCs w:val="22"/>
                <w:lang w:val="es-ES_tradnl" w:eastAsia="en-US"/>
              </w:rPr>
              <w:t>Gestante sin tratamiento</w:t>
            </w:r>
            <w:r w:rsidRPr="003F3B0A">
              <w:rPr>
                <w:rFonts w:ascii="Arial" w:hAnsi="Arial" w:cs="Arial"/>
                <w:b/>
                <w:bCs/>
                <w:sz w:val="22"/>
                <w:szCs w:val="22"/>
                <w:vertAlign w:val="superscript"/>
                <w:lang w:val="es-ES_tradnl" w:eastAsia="en-US"/>
              </w:rPr>
              <w:t>1</w:t>
            </w:r>
          </w:p>
          <w:p w14:paraId="36180506" w14:textId="77777777" w:rsidR="007A7F0D" w:rsidRPr="003F3B0A" w:rsidRDefault="007A7F0D" w:rsidP="005476CD">
            <w:pPr>
              <w:autoSpaceDE w:val="0"/>
              <w:autoSpaceDN w:val="0"/>
              <w:adjustRightInd w:val="0"/>
              <w:spacing w:before="120" w:after="120"/>
              <w:rPr>
                <w:rFonts w:ascii="Arial" w:hAnsi="Arial" w:cs="Arial"/>
                <w:b/>
                <w:bCs/>
                <w:lang w:val="es-ES_tradnl" w:eastAsia="en-US"/>
              </w:rPr>
            </w:pPr>
          </w:p>
        </w:tc>
        <w:tc>
          <w:tcPr>
            <w:tcW w:w="1737" w:type="dxa"/>
          </w:tcPr>
          <w:p w14:paraId="52857764"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Inicio lo más precoz posible</w:t>
            </w:r>
          </w:p>
        </w:tc>
        <w:tc>
          <w:tcPr>
            <w:tcW w:w="2976" w:type="dxa"/>
          </w:tcPr>
          <w:p w14:paraId="65422AB7" w14:textId="77777777" w:rsidR="007A7F0D" w:rsidRPr="003F3B0A" w:rsidRDefault="007A7F0D" w:rsidP="005476CD">
            <w:pPr>
              <w:autoSpaceDE w:val="0"/>
              <w:autoSpaceDN w:val="0"/>
              <w:adjustRightInd w:val="0"/>
              <w:spacing w:before="120" w:after="120"/>
              <w:rPr>
                <w:rFonts w:ascii="Arial" w:hAnsi="Arial" w:cs="Arial"/>
                <w:b/>
                <w:bCs/>
                <w:lang w:val="en-US" w:eastAsia="en-US"/>
              </w:rPr>
            </w:pPr>
            <w:r w:rsidRPr="003F3B0A">
              <w:rPr>
                <w:rFonts w:ascii="Arial" w:hAnsi="Arial" w:cs="Arial"/>
                <w:sz w:val="22"/>
                <w:szCs w:val="22"/>
                <w:lang w:val="en-US" w:eastAsia="en-US"/>
              </w:rPr>
              <w:t>ATV/r, DRV/r o RAL + 2 ITIAN*</w:t>
            </w:r>
          </w:p>
        </w:tc>
        <w:tc>
          <w:tcPr>
            <w:tcW w:w="2268" w:type="dxa"/>
          </w:tcPr>
          <w:p w14:paraId="366DA432" w14:textId="77777777" w:rsidR="007A7F0D" w:rsidRPr="003F3B0A" w:rsidRDefault="007A7F0D" w:rsidP="005476CD">
            <w:pPr>
              <w:autoSpaceDE w:val="0"/>
              <w:autoSpaceDN w:val="0"/>
              <w:adjustRightInd w:val="0"/>
              <w:spacing w:before="120" w:after="120"/>
              <w:rPr>
                <w:rFonts w:ascii="Arial" w:hAnsi="Arial" w:cs="Arial"/>
                <w:bCs/>
                <w:lang w:val="es-ES_tradnl" w:eastAsia="en-US"/>
              </w:rPr>
            </w:pPr>
            <w:r w:rsidRPr="003F3B0A">
              <w:rPr>
                <w:rFonts w:ascii="Arial" w:hAnsi="Arial" w:cs="Arial"/>
                <w:bCs/>
                <w:sz w:val="22"/>
                <w:szCs w:val="22"/>
                <w:lang w:val="es-ES_tradnl" w:eastAsia="en-US"/>
              </w:rPr>
              <w:t>Si al diagnóstico la gestación está avanzada es preferible usar RAL</w:t>
            </w:r>
          </w:p>
        </w:tc>
      </w:tr>
      <w:tr w:rsidR="007A7F0D" w:rsidRPr="003F3B0A" w14:paraId="6E07AF7B" w14:textId="77777777" w:rsidTr="005476CD">
        <w:tc>
          <w:tcPr>
            <w:tcW w:w="2161" w:type="dxa"/>
          </w:tcPr>
          <w:p w14:paraId="7CF8FE94" w14:textId="77777777" w:rsidR="007A7F0D" w:rsidRPr="003F3B0A" w:rsidRDefault="007A7F0D" w:rsidP="005476CD">
            <w:pPr>
              <w:autoSpaceDE w:val="0"/>
              <w:autoSpaceDN w:val="0"/>
              <w:adjustRightInd w:val="0"/>
              <w:spacing w:before="120" w:after="120"/>
              <w:jc w:val="both"/>
              <w:rPr>
                <w:rFonts w:ascii="Arial" w:hAnsi="Arial" w:cs="Arial"/>
                <w:b/>
                <w:bCs/>
                <w:lang w:val="es-ES_tradnl" w:eastAsia="en-US"/>
              </w:rPr>
            </w:pPr>
            <w:r w:rsidRPr="003F3B0A">
              <w:rPr>
                <w:rFonts w:ascii="Arial" w:hAnsi="Arial" w:cs="Arial"/>
                <w:b/>
                <w:bCs/>
                <w:sz w:val="22"/>
                <w:szCs w:val="22"/>
                <w:lang w:val="es-ES_tradnl" w:eastAsia="en-US"/>
              </w:rPr>
              <w:t>Gestante en TAR</w:t>
            </w:r>
          </w:p>
          <w:p w14:paraId="774B80A1" w14:textId="77777777" w:rsidR="007A7F0D" w:rsidRPr="003F3B0A" w:rsidRDefault="007A7F0D" w:rsidP="005476CD">
            <w:pPr>
              <w:autoSpaceDE w:val="0"/>
              <w:autoSpaceDN w:val="0"/>
              <w:adjustRightInd w:val="0"/>
              <w:spacing w:before="120" w:after="120"/>
              <w:jc w:val="both"/>
              <w:rPr>
                <w:rFonts w:ascii="Arial" w:hAnsi="Arial" w:cs="Arial"/>
                <w:b/>
                <w:bCs/>
                <w:lang w:val="es-ES_tradnl" w:eastAsia="en-US"/>
              </w:rPr>
            </w:pPr>
          </w:p>
          <w:p w14:paraId="26928CE9" w14:textId="77777777" w:rsidR="007A7F0D" w:rsidRPr="003F3B0A" w:rsidRDefault="007A7F0D" w:rsidP="005476CD">
            <w:pPr>
              <w:autoSpaceDE w:val="0"/>
              <w:autoSpaceDN w:val="0"/>
              <w:adjustRightInd w:val="0"/>
              <w:spacing w:before="120" w:after="120"/>
              <w:jc w:val="both"/>
              <w:rPr>
                <w:rFonts w:ascii="Arial" w:hAnsi="Arial" w:cs="Arial"/>
                <w:b/>
                <w:bCs/>
                <w:lang w:val="es-ES_tradnl" w:eastAsia="en-US"/>
              </w:rPr>
            </w:pPr>
          </w:p>
        </w:tc>
        <w:tc>
          <w:tcPr>
            <w:tcW w:w="1737" w:type="dxa"/>
          </w:tcPr>
          <w:p w14:paraId="5F349A30"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 xml:space="preserve">Mantener TAR </w:t>
            </w:r>
          </w:p>
          <w:p w14:paraId="000C1196" w14:textId="77777777" w:rsidR="007A7F0D" w:rsidRPr="003F3B0A" w:rsidRDefault="007A7F0D" w:rsidP="005476CD">
            <w:pPr>
              <w:autoSpaceDE w:val="0"/>
              <w:autoSpaceDN w:val="0"/>
              <w:adjustRightInd w:val="0"/>
              <w:spacing w:before="120" w:after="120"/>
              <w:rPr>
                <w:rFonts w:ascii="Arial" w:hAnsi="Arial" w:cs="Arial"/>
                <w:lang w:val="es-ES_tradnl" w:eastAsia="en-US"/>
              </w:rPr>
            </w:pPr>
          </w:p>
          <w:p w14:paraId="6A0B5B6A" w14:textId="77777777" w:rsidR="007A7F0D" w:rsidRPr="003F3B0A" w:rsidRDefault="007A7F0D" w:rsidP="005476CD">
            <w:pPr>
              <w:autoSpaceDE w:val="0"/>
              <w:autoSpaceDN w:val="0"/>
              <w:adjustRightInd w:val="0"/>
              <w:spacing w:before="120" w:after="120"/>
              <w:rPr>
                <w:rFonts w:ascii="Arial" w:hAnsi="Arial" w:cs="Arial"/>
                <w:lang w:val="es-ES_tradnl" w:eastAsia="en-US"/>
              </w:rPr>
            </w:pPr>
          </w:p>
        </w:tc>
        <w:tc>
          <w:tcPr>
            <w:tcW w:w="2976" w:type="dxa"/>
          </w:tcPr>
          <w:p w14:paraId="50BEECFE"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Evitar combinaciones con riesgo elevado de toxicidad (d4T+ddI) o menor eficacia (3 ITIAN).</w:t>
            </w:r>
          </w:p>
          <w:p w14:paraId="47969A93" w14:textId="7F53A4F8" w:rsidR="007A7F0D" w:rsidRPr="003F3B0A" w:rsidRDefault="00A41C48" w:rsidP="005476CD">
            <w:pPr>
              <w:autoSpaceDE w:val="0"/>
              <w:autoSpaceDN w:val="0"/>
              <w:adjustRightInd w:val="0"/>
              <w:spacing w:before="120" w:after="120"/>
              <w:rPr>
                <w:rFonts w:ascii="Arial" w:hAnsi="Arial" w:cs="Arial"/>
                <w:b/>
                <w:bCs/>
                <w:strike/>
                <w:lang w:val="es-ES_tradnl" w:eastAsia="en-US"/>
              </w:rPr>
            </w:pPr>
            <w:r w:rsidRPr="00A41C48">
              <w:rPr>
                <w:rFonts w:ascii="Arial" w:hAnsi="Arial" w:cs="Arial"/>
                <w:sz w:val="22"/>
                <w:szCs w:val="22"/>
                <w:highlight w:val="yellow"/>
                <w:lang w:val="es-ES_tradnl" w:eastAsia="en-US"/>
              </w:rPr>
              <w:t>No recomendado</w:t>
            </w:r>
            <w:bookmarkStart w:id="2" w:name="_GoBack"/>
            <w:bookmarkEnd w:id="2"/>
            <w:r w:rsidR="007A7F0D" w:rsidRPr="003F3B0A">
              <w:rPr>
                <w:rFonts w:ascii="Arial" w:hAnsi="Arial" w:cs="Arial"/>
                <w:sz w:val="22"/>
                <w:szCs w:val="22"/>
                <w:lang w:val="es-ES_tradnl" w:eastAsia="en-US"/>
              </w:rPr>
              <w:t xml:space="preserve"> DTG en el primer trimestre</w:t>
            </w:r>
          </w:p>
        </w:tc>
        <w:tc>
          <w:tcPr>
            <w:tcW w:w="2268" w:type="dxa"/>
          </w:tcPr>
          <w:p w14:paraId="77B4CC1F"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Si ATV/r se acompaña de TDF</w:t>
            </w:r>
            <w:r w:rsidRPr="006F5DEA">
              <w:rPr>
                <w:rFonts w:ascii="Arial" w:hAnsi="Arial" w:cs="Arial"/>
                <w:sz w:val="22"/>
                <w:szCs w:val="22"/>
                <w:highlight w:val="yellow"/>
                <w:lang w:val="es-ES_tradnl" w:eastAsia="en-US"/>
              </w:rPr>
              <w:t>**</w:t>
            </w:r>
            <w:r w:rsidRPr="003F3B0A">
              <w:rPr>
                <w:rFonts w:ascii="Arial" w:hAnsi="Arial" w:cs="Arial"/>
                <w:sz w:val="22"/>
                <w:szCs w:val="22"/>
                <w:lang w:val="es-ES_tradnl" w:eastAsia="en-US"/>
              </w:rPr>
              <w:t xml:space="preserve"> o fármacos anti-H2, aumentar la dosis de ATV a 400 mg/día en el 2º y 3</w:t>
            </w:r>
            <w:r w:rsidRPr="003F3B0A">
              <w:rPr>
                <w:rFonts w:ascii="Arial" w:hAnsi="Arial" w:cs="Arial"/>
                <w:sz w:val="22"/>
                <w:szCs w:val="22"/>
                <w:vertAlign w:val="superscript"/>
                <w:lang w:val="es-ES_tradnl" w:eastAsia="en-US"/>
              </w:rPr>
              <w:t>er</w:t>
            </w:r>
            <w:r w:rsidRPr="003F3B0A">
              <w:rPr>
                <w:rFonts w:ascii="Arial" w:hAnsi="Arial" w:cs="Arial"/>
                <w:sz w:val="22"/>
                <w:szCs w:val="22"/>
                <w:lang w:val="es-ES_tradnl" w:eastAsia="en-US"/>
              </w:rPr>
              <w:t xml:space="preserve"> trimestre</w:t>
            </w:r>
          </w:p>
        </w:tc>
      </w:tr>
      <w:tr w:rsidR="007A7F0D" w:rsidRPr="003F3B0A" w14:paraId="7A2E71F1" w14:textId="77777777" w:rsidTr="005476CD">
        <w:tc>
          <w:tcPr>
            <w:tcW w:w="2161" w:type="dxa"/>
          </w:tcPr>
          <w:p w14:paraId="37E3E304" w14:textId="77777777" w:rsidR="007A7F0D" w:rsidRPr="003F3B0A" w:rsidRDefault="007A7F0D" w:rsidP="005476CD">
            <w:pPr>
              <w:autoSpaceDE w:val="0"/>
              <w:autoSpaceDN w:val="0"/>
              <w:adjustRightInd w:val="0"/>
              <w:spacing w:before="120" w:after="120"/>
              <w:rPr>
                <w:rFonts w:ascii="Arial" w:hAnsi="Arial" w:cs="Arial"/>
                <w:b/>
                <w:bCs/>
                <w:lang w:val="es-ES_tradnl" w:eastAsia="en-US"/>
              </w:rPr>
            </w:pPr>
            <w:r w:rsidRPr="003F3B0A">
              <w:rPr>
                <w:rFonts w:ascii="Arial" w:hAnsi="Arial" w:cs="Arial"/>
                <w:b/>
                <w:bCs/>
                <w:sz w:val="22"/>
                <w:szCs w:val="22"/>
                <w:lang w:val="es-ES_tradnl" w:eastAsia="en-US"/>
              </w:rPr>
              <w:t>Gestante con antecedentes de abandono del TAR</w:t>
            </w:r>
            <w:r w:rsidRPr="003F3B0A">
              <w:rPr>
                <w:rFonts w:ascii="Arial" w:hAnsi="Arial" w:cs="Arial"/>
              </w:rPr>
              <w:t xml:space="preserve"> </w:t>
            </w:r>
            <w:r w:rsidRPr="003F3B0A">
              <w:rPr>
                <w:rFonts w:ascii="Arial" w:hAnsi="Arial" w:cs="Arial"/>
                <w:b/>
                <w:bCs/>
                <w:sz w:val="22"/>
                <w:szCs w:val="22"/>
                <w:lang w:val="es-ES_tradnl" w:eastAsia="en-US"/>
              </w:rPr>
              <w:t xml:space="preserve">o mutaciones de resistencias </w:t>
            </w:r>
            <w:r w:rsidRPr="003F3B0A">
              <w:rPr>
                <w:rFonts w:ascii="Arial" w:hAnsi="Arial" w:cs="Arial"/>
                <w:b/>
                <w:bCs/>
                <w:sz w:val="22"/>
                <w:szCs w:val="22"/>
                <w:vertAlign w:val="superscript"/>
                <w:lang w:val="es-ES_tradnl" w:eastAsia="en-US"/>
              </w:rPr>
              <w:t>1</w:t>
            </w:r>
          </w:p>
        </w:tc>
        <w:tc>
          <w:tcPr>
            <w:tcW w:w="1737" w:type="dxa"/>
          </w:tcPr>
          <w:p w14:paraId="3C88E87F"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Inicio lo más precoz posible</w:t>
            </w:r>
          </w:p>
        </w:tc>
        <w:tc>
          <w:tcPr>
            <w:tcW w:w="2976" w:type="dxa"/>
          </w:tcPr>
          <w:p w14:paraId="6B4C1405"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Pauta de TAR según el estudio de resistencia y TAR previos.</w:t>
            </w:r>
          </w:p>
          <w:p w14:paraId="60A8F362"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Si coinfección por VHB, considerar TDF+FTC*</w:t>
            </w:r>
          </w:p>
        </w:tc>
        <w:tc>
          <w:tcPr>
            <w:tcW w:w="2268" w:type="dxa"/>
          </w:tcPr>
          <w:p w14:paraId="4C8DE246" w14:textId="77777777" w:rsidR="007A7F0D" w:rsidRPr="003F3B0A" w:rsidRDefault="007A7F0D" w:rsidP="005476CD">
            <w:pPr>
              <w:autoSpaceDE w:val="0"/>
              <w:autoSpaceDN w:val="0"/>
              <w:adjustRightInd w:val="0"/>
              <w:spacing w:before="120" w:after="120"/>
              <w:rPr>
                <w:rFonts w:ascii="Arial" w:hAnsi="Arial" w:cs="Arial"/>
                <w:strike/>
                <w:lang w:val="es-ES_tradnl" w:eastAsia="en-US"/>
              </w:rPr>
            </w:pPr>
            <w:r w:rsidRPr="003F3B0A">
              <w:rPr>
                <w:rFonts w:ascii="Arial" w:hAnsi="Arial" w:cs="Arial"/>
                <w:sz w:val="22"/>
                <w:szCs w:val="22"/>
                <w:lang w:val="es-ES_tradnl" w:eastAsia="en-US"/>
              </w:rPr>
              <w:t xml:space="preserve">Utilizar como primera opción los FAR con mayor experiencia, siempre que sea posible </w:t>
            </w:r>
          </w:p>
        </w:tc>
      </w:tr>
      <w:tr w:rsidR="007A7F0D" w:rsidRPr="003F3B0A" w14:paraId="2654283F" w14:textId="77777777" w:rsidTr="005476CD">
        <w:tc>
          <w:tcPr>
            <w:tcW w:w="2161" w:type="dxa"/>
          </w:tcPr>
          <w:p w14:paraId="62D61493" w14:textId="77777777" w:rsidR="007A7F0D" w:rsidRPr="003F3B0A" w:rsidRDefault="007A7F0D" w:rsidP="005476CD">
            <w:pPr>
              <w:autoSpaceDE w:val="0"/>
              <w:autoSpaceDN w:val="0"/>
              <w:adjustRightInd w:val="0"/>
              <w:spacing w:before="120" w:after="120"/>
              <w:jc w:val="both"/>
              <w:rPr>
                <w:rFonts w:ascii="Arial" w:hAnsi="Arial" w:cs="Arial"/>
                <w:b/>
                <w:bCs/>
                <w:lang w:val="es-ES_tradnl" w:eastAsia="en-US"/>
              </w:rPr>
            </w:pPr>
            <w:r w:rsidRPr="003F3B0A">
              <w:rPr>
                <w:rFonts w:ascii="Arial" w:hAnsi="Arial" w:cs="Arial"/>
                <w:b/>
                <w:bCs/>
                <w:sz w:val="22"/>
                <w:szCs w:val="22"/>
                <w:lang w:val="es-ES_tradnl" w:eastAsia="en-US"/>
              </w:rPr>
              <w:t>Gestante con primo-infección por VIH</w:t>
            </w:r>
            <w:r w:rsidRPr="003F3B0A">
              <w:rPr>
                <w:rFonts w:ascii="Arial" w:hAnsi="Arial" w:cs="Arial"/>
                <w:b/>
                <w:bCs/>
                <w:sz w:val="22"/>
                <w:szCs w:val="22"/>
                <w:vertAlign w:val="superscript"/>
                <w:lang w:val="es-ES_tradnl" w:eastAsia="en-US"/>
              </w:rPr>
              <w:t>1</w:t>
            </w:r>
          </w:p>
        </w:tc>
        <w:tc>
          <w:tcPr>
            <w:tcW w:w="1737" w:type="dxa"/>
          </w:tcPr>
          <w:p w14:paraId="49E02624"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Inicio en el momento del diagnóstico</w:t>
            </w:r>
          </w:p>
        </w:tc>
        <w:tc>
          <w:tcPr>
            <w:tcW w:w="2976" w:type="dxa"/>
          </w:tcPr>
          <w:p w14:paraId="37240BA5"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n-US" w:eastAsia="en-US"/>
              </w:rPr>
              <w:t xml:space="preserve">ATV/r, DRV/r o RAL + 2 ITIAN*. </w:t>
            </w:r>
            <w:r w:rsidRPr="003F3B0A">
              <w:rPr>
                <w:rFonts w:ascii="Arial" w:hAnsi="Arial" w:cs="Arial"/>
                <w:sz w:val="22"/>
                <w:szCs w:val="22"/>
                <w:lang w:val="es-ES_tradnl" w:eastAsia="en-US"/>
              </w:rPr>
              <w:t>Ajustar en cuanto se conozca el genotipado</w:t>
            </w:r>
          </w:p>
        </w:tc>
        <w:tc>
          <w:tcPr>
            <w:tcW w:w="2268" w:type="dxa"/>
          </w:tcPr>
          <w:p w14:paraId="7CDF873D" w14:textId="77777777" w:rsidR="007A7F0D" w:rsidRPr="003F3B0A" w:rsidRDefault="007A7F0D" w:rsidP="005476CD">
            <w:pPr>
              <w:autoSpaceDE w:val="0"/>
              <w:autoSpaceDN w:val="0"/>
              <w:adjustRightInd w:val="0"/>
              <w:spacing w:before="120" w:after="120"/>
              <w:rPr>
                <w:rFonts w:ascii="Arial" w:hAnsi="Arial" w:cs="Arial"/>
                <w:color w:val="FF0000"/>
                <w:lang w:val="es-ES_tradnl" w:eastAsia="en-US"/>
              </w:rPr>
            </w:pPr>
            <w:r w:rsidRPr="003F3B0A">
              <w:rPr>
                <w:rFonts w:ascii="Arial" w:hAnsi="Arial" w:cs="Arial"/>
                <w:sz w:val="22"/>
                <w:szCs w:val="22"/>
                <w:lang w:val="es-ES_tradnl" w:eastAsia="en-US"/>
              </w:rPr>
              <w:t>Si el diagnóstico es en el tercer trimestre, programar cesárea electiva</w:t>
            </w:r>
            <w:r w:rsidRPr="003F3B0A">
              <w:rPr>
                <w:rFonts w:ascii="Arial" w:hAnsi="Arial" w:cs="Arial"/>
                <w:color w:val="FF0000"/>
                <w:sz w:val="22"/>
                <w:szCs w:val="22"/>
                <w:lang w:val="es-ES_tradnl" w:eastAsia="en-US"/>
              </w:rPr>
              <w:t xml:space="preserve"> </w:t>
            </w:r>
            <w:r w:rsidRPr="003F3B0A">
              <w:rPr>
                <w:rFonts w:ascii="Arial" w:hAnsi="Arial" w:cs="Arial"/>
                <w:sz w:val="22"/>
                <w:szCs w:val="22"/>
                <w:lang w:val="es-ES_tradnl" w:eastAsia="en-US"/>
              </w:rPr>
              <w:t>si la CVP en el parto es &gt;1000 copias/ml</w:t>
            </w:r>
          </w:p>
        </w:tc>
      </w:tr>
      <w:tr w:rsidR="007A7F0D" w:rsidRPr="003F3B0A" w14:paraId="5B24E9A7" w14:textId="77777777" w:rsidTr="005476CD">
        <w:tc>
          <w:tcPr>
            <w:tcW w:w="2161" w:type="dxa"/>
          </w:tcPr>
          <w:p w14:paraId="0598C0BF" w14:textId="77777777" w:rsidR="007A7F0D" w:rsidRPr="003F3B0A" w:rsidRDefault="007A7F0D" w:rsidP="005476CD">
            <w:pPr>
              <w:autoSpaceDE w:val="0"/>
              <w:autoSpaceDN w:val="0"/>
              <w:adjustRightInd w:val="0"/>
              <w:spacing w:before="120" w:after="120"/>
              <w:rPr>
                <w:rFonts w:ascii="Arial" w:hAnsi="Arial" w:cs="Arial"/>
                <w:b/>
                <w:bCs/>
                <w:lang w:val="es-ES_tradnl" w:eastAsia="en-US"/>
              </w:rPr>
            </w:pPr>
            <w:r w:rsidRPr="003F3B0A">
              <w:rPr>
                <w:rFonts w:ascii="Arial" w:hAnsi="Arial" w:cs="Arial"/>
                <w:b/>
                <w:bCs/>
                <w:sz w:val="22"/>
                <w:szCs w:val="22"/>
                <w:lang w:val="es-ES_tradnl" w:eastAsia="en-US"/>
              </w:rPr>
              <w:t xml:space="preserve">Gestante con infección por VIH-1 desconocida en el parto </w:t>
            </w:r>
          </w:p>
        </w:tc>
        <w:tc>
          <w:tcPr>
            <w:tcW w:w="1737" w:type="dxa"/>
          </w:tcPr>
          <w:p w14:paraId="50271A48"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Realizar test rápido para VIH</w:t>
            </w:r>
          </w:p>
        </w:tc>
        <w:tc>
          <w:tcPr>
            <w:tcW w:w="2976" w:type="dxa"/>
          </w:tcPr>
          <w:p w14:paraId="07280D28"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Si positivo, administrar ZDV IV, a lo que se pueden asociar fármacos con buen paso de la barrera, como NVP y RAL. Proceder con cesárea electiva</w:t>
            </w:r>
          </w:p>
          <w:p w14:paraId="268D7892" w14:textId="77777777" w:rsidR="007A7F0D" w:rsidRPr="003F3B0A" w:rsidRDefault="007A7F0D" w:rsidP="005476CD">
            <w:pPr>
              <w:autoSpaceDE w:val="0"/>
              <w:autoSpaceDN w:val="0"/>
              <w:adjustRightInd w:val="0"/>
              <w:spacing w:before="120" w:after="120"/>
              <w:rPr>
                <w:rFonts w:ascii="Arial" w:hAnsi="Arial" w:cs="Arial"/>
                <w:lang w:val="es-ES_tradnl" w:eastAsia="en-US"/>
              </w:rPr>
            </w:pPr>
          </w:p>
        </w:tc>
        <w:tc>
          <w:tcPr>
            <w:tcW w:w="2268" w:type="dxa"/>
          </w:tcPr>
          <w:p w14:paraId="1C5745FE"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Consultar documento específico para ver tratamiento a administrar al RN y cómo seguir el TAR en la madre</w:t>
            </w:r>
          </w:p>
        </w:tc>
      </w:tr>
      <w:tr w:rsidR="007A7F0D" w:rsidRPr="003F3B0A" w14:paraId="2AA53A17" w14:textId="77777777" w:rsidTr="005476CD">
        <w:tc>
          <w:tcPr>
            <w:tcW w:w="2161" w:type="dxa"/>
          </w:tcPr>
          <w:p w14:paraId="32249757" w14:textId="77777777" w:rsidR="007A7F0D" w:rsidRPr="003F3B0A" w:rsidRDefault="007A7F0D" w:rsidP="005476CD">
            <w:pPr>
              <w:autoSpaceDE w:val="0"/>
              <w:autoSpaceDN w:val="0"/>
              <w:adjustRightInd w:val="0"/>
              <w:rPr>
                <w:rFonts w:ascii="Arial" w:hAnsi="Arial" w:cs="Arial"/>
                <w:b/>
                <w:bCs/>
                <w:lang w:val="es-ES_tradnl" w:eastAsia="en-US"/>
              </w:rPr>
            </w:pPr>
            <w:r w:rsidRPr="003F3B0A">
              <w:rPr>
                <w:rFonts w:ascii="Arial" w:hAnsi="Arial" w:cs="Arial"/>
                <w:b/>
                <w:bCs/>
                <w:sz w:val="22"/>
                <w:szCs w:val="22"/>
                <w:lang w:val="es-ES_tradnl" w:eastAsia="en-US"/>
              </w:rPr>
              <w:t xml:space="preserve">Mujer en TAR que desea quedar </w:t>
            </w:r>
          </w:p>
          <w:p w14:paraId="40CEBF1E" w14:textId="77777777" w:rsidR="007A7F0D" w:rsidRPr="003F3B0A" w:rsidRDefault="007A7F0D" w:rsidP="005476CD">
            <w:pPr>
              <w:autoSpaceDE w:val="0"/>
              <w:autoSpaceDN w:val="0"/>
              <w:adjustRightInd w:val="0"/>
              <w:jc w:val="both"/>
              <w:rPr>
                <w:rFonts w:ascii="Arial" w:hAnsi="Arial" w:cs="Arial"/>
                <w:b/>
                <w:bCs/>
                <w:lang w:val="es-ES_tradnl" w:eastAsia="en-US"/>
              </w:rPr>
            </w:pPr>
            <w:r>
              <w:rPr>
                <w:rFonts w:ascii="Arial" w:hAnsi="Arial" w:cs="Arial"/>
                <w:b/>
                <w:bCs/>
                <w:sz w:val="22"/>
                <w:szCs w:val="22"/>
                <w:lang w:val="es-ES_tradnl" w:eastAsia="en-US"/>
              </w:rPr>
              <w:t>e</w:t>
            </w:r>
            <w:r w:rsidRPr="003F3B0A">
              <w:rPr>
                <w:rFonts w:ascii="Arial" w:hAnsi="Arial" w:cs="Arial"/>
                <w:b/>
                <w:bCs/>
                <w:sz w:val="22"/>
                <w:szCs w:val="22"/>
                <w:lang w:val="es-ES_tradnl" w:eastAsia="en-US"/>
              </w:rPr>
              <w:t>mbarazada</w:t>
            </w:r>
          </w:p>
        </w:tc>
        <w:tc>
          <w:tcPr>
            <w:tcW w:w="1737" w:type="dxa"/>
          </w:tcPr>
          <w:p w14:paraId="5686CBEC" w14:textId="77777777" w:rsidR="007A7F0D" w:rsidRPr="003F3B0A" w:rsidRDefault="007A7F0D" w:rsidP="005476CD">
            <w:pPr>
              <w:autoSpaceDE w:val="0"/>
              <w:autoSpaceDN w:val="0"/>
              <w:adjustRightInd w:val="0"/>
              <w:spacing w:before="120" w:after="120"/>
              <w:rPr>
                <w:rFonts w:ascii="Arial" w:hAnsi="Arial" w:cs="Arial"/>
                <w:strike/>
                <w:lang w:val="es-ES_tradnl" w:eastAsia="en-US"/>
              </w:rPr>
            </w:pPr>
          </w:p>
        </w:tc>
        <w:tc>
          <w:tcPr>
            <w:tcW w:w="2976" w:type="dxa"/>
          </w:tcPr>
          <w:p w14:paraId="0C49F767"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Confirmar que los fármacos que toma pueden ser utilizados en primer trimestre de embarazo, si no, adaptar TAR para ello (ver Tabla 11)</w:t>
            </w:r>
          </w:p>
        </w:tc>
        <w:tc>
          <w:tcPr>
            <w:tcW w:w="2268" w:type="dxa"/>
          </w:tcPr>
          <w:p w14:paraId="0CA4D5A8" w14:textId="77777777" w:rsidR="007A7F0D" w:rsidRPr="003F3B0A" w:rsidRDefault="007A7F0D" w:rsidP="005476CD">
            <w:pPr>
              <w:autoSpaceDE w:val="0"/>
              <w:autoSpaceDN w:val="0"/>
              <w:adjustRightInd w:val="0"/>
              <w:spacing w:before="120" w:after="120"/>
              <w:rPr>
                <w:rFonts w:ascii="Arial" w:hAnsi="Arial" w:cs="Arial"/>
                <w:lang w:val="es-ES_tradnl" w:eastAsia="en-US"/>
              </w:rPr>
            </w:pPr>
            <w:r w:rsidRPr="003F3B0A">
              <w:rPr>
                <w:rFonts w:ascii="Arial" w:hAnsi="Arial" w:cs="Arial"/>
                <w:sz w:val="22"/>
                <w:szCs w:val="22"/>
                <w:lang w:val="es-ES_tradnl" w:eastAsia="en-US"/>
              </w:rPr>
              <w:t>Insistir en la adherencia y en mantener la CVP indetectable previa al embarazo.</w:t>
            </w:r>
          </w:p>
        </w:tc>
      </w:tr>
    </w:tbl>
    <w:p w14:paraId="1FB256B4" w14:textId="77777777" w:rsidR="007A7F0D" w:rsidRPr="003F3B0A" w:rsidRDefault="007A7F0D" w:rsidP="007A7F0D">
      <w:pPr>
        <w:snapToGrid w:val="0"/>
        <w:spacing w:before="120" w:after="120" w:line="276" w:lineRule="auto"/>
        <w:rPr>
          <w:rFonts w:ascii="Arial" w:hAnsi="Arial" w:cs="Arial"/>
          <w:sz w:val="18"/>
          <w:szCs w:val="22"/>
          <w:lang w:eastAsia="en-US"/>
        </w:rPr>
      </w:pPr>
    </w:p>
    <w:p w14:paraId="17B502C5" w14:textId="77777777" w:rsidR="007A7F0D" w:rsidRDefault="007A7F0D" w:rsidP="007A7F0D">
      <w:pPr>
        <w:snapToGrid w:val="0"/>
        <w:spacing w:before="120" w:after="120" w:line="276" w:lineRule="auto"/>
        <w:rPr>
          <w:rFonts w:ascii="Arial" w:hAnsi="Arial" w:cs="Arial"/>
          <w:sz w:val="18"/>
          <w:szCs w:val="22"/>
          <w:lang w:eastAsia="en-US"/>
        </w:rPr>
      </w:pPr>
      <w:r w:rsidRPr="003F3B0A">
        <w:rPr>
          <w:rFonts w:ascii="Arial" w:hAnsi="Arial" w:cs="Arial"/>
          <w:sz w:val="18"/>
          <w:szCs w:val="22"/>
          <w:lang w:eastAsia="en-US"/>
        </w:rPr>
        <w:t>* No se recomienda la combinación TDF/FTC + LPV/r.</w:t>
      </w:r>
    </w:p>
    <w:p w14:paraId="16380F11" w14:textId="77777777" w:rsidR="007A7F0D" w:rsidRPr="003F3B0A" w:rsidRDefault="007A7F0D" w:rsidP="007A7F0D">
      <w:pPr>
        <w:snapToGrid w:val="0"/>
        <w:spacing w:before="120" w:after="120" w:line="276" w:lineRule="auto"/>
        <w:rPr>
          <w:rFonts w:ascii="Arial" w:hAnsi="Arial" w:cs="Arial"/>
          <w:sz w:val="18"/>
          <w:szCs w:val="22"/>
          <w:lang w:eastAsia="en-US"/>
        </w:rPr>
      </w:pPr>
      <w:r w:rsidRPr="006F5DEA">
        <w:rPr>
          <w:rFonts w:ascii="Arial" w:hAnsi="Arial" w:cs="Arial"/>
          <w:sz w:val="18"/>
          <w:szCs w:val="22"/>
          <w:highlight w:val="yellow"/>
          <w:lang w:eastAsia="en-US"/>
        </w:rPr>
        <w:t>** Con el término TDF nos referimos a cualquiera de las sales de tenofovir disponibles (fumarato, fosfato, maleato, succinato)</w:t>
      </w:r>
    </w:p>
    <w:p w14:paraId="7FA6CE4C" w14:textId="77777777" w:rsidR="007A7F0D" w:rsidRDefault="007A7F0D" w:rsidP="007A7F0D">
      <w:pPr>
        <w:snapToGrid w:val="0"/>
        <w:spacing w:before="120" w:after="120" w:line="276" w:lineRule="auto"/>
        <w:jc w:val="both"/>
        <w:rPr>
          <w:rFonts w:ascii="Arial" w:hAnsi="Arial" w:cs="Arial"/>
          <w:sz w:val="18"/>
          <w:szCs w:val="22"/>
          <w:lang w:eastAsia="en-US"/>
        </w:rPr>
      </w:pPr>
      <w:r w:rsidRPr="003F3B0A">
        <w:rPr>
          <w:rFonts w:ascii="Arial" w:hAnsi="Arial" w:cs="Arial"/>
          <w:sz w:val="18"/>
          <w:szCs w:val="22"/>
          <w:vertAlign w:val="superscript"/>
          <w:lang w:eastAsia="en-US"/>
        </w:rPr>
        <w:t>1</w:t>
      </w:r>
      <w:r w:rsidRPr="003F3B0A">
        <w:rPr>
          <w:rFonts w:ascii="Arial" w:hAnsi="Arial" w:cs="Arial"/>
          <w:sz w:val="18"/>
          <w:szCs w:val="22"/>
          <w:lang w:eastAsia="en-US"/>
        </w:rPr>
        <w:t xml:space="preserve"> Si en esta situación, la presentación es próxima al parto, se puede valorar también la adición de raltegravir (siempre y cuando no se sospeche resistencia</w:t>
      </w:r>
      <w:r w:rsidRPr="003F3B0A">
        <w:rPr>
          <w:rFonts w:ascii="Arial" w:hAnsi="Arial" w:cs="Arial"/>
          <w:color w:val="FF0000"/>
          <w:sz w:val="18"/>
          <w:szCs w:val="22"/>
          <w:lang w:eastAsia="en-US"/>
        </w:rPr>
        <w:t xml:space="preserve"> </w:t>
      </w:r>
      <w:r w:rsidRPr="003F3B0A">
        <w:rPr>
          <w:rFonts w:ascii="Arial" w:hAnsi="Arial" w:cs="Arial"/>
          <w:sz w:val="18"/>
          <w:szCs w:val="22"/>
          <w:lang w:eastAsia="en-US"/>
        </w:rPr>
        <w:t>y no se hubiera utilizado previamente), dado su rápido paso placentario, a dosis de 400 mg/12 horas.</w:t>
      </w:r>
    </w:p>
    <w:p w14:paraId="3D45329E" w14:textId="77777777" w:rsidR="007A7F0D" w:rsidRPr="003F3B0A" w:rsidRDefault="007A7F0D" w:rsidP="007A7F0D">
      <w:pPr>
        <w:snapToGrid w:val="0"/>
        <w:spacing w:before="120" w:after="120" w:line="276" w:lineRule="auto"/>
        <w:jc w:val="both"/>
        <w:rPr>
          <w:rFonts w:ascii="Arial" w:hAnsi="Arial" w:cs="Arial"/>
          <w:sz w:val="18"/>
          <w:szCs w:val="22"/>
          <w:lang w:eastAsia="en-US"/>
        </w:rPr>
        <w:sectPr w:rsidR="007A7F0D" w:rsidRPr="003F3B0A">
          <w:headerReference w:type="default" r:id="rId106"/>
          <w:footerReference w:type="default" r:id="rId107"/>
          <w:pgSz w:w="11901" w:h="16840"/>
          <w:pgMar w:top="1418" w:right="1701" w:bottom="1418" w:left="1701" w:header="709" w:footer="709" w:gutter="0"/>
          <w:cols w:space="708"/>
          <w:docGrid w:linePitch="360"/>
        </w:sectPr>
      </w:pPr>
    </w:p>
    <w:p w14:paraId="22B3BEBA" w14:textId="77777777" w:rsidR="007A7F0D" w:rsidRPr="003F3B0A" w:rsidRDefault="007A7F0D" w:rsidP="007A7F0D">
      <w:pPr>
        <w:snapToGrid w:val="0"/>
        <w:spacing w:before="120" w:after="120"/>
        <w:rPr>
          <w:rFonts w:ascii="Arial" w:hAnsi="Arial" w:cs="Arial"/>
          <w:b/>
          <w:color w:val="AE1C1F"/>
          <w:lang w:eastAsia="en-US"/>
        </w:rPr>
      </w:pPr>
      <w:r w:rsidRPr="003F3B0A">
        <w:rPr>
          <w:rFonts w:ascii="Arial" w:hAnsi="Arial" w:cs="Arial"/>
          <w:b/>
          <w:color w:val="AE1C1F"/>
          <w:lang w:eastAsia="en-US"/>
        </w:rPr>
        <w:lastRenderedPageBreak/>
        <w:t>Tabla 11. Recomendaciones sobre el uso de fármacos antirretrovirales en el embarazo</w:t>
      </w:r>
    </w:p>
    <w:p w14:paraId="64A8AB8D" w14:textId="77777777" w:rsidR="007A7F0D" w:rsidRPr="003F3B0A" w:rsidRDefault="007A7F0D" w:rsidP="007A7F0D">
      <w:pPr>
        <w:snapToGrid w:val="0"/>
        <w:spacing w:before="120" w:after="120"/>
        <w:rPr>
          <w:rFonts w:ascii="Arial" w:hAnsi="Arial" w:cs="Arial"/>
          <w:b/>
          <w:color w:val="006600"/>
          <w:sz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5"/>
        <w:gridCol w:w="1779"/>
        <w:gridCol w:w="1652"/>
        <w:gridCol w:w="2328"/>
      </w:tblGrid>
      <w:tr w:rsidR="007A7F0D" w:rsidRPr="003F3B0A" w14:paraId="4AA90301" w14:textId="77777777" w:rsidTr="005476CD">
        <w:trPr>
          <w:jc w:val="center"/>
        </w:trPr>
        <w:tc>
          <w:tcPr>
            <w:tcW w:w="1595" w:type="dxa"/>
            <w:shd w:val="clear" w:color="auto" w:fill="FDE9D9"/>
            <w:vAlign w:val="center"/>
          </w:tcPr>
          <w:p w14:paraId="35CA3317" w14:textId="77777777" w:rsidR="007A7F0D" w:rsidRPr="003F3B0A" w:rsidRDefault="007A7F0D" w:rsidP="005476CD">
            <w:pPr>
              <w:autoSpaceDE w:val="0"/>
              <w:autoSpaceDN w:val="0"/>
              <w:adjustRightInd w:val="0"/>
              <w:spacing w:before="120" w:after="120"/>
              <w:jc w:val="center"/>
              <w:rPr>
                <w:rFonts w:ascii="Arial" w:hAnsi="Arial" w:cs="Arial"/>
                <w:color w:val="006600"/>
                <w:lang w:eastAsia="en-US"/>
              </w:rPr>
            </w:pPr>
          </w:p>
        </w:tc>
        <w:tc>
          <w:tcPr>
            <w:tcW w:w="1779" w:type="dxa"/>
            <w:shd w:val="clear" w:color="auto" w:fill="FDE9D9"/>
            <w:vAlign w:val="center"/>
          </w:tcPr>
          <w:p w14:paraId="2916BE4B" w14:textId="77777777" w:rsidR="007A7F0D" w:rsidRPr="003F3B0A" w:rsidRDefault="007A7F0D" w:rsidP="005476CD">
            <w:pPr>
              <w:autoSpaceDE w:val="0"/>
              <w:autoSpaceDN w:val="0"/>
              <w:adjustRightInd w:val="0"/>
              <w:spacing w:before="120" w:after="120"/>
              <w:jc w:val="center"/>
              <w:rPr>
                <w:rFonts w:ascii="Arial" w:hAnsi="Arial" w:cs="Arial"/>
                <w:color w:val="AE1C1F"/>
                <w:lang w:eastAsia="en-US"/>
              </w:rPr>
            </w:pPr>
            <w:r w:rsidRPr="003F3B0A">
              <w:rPr>
                <w:rFonts w:ascii="Arial" w:hAnsi="Arial" w:cs="Arial"/>
                <w:b/>
                <w:bCs/>
                <w:color w:val="AE1C1F"/>
                <w:sz w:val="22"/>
                <w:szCs w:val="22"/>
                <w:lang w:eastAsia="en-US"/>
              </w:rPr>
              <w:t>Recomendados</w:t>
            </w:r>
          </w:p>
        </w:tc>
        <w:tc>
          <w:tcPr>
            <w:tcW w:w="1652" w:type="dxa"/>
            <w:shd w:val="clear" w:color="auto" w:fill="FDE9D9"/>
            <w:vAlign w:val="center"/>
          </w:tcPr>
          <w:p w14:paraId="688EFAEA" w14:textId="77777777" w:rsidR="007A7F0D" w:rsidRPr="003F3B0A" w:rsidRDefault="007A7F0D" w:rsidP="005476CD">
            <w:pPr>
              <w:autoSpaceDE w:val="0"/>
              <w:autoSpaceDN w:val="0"/>
              <w:adjustRightInd w:val="0"/>
              <w:spacing w:before="120" w:after="120"/>
              <w:jc w:val="center"/>
              <w:rPr>
                <w:rFonts w:ascii="Arial" w:hAnsi="Arial" w:cs="Arial"/>
                <w:color w:val="AE1C1F"/>
                <w:lang w:eastAsia="en-US"/>
              </w:rPr>
            </w:pPr>
            <w:r w:rsidRPr="003F3B0A">
              <w:rPr>
                <w:rFonts w:ascii="Arial" w:hAnsi="Arial" w:cs="Arial"/>
                <w:b/>
                <w:bCs/>
                <w:color w:val="AE1C1F"/>
                <w:sz w:val="22"/>
                <w:szCs w:val="22"/>
                <w:lang w:eastAsia="en-US"/>
              </w:rPr>
              <w:t>Alternativos*</w:t>
            </w:r>
          </w:p>
        </w:tc>
        <w:tc>
          <w:tcPr>
            <w:tcW w:w="2328" w:type="dxa"/>
            <w:shd w:val="clear" w:color="auto" w:fill="FDE9D9"/>
            <w:vAlign w:val="center"/>
          </w:tcPr>
          <w:p w14:paraId="503CE1A3" w14:textId="77777777" w:rsidR="007A7F0D" w:rsidRPr="003F3B0A" w:rsidRDefault="007A7F0D" w:rsidP="005476CD">
            <w:pPr>
              <w:autoSpaceDE w:val="0"/>
              <w:autoSpaceDN w:val="0"/>
              <w:adjustRightInd w:val="0"/>
              <w:spacing w:before="120" w:after="120"/>
              <w:jc w:val="center"/>
              <w:rPr>
                <w:rFonts w:ascii="Arial" w:hAnsi="Arial" w:cs="Arial"/>
                <w:color w:val="AE1C1F"/>
                <w:lang w:eastAsia="en-US"/>
              </w:rPr>
            </w:pPr>
            <w:r w:rsidRPr="003F3B0A">
              <w:rPr>
                <w:rFonts w:ascii="Arial" w:hAnsi="Arial" w:cs="Arial"/>
                <w:b/>
                <w:bCs/>
                <w:color w:val="AE1C1F"/>
                <w:sz w:val="22"/>
                <w:szCs w:val="22"/>
                <w:lang w:eastAsia="en-US"/>
              </w:rPr>
              <w:t>No recomendados (salvo que no exista otra alternativa)</w:t>
            </w:r>
          </w:p>
        </w:tc>
      </w:tr>
      <w:tr w:rsidR="007A7F0D" w:rsidRPr="003F3B0A" w14:paraId="2EFD9C58" w14:textId="77777777" w:rsidTr="005476CD">
        <w:trPr>
          <w:jc w:val="center"/>
        </w:trPr>
        <w:tc>
          <w:tcPr>
            <w:tcW w:w="1595" w:type="dxa"/>
          </w:tcPr>
          <w:p w14:paraId="50E52091"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b/>
                <w:bCs/>
                <w:color w:val="000000"/>
                <w:sz w:val="22"/>
                <w:szCs w:val="22"/>
                <w:lang w:eastAsia="en-US"/>
              </w:rPr>
              <w:t xml:space="preserve">ITIAN </w:t>
            </w:r>
          </w:p>
          <w:p w14:paraId="011F4767"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779" w:type="dxa"/>
          </w:tcPr>
          <w:p w14:paraId="2802DD09"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 xml:space="preserve">Lamivudina </w:t>
            </w:r>
          </w:p>
          <w:p w14:paraId="10E678F7"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Abacavir</w:t>
            </w:r>
            <w:r w:rsidRPr="003F3B0A">
              <w:rPr>
                <w:rFonts w:ascii="Arial" w:hAnsi="Arial" w:cs="Arial"/>
                <w:color w:val="000000"/>
                <w:sz w:val="22"/>
                <w:szCs w:val="22"/>
                <w:vertAlign w:val="superscript"/>
                <w:lang w:eastAsia="en-US"/>
              </w:rPr>
              <w:t>1</w:t>
            </w:r>
            <w:r w:rsidRPr="003F3B0A">
              <w:rPr>
                <w:rFonts w:ascii="Arial" w:hAnsi="Arial" w:cs="Arial"/>
                <w:color w:val="000000"/>
                <w:sz w:val="22"/>
                <w:szCs w:val="22"/>
                <w:lang w:eastAsia="en-US"/>
              </w:rPr>
              <w:t xml:space="preserve"> </w:t>
            </w:r>
          </w:p>
          <w:p w14:paraId="74BB60C6"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Tenofovir</w:t>
            </w:r>
            <w:r w:rsidRPr="003F3B0A">
              <w:rPr>
                <w:rFonts w:ascii="Arial" w:hAnsi="Arial" w:cs="Arial"/>
                <w:color w:val="000000"/>
                <w:sz w:val="22"/>
                <w:szCs w:val="22"/>
                <w:vertAlign w:val="superscript"/>
                <w:lang w:eastAsia="en-US"/>
              </w:rPr>
              <w:t>2</w:t>
            </w:r>
          </w:p>
          <w:p w14:paraId="537C8799"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Emtricitabina</w:t>
            </w:r>
          </w:p>
        </w:tc>
        <w:tc>
          <w:tcPr>
            <w:tcW w:w="1652" w:type="dxa"/>
          </w:tcPr>
          <w:p w14:paraId="6B6ADDF5"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Zidovudina</w:t>
            </w:r>
            <w:r w:rsidRPr="003F3B0A">
              <w:rPr>
                <w:rFonts w:ascii="Arial" w:hAnsi="Arial" w:cs="Arial"/>
                <w:color w:val="000000"/>
                <w:sz w:val="22"/>
                <w:szCs w:val="22"/>
                <w:vertAlign w:val="superscript"/>
                <w:lang w:eastAsia="en-US"/>
              </w:rPr>
              <w:t>3</w:t>
            </w:r>
          </w:p>
        </w:tc>
        <w:tc>
          <w:tcPr>
            <w:tcW w:w="2328" w:type="dxa"/>
          </w:tcPr>
          <w:p w14:paraId="7DD1F6FD"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Didanosina</w:t>
            </w:r>
          </w:p>
          <w:p w14:paraId="7AFD32D4"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Estavudina</w:t>
            </w:r>
            <w:r w:rsidRPr="003F3B0A">
              <w:rPr>
                <w:rFonts w:ascii="Arial" w:hAnsi="Arial" w:cs="Arial"/>
                <w:color w:val="000000"/>
                <w:sz w:val="22"/>
                <w:szCs w:val="22"/>
                <w:vertAlign w:val="superscript"/>
                <w:lang w:eastAsia="en-US"/>
              </w:rPr>
              <w:t>4</w:t>
            </w:r>
          </w:p>
          <w:p w14:paraId="5E93F702"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924795">
              <w:rPr>
                <w:rFonts w:ascii="Arial" w:hAnsi="Arial" w:cs="Arial"/>
                <w:color w:val="000000"/>
                <w:sz w:val="22"/>
                <w:szCs w:val="22"/>
                <w:highlight w:val="yellow"/>
                <w:lang w:eastAsia="en-US"/>
              </w:rPr>
              <w:t>Tenofovir alafenamida</w:t>
            </w:r>
            <w:r w:rsidRPr="00924795">
              <w:rPr>
                <w:rFonts w:ascii="Arial" w:hAnsi="Arial" w:cs="Arial"/>
                <w:color w:val="000000"/>
                <w:sz w:val="22"/>
                <w:szCs w:val="22"/>
                <w:highlight w:val="yellow"/>
                <w:vertAlign w:val="superscript"/>
                <w:lang w:eastAsia="en-US"/>
              </w:rPr>
              <w:t>5</w:t>
            </w:r>
            <w:r w:rsidRPr="003F3B0A">
              <w:rPr>
                <w:rFonts w:ascii="Arial" w:hAnsi="Arial" w:cs="Arial"/>
                <w:color w:val="000000"/>
                <w:sz w:val="22"/>
                <w:szCs w:val="22"/>
                <w:lang w:eastAsia="en-US"/>
              </w:rPr>
              <w:t xml:space="preserve"> </w:t>
            </w:r>
          </w:p>
          <w:p w14:paraId="6D77FBA3"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r>
      <w:tr w:rsidR="007A7F0D" w:rsidRPr="003F3B0A" w14:paraId="4B79DFD7" w14:textId="77777777" w:rsidTr="005476CD">
        <w:trPr>
          <w:jc w:val="center"/>
        </w:trPr>
        <w:tc>
          <w:tcPr>
            <w:tcW w:w="1595" w:type="dxa"/>
          </w:tcPr>
          <w:p w14:paraId="5263A6D2"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b/>
                <w:bCs/>
                <w:color w:val="000000"/>
                <w:sz w:val="22"/>
                <w:szCs w:val="22"/>
                <w:lang w:eastAsia="en-US"/>
              </w:rPr>
              <w:t>ITINN</w:t>
            </w:r>
          </w:p>
        </w:tc>
        <w:tc>
          <w:tcPr>
            <w:tcW w:w="1779" w:type="dxa"/>
          </w:tcPr>
          <w:p w14:paraId="5403B1BC"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652" w:type="dxa"/>
          </w:tcPr>
          <w:p w14:paraId="2CC66545" w14:textId="2DD99653" w:rsidR="007A7F0D" w:rsidRPr="003F3B0A" w:rsidRDefault="007A7F0D" w:rsidP="005476CD">
            <w:pPr>
              <w:autoSpaceDE w:val="0"/>
              <w:autoSpaceDN w:val="0"/>
              <w:adjustRightInd w:val="0"/>
              <w:spacing w:before="120" w:after="120"/>
              <w:rPr>
                <w:rFonts w:ascii="Arial" w:hAnsi="Arial" w:cs="Arial"/>
                <w:color w:val="000000"/>
                <w:vertAlign w:val="superscript"/>
                <w:lang w:eastAsia="en-US"/>
              </w:rPr>
            </w:pPr>
            <w:r w:rsidRPr="003F3B0A">
              <w:rPr>
                <w:rFonts w:ascii="Arial" w:hAnsi="Arial" w:cs="Arial"/>
                <w:color w:val="000000"/>
                <w:sz w:val="22"/>
                <w:szCs w:val="22"/>
                <w:lang w:eastAsia="en-US"/>
              </w:rPr>
              <w:t>Rilpivirina</w:t>
            </w:r>
            <w:r w:rsidRPr="00924795">
              <w:rPr>
                <w:rFonts w:ascii="Arial" w:hAnsi="Arial" w:cs="Arial"/>
                <w:color w:val="000000"/>
                <w:sz w:val="22"/>
                <w:szCs w:val="22"/>
                <w:highlight w:val="yellow"/>
                <w:vertAlign w:val="superscript"/>
                <w:lang w:eastAsia="en-US"/>
              </w:rPr>
              <w:t>6</w:t>
            </w:r>
          </w:p>
          <w:p w14:paraId="5227D817" w14:textId="3FCD83F7" w:rsidR="007A7F0D" w:rsidRPr="003F3B0A" w:rsidRDefault="007A7F0D" w:rsidP="005476CD">
            <w:pPr>
              <w:autoSpaceDE w:val="0"/>
              <w:autoSpaceDN w:val="0"/>
              <w:adjustRightInd w:val="0"/>
              <w:spacing w:before="120" w:after="120"/>
              <w:rPr>
                <w:rFonts w:ascii="Arial" w:hAnsi="Arial" w:cs="Arial"/>
                <w:lang w:eastAsia="en-US"/>
              </w:rPr>
            </w:pPr>
            <w:r w:rsidRPr="003F3B0A">
              <w:rPr>
                <w:rFonts w:ascii="Arial" w:hAnsi="Arial" w:cs="Arial"/>
                <w:sz w:val="22"/>
                <w:szCs w:val="22"/>
                <w:lang w:eastAsia="en-US"/>
              </w:rPr>
              <w:t>Efavirenz</w:t>
            </w:r>
            <w:r w:rsidRPr="00924795">
              <w:rPr>
                <w:rFonts w:ascii="Arial" w:hAnsi="Arial" w:cs="Arial"/>
                <w:sz w:val="22"/>
                <w:szCs w:val="22"/>
                <w:highlight w:val="yellow"/>
                <w:vertAlign w:val="superscript"/>
                <w:lang w:eastAsia="en-US"/>
              </w:rPr>
              <w:t>7</w:t>
            </w:r>
          </w:p>
        </w:tc>
        <w:tc>
          <w:tcPr>
            <w:tcW w:w="2328" w:type="dxa"/>
          </w:tcPr>
          <w:p w14:paraId="5D99C3E5" w14:textId="77777777" w:rsidR="007A7F0D" w:rsidRPr="003F3B0A" w:rsidRDefault="007A7F0D" w:rsidP="005476CD">
            <w:pPr>
              <w:autoSpaceDE w:val="0"/>
              <w:autoSpaceDN w:val="0"/>
              <w:adjustRightInd w:val="0"/>
              <w:spacing w:before="120" w:after="120"/>
              <w:rPr>
                <w:rFonts w:ascii="Arial" w:hAnsi="Arial" w:cs="Arial"/>
                <w:lang w:eastAsia="en-US"/>
              </w:rPr>
            </w:pPr>
            <w:r w:rsidRPr="003F3B0A">
              <w:rPr>
                <w:rFonts w:ascii="Arial" w:hAnsi="Arial" w:cs="Arial"/>
                <w:sz w:val="22"/>
                <w:szCs w:val="22"/>
                <w:lang w:eastAsia="en-US"/>
              </w:rPr>
              <w:t>Nevirapina</w:t>
            </w:r>
          </w:p>
          <w:p w14:paraId="6EFD045A" w14:textId="72C1CF77" w:rsidR="007A7F0D" w:rsidRPr="003F3B0A" w:rsidRDefault="007A7F0D" w:rsidP="005476CD">
            <w:pPr>
              <w:autoSpaceDE w:val="0"/>
              <w:autoSpaceDN w:val="0"/>
              <w:adjustRightInd w:val="0"/>
              <w:spacing w:before="120" w:after="120"/>
              <w:rPr>
                <w:rFonts w:ascii="Arial" w:hAnsi="Arial" w:cs="Arial"/>
                <w:lang w:eastAsia="en-US"/>
              </w:rPr>
            </w:pPr>
            <w:r w:rsidRPr="003F3B0A">
              <w:rPr>
                <w:rFonts w:ascii="Arial" w:hAnsi="Arial" w:cs="Arial"/>
                <w:sz w:val="22"/>
                <w:szCs w:val="22"/>
                <w:lang w:eastAsia="en-US"/>
              </w:rPr>
              <w:t>Etravirin</w:t>
            </w:r>
            <w:r>
              <w:rPr>
                <w:rFonts w:ascii="Arial" w:hAnsi="Arial" w:cs="Arial"/>
                <w:sz w:val="22"/>
                <w:szCs w:val="22"/>
                <w:lang w:eastAsia="en-US"/>
              </w:rPr>
              <w:t>a</w:t>
            </w:r>
            <w:r w:rsidRPr="00924795">
              <w:rPr>
                <w:rFonts w:ascii="Arial" w:hAnsi="Arial" w:cs="Arial"/>
                <w:sz w:val="22"/>
                <w:szCs w:val="22"/>
                <w:highlight w:val="yellow"/>
                <w:vertAlign w:val="superscript"/>
                <w:lang w:eastAsia="en-US"/>
              </w:rPr>
              <w:t>5</w:t>
            </w:r>
          </w:p>
          <w:p w14:paraId="7B9CDA91" w14:textId="77777777" w:rsidR="007A7F0D" w:rsidRPr="00F40EB5" w:rsidRDefault="007A7F0D" w:rsidP="005476CD">
            <w:pPr>
              <w:autoSpaceDE w:val="0"/>
              <w:autoSpaceDN w:val="0"/>
              <w:adjustRightInd w:val="0"/>
              <w:spacing w:before="120" w:after="120"/>
              <w:rPr>
                <w:rFonts w:ascii="Arial" w:hAnsi="Arial" w:cs="Arial"/>
                <w:sz w:val="22"/>
                <w:szCs w:val="22"/>
                <w:lang w:eastAsia="en-US"/>
              </w:rPr>
            </w:pPr>
            <w:r w:rsidRPr="007A7F0D">
              <w:rPr>
                <w:rFonts w:ascii="Arial" w:hAnsi="Arial" w:cs="Arial"/>
                <w:sz w:val="22"/>
                <w:szCs w:val="22"/>
                <w:highlight w:val="yellow"/>
                <w:lang w:eastAsia="en-US"/>
              </w:rPr>
              <w:t>Doravirina</w:t>
            </w:r>
            <w:r w:rsidRPr="007A7F0D">
              <w:rPr>
                <w:rFonts w:ascii="Arial" w:hAnsi="Arial" w:cs="Arial"/>
                <w:sz w:val="22"/>
                <w:szCs w:val="22"/>
                <w:highlight w:val="yellow"/>
                <w:vertAlign w:val="superscript"/>
                <w:lang w:eastAsia="en-US"/>
              </w:rPr>
              <w:t>5</w:t>
            </w:r>
          </w:p>
        </w:tc>
      </w:tr>
      <w:tr w:rsidR="007A7F0D" w:rsidRPr="003F3B0A" w14:paraId="1797A880" w14:textId="77777777" w:rsidTr="005476CD">
        <w:trPr>
          <w:trHeight w:val="1506"/>
          <w:jc w:val="center"/>
        </w:trPr>
        <w:tc>
          <w:tcPr>
            <w:tcW w:w="1595" w:type="dxa"/>
          </w:tcPr>
          <w:p w14:paraId="1D8D1BFD" w14:textId="77777777" w:rsidR="007A7F0D" w:rsidRPr="003F3B0A" w:rsidRDefault="007A7F0D" w:rsidP="005476CD">
            <w:pPr>
              <w:autoSpaceDE w:val="0"/>
              <w:autoSpaceDN w:val="0"/>
              <w:adjustRightInd w:val="0"/>
              <w:spacing w:before="120" w:after="120"/>
              <w:rPr>
                <w:rFonts w:ascii="Arial" w:hAnsi="Arial" w:cs="Arial"/>
                <w:b/>
                <w:bCs/>
                <w:color w:val="000000"/>
                <w:lang w:eastAsia="en-US"/>
              </w:rPr>
            </w:pPr>
            <w:r w:rsidRPr="003F3B0A">
              <w:rPr>
                <w:rFonts w:ascii="Arial" w:hAnsi="Arial" w:cs="Arial"/>
                <w:b/>
                <w:bCs/>
                <w:color w:val="000000"/>
                <w:sz w:val="22"/>
                <w:szCs w:val="22"/>
                <w:lang w:eastAsia="en-US"/>
              </w:rPr>
              <w:t>IP/r</w:t>
            </w:r>
            <w:r w:rsidRPr="003F3B0A">
              <w:rPr>
                <w:rFonts w:ascii="Arial" w:hAnsi="Arial" w:cs="Arial"/>
                <w:b/>
                <w:bCs/>
                <w:sz w:val="22"/>
                <w:szCs w:val="22"/>
                <w:lang w:eastAsia="en-US"/>
              </w:rPr>
              <w:t>**</w:t>
            </w:r>
          </w:p>
          <w:p w14:paraId="49778D6E" w14:textId="77777777" w:rsidR="007A7F0D" w:rsidRPr="003F3B0A" w:rsidRDefault="007A7F0D" w:rsidP="005476CD">
            <w:pPr>
              <w:autoSpaceDE w:val="0"/>
              <w:autoSpaceDN w:val="0"/>
              <w:adjustRightInd w:val="0"/>
              <w:spacing w:before="120" w:after="120"/>
              <w:rPr>
                <w:rFonts w:ascii="Arial" w:hAnsi="Arial" w:cs="Arial"/>
                <w:b/>
                <w:bCs/>
                <w:color w:val="000000"/>
                <w:lang w:eastAsia="en-US"/>
              </w:rPr>
            </w:pPr>
          </w:p>
          <w:p w14:paraId="0A798A9C"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779" w:type="dxa"/>
          </w:tcPr>
          <w:p w14:paraId="73C72762"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Atazanavir/r</w:t>
            </w:r>
            <w:r>
              <w:rPr>
                <w:rFonts w:ascii="Arial" w:hAnsi="Arial" w:cs="Arial"/>
                <w:color w:val="000000"/>
                <w:sz w:val="22"/>
                <w:szCs w:val="22"/>
                <w:vertAlign w:val="superscript"/>
                <w:lang w:eastAsia="en-US"/>
              </w:rPr>
              <w:t>8</w:t>
            </w:r>
            <w:r w:rsidRPr="003F3B0A">
              <w:rPr>
                <w:rFonts w:ascii="Arial" w:hAnsi="Arial" w:cs="Arial"/>
                <w:color w:val="000000"/>
                <w:sz w:val="22"/>
                <w:szCs w:val="22"/>
                <w:lang w:eastAsia="en-US"/>
              </w:rPr>
              <w:t xml:space="preserve"> 300/100</w:t>
            </w:r>
            <w:r w:rsidRPr="00924795">
              <w:rPr>
                <w:rFonts w:ascii="Arial" w:hAnsi="Arial" w:cs="Arial"/>
                <w:color w:val="000000"/>
                <w:sz w:val="22"/>
                <w:szCs w:val="22"/>
                <w:vertAlign w:val="superscript"/>
                <w:lang w:eastAsia="en-US"/>
              </w:rPr>
              <w:t>9</w:t>
            </w:r>
            <w:r w:rsidRPr="003F3B0A">
              <w:rPr>
                <w:rFonts w:ascii="Arial" w:hAnsi="Arial" w:cs="Arial"/>
                <w:color w:val="000000"/>
                <w:sz w:val="22"/>
                <w:szCs w:val="22"/>
                <w:lang w:eastAsia="en-US"/>
              </w:rPr>
              <w:t xml:space="preserve"> QD</w:t>
            </w:r>
          </w:p>
          <w:p w14:paraId="3A3EDAF4" w14:textId="77777777" w:rsidR="007A7F0D" w:rsidRPr="003F3B0A" w:rsidRDefault="007A7F0D" w:rsidP="005476CD">
            <w:pPr>
              <w:autoSpaceDE w:val="0"/>
              <w:autoSpaceDN w:val="0"/>
              <w:adjustRightInd w:val="0"/>
              <w:spacing w:before="120" w:after="120"/>
              <w:rPr>
                <w:rFonts w:ascii="Arial" w:hAnsi="Arial" w:cs="Arial"/>
                <w:lang w:eastAsia="en-US"/>
              </w:rPr>
            </w:pPr>
            <w:r w:rsidRPr="003F3B0A">
              <w:rPr>
                <w:rFonts w:ascii="Arial" w:hAnsi="Arial" w:cs="Arial"/>
                <w:sz w:val="22"/>
                <w:szCs w:val="22"/>
                <w:lang w:eastAsia="en-US"/>
              </w:rPr>
              <w:t>Darunavir/r, 600/100 BID</w:t>
            </w:r>
            <w:r>
              <w:rPr>
                <w:rFonts w:ascii="Arial" w:hAnsi="Arial" w:cs="Arial"/>
                <w:sz w:val="22"/>
                <w:szCs w:val="22"/>
                <w:vertAlign w:val="superscript"/>
                <w:lang w:eastAsia="en-US"/>
              </w:rPr>
              <w:t>10</w:t>
            </w:r>
          </w:p>
        </w:tc>
        <w:tc>
          <w:tcPr>
            <w:tcW w:w="1652" w:type="dxa"/>
          </w:tcPr>
          <w:p w14:paraId="1862A254" w14:textId="77777777" w:rsidR="007A7F0D" w:rsidRPr="003F3B0A" w:rsidRDefault="007A7F0D" w:rsidP="005476CD">
            <w:pPr>
              <w:autoSpaceDE w:val="0"/>
              <w:autoSpaceDN w:val="0"/>
              <w:adjustRightInd w:val="0"/>
              <w:spacing w:before="120" w:after="120"/>
              <w:rPr>
                <w:rFonts w:ascii="Arial" w:hAnsi="Arial" w:cs="Arial"/>
                <w:color w:val="FF0000"/>
                <w:lang w:val="en-US" w:eastAsia="en-US"/>
              </w:rPr>
            </w:pPr>
            <w:r w:rsidRPr="003F3B0A">
              <w:rPr>
                <w:rFonts w:ascii="Arial" w:hAnsi="Arial" w:cs="Arial"/>
                <w:color w:val="000000"/>
                <w:sz w:val="22"/>
                <w:szCs w:val="22"/>
                <w:lang w:val="en-US" w:eastAsia="en-US"/>
              </w:rPr>
              <w:t>Lopinavir/r, 400/100 BI</w:t>
            </w:r>
            <w:r>
              <w:rPr>
                <w:rFonts w:ascii="Arial" w:hAnsi="Arial" w:cs="Arial"/>
                <w:color w:val="000000"/>
                <w:sz w:val="22"/>
                <w:szCs w:val="22"/>
                <w:lang w:val="en-US" w:eastAsia="en-US"/>
              </w:rPr>
              <w:t>D</w:t>
            </w:r>
            <w:r>
              <w:rPr>
                <w:rFonts w:ascii="Arial" w:hAnsi="Arial" w:cs="Arial"/>
                <w:sz w:val="22"/>
                <w:szCs w:val="22"/>
                <w:vertAlign w:val="superscript"/>
                <w:lang w:val="en-US" w:eastAsia="en-US"/>
              </w:rPr>
              <w:t>11</w:t>
            </w:r>
          </w:p>
          <w:p w14:paraId="1AFA2245" w14:textId="77777777" w:rsidR="007A7F0D" w:rsidRPr="003F3B0A" w:rsidRDefault="007A7F0D" w:rsidP="005476CD">
            <w:pPr>
              <w:autoSpaceDE w:val="0"/>
              <w:autoSpaceDN w:val="0"/>
              <w:adjustRightInd w:val="0"/>
              <w:spacing w:before="120" w:after="120"/>
              <w:rPr>
                <w:rFonts w:ascii="Arial" w:hAnsi="Arial" w:cs="Arial"/>
                <w:color w:val="FF0000"/>
                <w:lang w:val="en-US" w:eastAsia="en-US"/>
              </w:rPr>
            </w:pPr>
          </w:p>
          <w:p w14:paraId="09017BEC" w14:textId="77777777" w:rsidR="007A7F0D" w:rsidRPr="003F3B0A" w:rsidRDefault="007A7F0D" w:rsidP="005476CD">
            <w:pPr>
              <w:autoSpaceDE w:val="0"/>
              <w:autoSpaceDN w:val="0"/>
              <w:adjustRightInd w:val="0"/>
              <w:spacing w:before="120" w:after="120"/>
              <w:rPr>
                <w:rFonts w:ascii="Arial" w:hAnsi="Arial" w:cs="Arial"/>
                <w:color w:val="000000"/>
                <w:lang w:val="en-US" w:eastAsia="en-US"/>
              </w:rPr>
            </w:pPr>
          </w:p>
        </w:tc>
        <w:tc>
          <w:tcPr>
            <w:tcW w:w="2328" w:type="dxa"/>
          </w:tcPr>
          <w:p w14:paraId="18FBD1D2"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 xml:space="preserve">Fosamprenavir/r </w:t>
            </w:r>
          </w:p>
          <w:p w14:paraId="0FAD2AE7" w14:textId="77777777"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 xml:space="preserve">Saquinavir/r, </w:t>
            </w:r>
          </w:p>
          <w:p w14:paraId="7CD1CC4D" w14:textId="77777777" w:rsidR="007A7F0D" w:rsidRPr="003F3B0A" w:rsidRDefault="007A7F0D" w:rsidP="007A7F0D">
            <w:pPr>
              <w:autoSpaceDE w:val="0"/>
              <w:autoSpaceDN w:val="0"/>
              <w:adjustRightInd w:val="0"/>
              <w:spacing w:before="120" w:after="120"/>
              <w:rPr>
                <w:rFonts w:ascii="Arial" w:hAnsi="Arial" w:cs="Arial"/>
                <w:strike/>
                <w:color w:val="000000"/>
                <w:lang w:eastAsia="en-US"/>
              </w:rPr>
            </w:pPr>
          </w:p>
        </w:tc>
      </w:tr>
      <w:tr w:rsidR="007A7F0D" w:rsidRPr="003F3B0A" w14:paraId="028A3A81" w14:textId="77777777" w:rsidTr="005476CD">
        <w:trPr>
          <w:jc w:val="center"/>
        </w:trPr>
        <w:tc>
          <w:tcPr>
            <w:tcW w:w="1595" w:type="dxa"/>
          </w:tcPr>
          <w:p w14:paraId="3028058D" w14:textId="77777777" w:rsidR="007A7F0D" w:rsidRPr="003F3B0A" w:rsidRDefault="007A7F0D" w:rsidP="005476CD">
            <w:pPr>
              <w:autoSpaceDE w:val="0"/>
              <w:autoSpaceDN w:val="0"/>
              <w:adjustRightInd w:val="0"/>
              <w:spacing w:before="120" w:after="120"/>
              <w:rPr>
                <w:rFonts w:ascii="Arial" w:hAnsi="Arial" w:cs="Arial"/>
                <w:b/>
                <w:bCs/>
                <w:color w:val="000000"/>
                <w:lang w:eastAsia="en-US"/>
              </w:rPr>
            </w:pPr>
            <w:r w:rsidRPr="003F3B0A">
              <w:rPr>
                <w:rFonts w:ascii="Arial" w:hAnsi="Arial" w:cs="Arial"/>
                <w:b/>
                <w:bCs/>
                <w:color w:val="000000"/>
                <w:sz w:val="22"/>
                <w:szCs w:val="22"/>
                <w:lang w:eastAsia="en-US"/>
              </w:rPr>
              <w:t>Inhibidores de la entrada y la fusión</w:t>
            </w:r>
          </w:p>
          <w:p w14:paraId="0A69BDE7"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779" w:type="dxa"/>
          </w:tcPr>
          <w:p w14:paraId="15A70BEE"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652" w:type="dxa"/>
          </w:tcPr>
          <w:p w14:paraId="4481681A"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2328" w:type="dxa"/>
          </w:tcPr>
          <w:p w14:paraId="33838197" w14:textId="29C51DE2"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Enfuvirtida</w:t>
            </w:r>
            <w:r w:rsidRPr="00924795">
              <w:rPr>
                <w:rFonts w:ascii="Arial" w:hAnsi="Arial" w:cs="Arial"/>
                <w:color w:val="000000"/>
                <w:sz w:val="22"/>
                <w:szCs w:val="22"/>
                <w:highlight w:val="yellow"/>
                <w:vertAlign w:val="superscript"/>
                <w:lang w:eastAsia="en-US"/>
              </w:rPr>
              <w:t>5</w:t>
            </w:r>
          </w:p>
          <w:p w14:paraId="570F5705" w14:textId="5DA024D2"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Maraviroc</w:t>
            </w:r>
            <w:r w:rsidRPr="00924795">
              <w:rPr>
                <w:rFonts w:ascii="Arial" w:hAnsi="Arial" w:cs="Arial"/>
                <w:color w:val="000000"/>
                <w:sz w:val="22"/>
                <w:szCs w:val="22"/>
                <w:highlight w:val="yellow"/>
                <w:vertAlign w:val="superscript"/>
                <w:lang w:eastAsia="en-US"/>
              </w:rPr>
              <w:t>5</w:t>
            </w:r>
          </w:p>
        </w:tc>
      </w:tr>
      <w:tr w:rsidR="007A7F0D" w:rsidRPr="003F3B0A" w14:paraId="42FAAA97" w14:textId="77777777" w:rsidTr="005476CD">
        <w:trPr>
          <w:jc w:val="center"/>
        </w:trPr>
        <w:tc>
          <w:tcPr>
            <w:tcW w:w="1595" w:type="dxa"/>
          </w:tcPr>
          <w:p w14:paraId="0BF3189F" w14:textId="77777777" w:rsidR="007A7F0D" w:rsidRPr="003F3B0A" w:rsidRDefault="007A7F0D" w:rsidP="005476CD">
            <w:pPr>
              <w:autoSpaceDE w:val="0"/>
              <w:autoSpaceDN w:val="0"/>
              <w:adjustRightInd w:val="0"/>
              <w:spacing w:before="120" w:after="120"/>
              <w:rPr>
                <w:rFonts w:ascii="Arial" w:hAnsi="Arial" w:cs="Arial"/>
                <w:b/>
                <w:bCs/>
                <w:color w:val="000000"/>
                <w:lang w:eastAsia="en-US"/>
              </w:rPr>
            </w:pPr>
            <w:r w:rsidRPr="003F3B0A">
              <w:rPr>
                <w:rFonts w:ascii="Arial" w:hAnsi="Arial" w:cs="Arial"/>
                <w:b/>
                <w:bCs/>
                <w:color w:val="000000"/>
                <w:sz w:val="22"/>
                <w:szCs w:val="22"/>
                <w:lang w:eastAsia="en-US"/>
              </w:rPr>
              <w:t>INI</w:t>
            </w:r>
          </w:p>
          <w:p w14:paraId="08043042" w14:textId="77777777" w:rsidR="007A7F0D" w:rsidRPr="003F3B0A" w:rsidRDefault="007A7F0D" w:rsidP="005476CD">
            <w:pPr>
              <w:autoSpaceDE w:val="0"/>
              <w:autoSpaceDN w:val="0"/>
              <w:adjustRightInd w:val="0"/>
              <w:spacing w:before="120" w:after="120"/>
              <w:rPr>
                <w:rFonts w:ascii="Arial" w:hAnsi="Arial" w:cs="Arial"/>
                <w:color w:val="000000"/>
                <w:lang w:eastAsia="en-US"/>
              </w:rPr>
            </w:pPr>
          </w:p>
        </w:tc>
        <w:tc>
          <w:tcPr>
            <w:tcW w:w="1779" w:type="dxa"/>
          </w:tcPr>
          <w:p w14:paraId="23BC09B1" w14:textId="77777777" w:rsidR="007A7F0D" w:rsidRPr="003F3B0A" w:rsidRDefault="007A7F0D" w:rsidP="005476CD">
            <w:pPr>
              <w:autoSpaceDE w:val="0"/>
              <w:autoSpaceDN w:val="0"/>
              <w:adjustRightInd w:val="0"/>
              <w:spacing w:before="120" w:after="120"/>
              <w:rPr>
                <w:rFonts w:ascii="Arial" w:hAnsi="Arial" w:cs="Arial"/>
                <w:lang w:eastAsia="en-US"/>
              </w:rPr>
            </w:pPr>
            <w:r w:rsidRPr="003F3B0A">
              <w:rPr>
                <w:rFonts w:ascii="Arial" w:hAnsi="Arial" w:cs="Arial"/>
                <w:sz w:val="22"/>
                <w:szCs w:val="22"/>
                <w:lang w:eastAsia="en-US"/>
              </w:rPr>
              <w:t>Raltegravir</w:t>
            </w:r>
          </w:p>
          <w:p w14:paraId="7FCC9EF2" w14:textId="77777777" w:rsidR="007A7F0D" w:rsidRPr="003F3B0A" w:rsidRDefault="007A7F0D" w:rsidP="005476CD">
            <w:pPr>
              <w:autoSpaceDE w:val="0"/>
              <w:autoSpaceDN w:val="0"/>
              <w:adjustRightInd w:val="0"/>
              <w:spacing w:before="120" w:after="120"/>
              <w:rPr>
                <w:rFonts w:ascii="Arial" w:hAnsi="Arial" w:cs="Arial"/>
                <w:color w:val="FF0000"/>
                <w:lang w:eastAsia="en-US"/>
              </w:rPr>
            </w:pPr>
            <w:r w:rsidRPr="003F3B0A">
              <w:rPr>
                <w:rFonts w:ascii="Arial" w:hAnsi="Arial" w:cs="Arial"/>
                <w:sz w:val="22"/>
                <w:szCs w:val="22"/>
                <w:lang w:eastAsia="en-US"/>
              </w:rPr>
              <w:t>400 c/12 h</w:t>
            </w:r>
            <w:r w:rsidRPr="003F3B0A">
              <w:rPr>
                <w:rFonts w:ascii="Arial" w:hAnsi="Arial" w:cs="Arial"/>
                <w:color w:val="3366FF"/>
                <w:sz w:val="22"/>
                <w:szCs w:val="22"/>
                <w:lang w:eastAsia="en-US"/>
              </w:rPr>
              <w:t>.</w:t>
            </w:r>
          </w:p>
        </w:tc>
        <w:tc>
          <w:tcPr>
            <w:tcW w:w="1652" w:type="dxa"/>
          </w:tcPr>
          <w:p w14:paraId="67FAA671" w14:textId="77777777" w:rsidR="007A7F0D" w:rsidRPr="003F3B0A" w:rsidRDefault="007A7F0D" w:rsidP="005476CD">
            <w:pPr>
              <w:autoSpaceDE w:val="0"/>
              <w:autoSpaceDN w:val="0"/>
              <w:adjustRightInd w:val="0"/>
              <w:spacing w:before="120" w:after="120"/>
              <w:rPr>
                <w:rFonts w:ascii="Arial" w:hAnsi="Arial" w:cs="Arial"/>
                <w:color w:val="FF0000"/>
                <w:lang w:eastAsia="en-US"/>
              </w:rPr>
            </w:pPr>
            <w:r w:rsidRPr="003F3B0A">
              <w:rPr>
                <w:rFonts w:ascii="Arial" w:hAnsi="Arial" w:cs="Arial"/>
                <w:color w:val="000000"/>
                <w:sz w:val="22"/>
                <w:szCs w:val="22"/>
                <w:lang w:eastAsia="en-US"/>
              </w:rPr>
              <w:t>Dolutegravir</w:t>
            </w:r>
            <w:r w:rsidRPr="003F3B0A">
              <w:rPr>
                <w:rFonts w:ascii="Arial" w:hAnsi="Arial" w:cs="Arial"/>
                <w:color w:val="FF0000"/>
                <w:sz w:val="22"/>
                <w:szCs w:val="22"/>
                <w:lang w:eastAsia="en-US"/>
              </w:rPr>
              <w:t xml:space="preserve"> </w:t>
            </w:r>
            <w:r w:rsidRPr="003F3B0A">
              <w:rPr>
                <w:rFonts w:ascii="Arial" w:hAnsi="Arial" w:cs="Arial"/>
                <w:sz w:val="22"/>
                <w:szCs w:val="22"/>
                <w:lang w:eastAsia="en-US"/>
              </w:rPr>
              <w:t>en el segundo y tercer trimestre</w:t>
            </w:r>
          </w:p>
        </w:tc>
        <w:tc>
          <w:tcPr>
            <w:tcW w:w="2328" w:type="dxa"/>
          </w:tcPr>
          <w:p w14:paraId="15D0390F" w14:textId="273D7672" w:rsidR="007A7F0D" w:rsidRPr="003F3B0A" w:rsidRDefault="007A7F0D" w:rsidP="005476CD">
            <w:pPr>
              <w:autoSpaceDE w:val="0"/>
              <w:autoSpaceDN w:val="0"/>
              <w:adjustRightInd w:val="0"/>
              <w:spacing w:before="120" w:after="120"/>
              <w:rPr>
                <w:rFonts w:ascii="Arial" w:hAnsi="Arial" w:cs="Arial"/>
                <w:color w:val="000000"/>
                <w:lang w:eastAsia="en-US"/>
              </w:rPr>
            </w:pPr>
            <w:r w:rsidRPr="003F3B0A">
              <w:rPr>
                <w:rFonts w:ascii="Arial" w:hAnsi="Arial" w:cs="Arial"/>
                <w:color w:val="000000"/>
                <w:sz w:val="22"/>
                <w:szCs w:val="22"/>
                <w:lang w:eastAsia="en-US"/>
              </w:rPr>
              <w:t>Elvitegravir</w:t>
            </w:r>
            <w:r w:rsidRPr="00924795">
              <w:rPr>
                <w:rFonts w:ascii="Arial" w:hAnsi="Arial" w:cs="Arial"/>
                <w:color w:val="000000"/>
                <w:sz w:val="22"/>
                <w:szCs w:val="22"/>
                <w:highlight w:val="yellow"/>
                <w:vertAlign w:val="superscript"/>
                <w:lang w:eastAsia="en-US"/>
              </w:rPr>
              <w:t>5</w:t>
            </w:r>
          </w:p>
          <w:p w14:paraId="7029BF86" w14:textId="77777777" w:rsidR="007A7F0D" w:rsidRDefault="007A7F0D" w:rsidP="005476CD">
            <w:pPr>
              <w:autoSpaceDE w:val="0"/>
              <w:autoSpaceDN w:val="0"/>
              <w:adjustRightInd w:val="0"/>
              <w:spacing w:before="120" w:after="120"/>
              <w:rPr>
                <w:rFonts w:ascii="Arial" w:hAnsi="Arial" w:cs="Arial"/>
                <w:sz w:val="22"/>
                <w:szCs w:val="22"/>
                <w:lang w:eastAsia="en-US"/>
              </w:rPr>
            </w:pPr>
            <w:r w:rsidRPr="003F3B0A">
              <w:rPr>
                <w:rFonts w:ascii="Arial" w:hAnsi="Arial" w:cs="Arial"/>
                <w:sz w:val="22"/>
                <w:szCs w:val="22"/>
                <w:lang w:eastAsia="en-US"/>
              </w:rPr>
              <w:t xml:space="preserve">Dolutegravir, en el primer </w:t>
            </w:r>
            <w:r w:rsidRPr="00924795">
              <w:rPr>
                <w:rFonts w:ascii="Arial" w:hAnsi="Arial" w:cs="Arial"/>
                <w:sz w:val="22"/>
                <w:szCs w:val="22"/>
                <w:highlight w:val="yellow"/>
                <w:lang w:eastAsia="en-US"/>
              </w:rPr>
              <w:t>trimestre (ver texto</w:t>
            </w:r>
            <w:r>
              <w:rPr>
                <w:rFonts w:ascii="Arial" w:hAnsi="Arial" w:cs="Arial"/>
                <w:sz w:val="22"/>
                <w:szCs w:val="22"/>
                <w:lang w:eastAsia="en-US"/>
              </w:rPr>
              <w:t>)</w:t>
            </w:r>
          </w:p>
          <w:p w14:paraId="0CA57809" w14:textId="77777777" w:rsidR="007A7F0D" w:rsidRPr="00F40EB5" w:rsidRDefault="007A7F0D" w:rsidP="005476CD">
            <w:pPr>
              <w:autoSpaceDE w:val="0"/>
              <w:autoSpaceDN w:val="0"/>
              <w:adjustRightInd w:val="0"/>
              <w:spacing w:before="120" w:after="120"/>
              <w:rPr>
                <w:rFonts w:ascii="Arial" w:hAnsi="Arial" w:cs="Arial"/>
                <w:sz w:val="22"/>
                <w:szCs w:val="22"/>
                <w:lang w:eastAsia="en-US"/>
              </w:rPr>
            </w:pPr>
            <w:r w:rsidRPr="007A7F0D">
              <w:rPr>
                <w:rFonts w:ascii="Arial" w:hAnsi="Arial" w:cs="Arial"/>
                <w:sz w:val="22"/>
                <w:szCs w:val="22"/>
                <w:highlight w:val="yellow"/>
                <w:lang w:eastAsia="en-US"/>
              </w:rPr>
              <w:t>Bictegravir</w:t>
            </w:r>
            <w:r w:rsidRPr="007A7F0D">
              <w:rPr>
                <w:rFonts w:ascii="Arial" w:hAnsi="Arial" w:cs="Arial"/>
                <w:sz w:val="22"/>
                <w:szCs w:val="22"/>
                <w:highlight w:val="yellow"/>
                <w:vertAlign w:val="superscript"/>
                <w:lang w:eastAsia="en-US"/>
              </w:rPr>
              <w:t>5</w:t>
            </w:r>
          </w:p>
        </w:tc>
      </w:tr>
    </w:tbl>
    <w:p w14:paraId="256F3AF9" w14:textId="77777777" w:rsidR="007A7F0D" w:rsidRPr="003F3B0A" w:rsidRDefault="007A7F0D" w:rsidP="007A7F0D">
      <w:pPr>
        <w:snapToGrid w:val="0"/>
        <w:spacing w:before="60" w:after="60"/>
        <w:rPr>
          <w:rFonts w:ascii="Arial" w:hAnsi="Arial" w:cs="Arial"/>
          <w:sz w:val="16"/>
          <w:szCs w:val="22"/>
          <w:lang w:eastAsia="en-US"/>
        </w:rPr>
      </w:pPr>
    </w:p>
    <w:p w14:paraId="37362D50" w14:textId="6D15F094" w:rsidR="007A7F0D" w:rsidRPr="003F3B0A" w:rsidRDefault="007A7F0D" w:rsidP="007A7F0D">
      <w:pPr>
        <w:snapToGrid w:val="0"/>
        <w:spacing w:before="60" w:after="60"/>
        <w:jc w:val="both"/>
        <w:rPr>
          <w:rFonts w:ascii="Arial" w:hAnsi="Arial" w:cs="Arial"/>
          <w:sz w:val="18"/>
          <w:szCs w:val="18"/>
          <w:lang w:eastAsia="en-US"/>
        </w:rPr>
      </w:pPr>
      <w:r w:rsidRPr="003F3B0A">
        <w:rPr>
          <w:rFonts w:ascii="Arial" w:hAnsi="Arial" w:cs="Arial"/>
          <w:sz w:val="18"/>
          <w:szCs w:val="18"/>
          <w:lang w:eastAsia="en-US"/>
        </w:rPr>
        <w:t xml:space="preserve">* Indicados cuando no puedan utilizarse los fármacos de 1ª elección. No hay datos </w:t>
      </w:r>
      <w:r w:rsidRPr="007A7F0D">
        <w:rPr>
          <w:rFonts w:ascii="Arial" w:hAnsi="Arial" w:cs="Arial"/>
          <w:sz w:val="18"/>
          <w:szCs w:val="18"/>
          <w:highlight w:val="yellow"/>
          <w:lang w:eastAsia="en-US"/>
        </w:rPr>
        <w:t>(o los datos son limitados)</w:t>
      </w:r>
      <w:r>
        <w:rPr>
          <w:rFonts w:ascii="Arial" w:hAnsi="Arial" w:cs="Arial"/>
          <w:sz w:val="18"/>
          <w:szCs w:val="18"/>
          <w:lang w:eastAsia="en-US"/>
        </w:rPr>
        <w:t xml:space="preserve"> </w:t>
      </w:r>
      <w:r w:rsidRPr="003F3B0A">
        <w:rPr>
          <w:rFonts w:ascii="Arial" w:hAnsi="Arial" w:cs="Arial"/>
          <w:sz w:val="18"/>
          <w:szCs w:val="18"/>
          <w:lang w:eastAsia="en-US"/>
        </w:rPr>
        <w:t xml:space="preserve">acerca de: etravirina, </w:t>
      </w:r>
      <w:r w:rsidRPr="007A7F0D">
        <w:rPr>
          <w:rFonts w:ascii="Arial" w:hAnsi="Arial" w:cs="Arial"/>
          <w:sz w:val="18"/>
          <w:szCs w:val="18"/>
          <w:highlight w:val="yellow"/>
          <w:lang w:eastAsia="en-US"/>
        </w:rPr>
        <w:t>doravirina, bictegravir,</w:t>
      </w:r>
      <w:r>
        <w:rPr>
          <w:rFonts w:ascii="Arial" w:hAnsi="Arial" w:cs="Arial"/>
          <w:sz w:val="18"/>
          <w:szCs w:val="18"/>
          <w:lang w:eastAsia="en-US"/>
        </w:rPr>
        <w:t xml:space="preserve"> </w:t>
      </w:r>
      <w:r w:rsidRPr="003F3B0A">
        <w:rPr>
          <w:rFonts w:ascii="Arial" w:hAnsi="Arial" w:cs="Arial"/>
          <w:sz w:val="18"/>
          <w:szCs w:val="18"/>
          <w:lang w:eastAsia="en-US"/>
        </w:rPr>
        <w:t>elvitegravir, tipranavir ni enfuvirtida.</w:t>
      </w:r>
    </w:p>
    <w:p w14:paraId="34751B26" w14:textId="77777777" w:rsidR="007A7F0D" w:rsidRPr="003F3B0A" w:rsidRDefault="007A7F0D" w:rsidP="007A7F0D">
      <w:pPr>
        <w:snapToGrid w:val="0"/>
        <w:spacing w:before="60" w:after="60"/>
        <w:jc w:val="both"/>
        <w:rPr>
          <w:rFonts w:ascii="Arial" w:hAnsi="Arial" w:cs="Arial"/>
          <w:strike/>
          <w:color w:val="FF0000"/>
          <w:sz w:val="18"/>
          <w:szCs w:val="18"/>
          <w:lang w:eastAsia="en-US"/>
        </w:rPr>
      </w:pPr>
      <w:r w:rsidRPr="003F3B0A">
        <w:rPr>
          <w:rFonts w:ascii="Arial" w:hAnsi="Arial" w:cs="Arial"/>
          <w:sz w:val="18"/>
          <w:szCs w:val="18"/>
          <w:lang w:eastAsia="en-US"/>
        </w:rPr>
        <w:t>** Contraindicados con cobicistat.</w:t>
      </w:r>
    </w:p>
    <w:p w14:paraId="0B9F466B" w14:textId="77777777" w:rsidR="007A7F0D" w:rsidRPr="003F3B0A" w:rsidRDefault="007A7F0D" w:rsidP="007A7F0D">
      <w:pPr>
        <w:snapToGrid w:val="0"/>
        <w:spacing w:before="60" w:after="60"/>
        <w:jc w:val="both"/>
        <w:rPr>
          <w:rFonts w:ascii="Arial" w:hAnsi="Arial" w:cs="Arial"/>
          <w:sz w:val="18"/>
          <w:szCs w:val="18"/>
        </w:rPr>
      </w:pPr>
      <w:r w:rsidRPr="003F3B0A">
        <w:rPr>
          <w:rFonts w:ascii="Arial" w:hAnsi="Arial" w:cs="Arial"/>
          <w:sz w:val="18"/>
          <w:szCs w:val="18"/>
        </w:rPr>
        <w:t>1. Si el alelo HLA-B*5701 es negativo, aunque con pequeño riesgo de hipersensibilidad.</w:t>
      </w:r>
    </w:p>
    <w:p w14:paraId="785D2087" w14:textId="77777777" w:rsidR="007A7F0D" w:rsidRPr="003F3B0A" w:rsidRDefault="007A7F0D" w:rsidP="007A7F0D">
      <w:pPr>
        <w:snapToGrid w:val="0"/>
        <w:spacing w:before="60" w:after="60"/>
        <w:jc w:val="both"/>
        <w:rPr>
          <w:rFonts w:ascii="Arial" w:hAnsi="Arial" w:cs="Arial"/>
          <w:sz w:val="18"/>
          <w:szCs w:val="18"/>
        </w:rPr>
      </w:pPr>
      <w:r w:rsidRPr="003F3B0A">
        <w:rPr>
          <w:rFonts w:ascii="Arial" w:hAnsi="Arial" w:cs="Arial"/>
          <w:sz w:val="18"/>
          <w:szCs w:val="18"/>
        </w:rPr>
        <w:t>2. Debe considerarse especialmente para el tratamiento en pacientes con coinfección por VHB. Además, datos public</w:t>
      </w:r>
      <w:r>
        <w:rPr>
          <w:rFonts w:ascii="Arial" w:hAnsi="Arial" w:cs="Arial"/>
          <w:sz w:val="18"/>
          <w:szCs w:val="18"/>
        </w:rPr>
        <w:t>ados sugieren que es un fármaco</w:t>
      </w:r>
      <w:r w:rsidRPr="003F3B0A">
        <w:rPr>
          <w:rFonts w:ascii="Arial" w:hAnsi="Arial" w:cs="Arial"/>
          <w:sz w:val="18"/>
          <w:szCs w:val="18"/>
        </w:rPr>
        <w:t xml:space="preserve"> eficaz y probablemente seguro</w:t>
      </w:r>
      <w:r>
        <w:rPr>
          <w:rFonts w:ascii="Arial" w:hAnsi="Arial" w:cs="Arial"/>
          <w:sz w:val="18"/>
          <w:szCs w:val="18"/>
        </w:rPr>
        <w:t>.</w:t>
      </w:r>
    </w:p>
    <w:p w14:paraId="27B5DAF3" w14:textId="77777777" w:rsidR="007A7F0D" w:rsidRPr="003F3B0A" w:rsidRDefault="007A7F0D" w:rsidP="007A7F0D">
      <w:pPr>
        <w:snapToGrid w:val="0"/>
        <w:spacing w:before="60" w:after="60"/>
        <w:jc w:val="both"/>
        <w:rPr>
          <w:rFonts w:ascii="Arial" w:hAnsi="Arial" w:cs="Arial"/>
          <w:sz w:val="18"/>
          <w:szCs w:val="18"/>
          <w:lang w:eastAsia="en-US"/>
        </w:rPr>
      </w:pPr>
      <w:r w:rsidRPr="003F3B0A">
        <w:rPr>
          <w:rFonts w:ascii="Arial" w:hAnsi="Arial" w:cs="Arial"/>
          <w:sz w:val="18"/>
          <w:szCs w:val="18"/>
        </w:rPr>
        <w:t>3. ZDV es el fármaco antirretroviral con el que más experiencia se tiene en el embarazo. El hecho de consid</w:t>
      </w:r>
      <w:r>
        <w:rPr>
          <w:rFonts w:ascii="Arial" w:hAnsi="Arial" w:cs="Arial"/>
          <w:sz w:val="18"/>
          <w:szCs w:val="18"/>
        </w:rPr>
        <w:t>erarlo como alternativo se debe</w:t>
      </w:r>
      <w:r w:rsidRPr="003F3B0A">
        <w:rPr>
          <w:rFonts w:ascii="Arial" w:hAnsi="Arial" w:cs="Arial"/>
          <w:sz w:val="18"/>
          <w:szCs w:val="18"/>
        </w:rPr>
        <w:t xml:space="preserve"> únicamente a ser un tratamiento subóptimo para la madre.</w:t>
      </w:r>
    </w:p>
    <w:p w14:paraId="069D5228" w14:textId="77777777" w:rsidR="007A7F0D" w:rsidRDefault="007A7F0D" w:rsidP="007A7F0D">
      <w:pPr>
        <w:snapToGrid w:val="0"/>
        <w:spacing w:before="60" w:after="60"/>
        <w:jc w:val="both"/>
        <w:rPr>
          <w:rFonts w:ascii="Arial" w:hAnsi="Arial" w:cs="Arial"/>
          <w:sz w:val="18"/>
          <w:szCs w:val="18"/>
        </w:rPr>
      </w:pPr>
      <w:r w:rsidRPr="003F3B0A">
        <w:rPr>
          <w:rFonts w:ascii="Arial" w:hAnsi="Arial" w:cs="Arial"/>
          <w:sz w:val="18"/>
          <w:szCs w:val="18"/>
        </w:rPr>
        <w:t>4. Riesgo de acidosis láctica grave si se asocian ddI y d4T.</w:t>
      </w:r>
    </w:p>
    <w:p w14:paraId="5C656CA5" w14:textId="77777777" w:rsidR="007A7F0D" w:rsidRPr="003F3B0A" w:rsidRDefault="007A7F0D" w:rsidP="007A7F0D">
      <w:pPr>
        <w:snapToGrid w:val="0"/>
        <w:spacing w:before="60" w:after="60"/>
        <w:jc w:val="both"/>
        <w:rPr>
          <w:rFonts w:ascii="Arial" w:hAnsi="Arial" w:cs="Arial"/>
          <w:sz w:val="18"/>
          <w:szCs w:val="18"/>
        </w:rPr>
      </w:pPr>
      <w:r w:rsidRPr="00924795">
        <w:rPr>
          <w:rFonts w:ascii="Arial" w:hAnsi="Arial" w:cs="Arial"/>
          <w:sz w:val="18"/>
          <w:szCs w:val="18"/>
          <w:highlight w:val="yellow"/>
        </w:rPr>
        <w:t xml:space="preserve">5.  </w:t>
      </w:r>
      <w:r w:rsidRPr="00E774EB">
        <w:rPr>
          <w:rFonts w:ascii="Arial" w:hAnsi="Arial" w:cs="Arial"/>
          <w:sz w:val="18"/>
          <w:szCs w:val="18"/>
          <w:highlight w:val="yellow"/>
        </w:rPr>
        <w:t>No hay datos o estos son limitados.</w:t>
      </w:r>
    </w:p>
    <w:p w14:paraId="3A05E4E9" w14:textId="0964530E" w:rsidR="007A7F0D" w:rsidRPr="003F3B0A" w:rsidRDefault="007A7F0D" w:rsidP="007A7F0D">
      <w:pPr>
        <w:snapToGrid w:val="0"/>
        <w:spacing w:before="60" w:after="60"/>
        <w:jc w:val="both"/>
        <w:rPr>
          <w:rFonts w:ascii="Arial" w:hAnsi="Arial" w:cs="Arial"/>
          <w:sz w:val="18"/>
          <w:szCs w:val="18"/>
        </w:rPr>
      </w:pPr>
      <w:r w:rsidRPr="00924795">
        <w:rPr>
          <w:rFonts w:ascii="Arial" w:hAnsi="Arial" w:cs="Arial"/>
          <w:sz w:val="18"/>
          <w:szCs w:val="18"/>
          <w:highlight w:val="yellow"/>
        </w:rPr>
        <w:t>6.</w:t>
      </w:r>
      <w:r>
        <w:rPr>
          <w:rFonts w:ascii="Arial" w:hAnsi="Arial" w:cs="Arial"/>
          <w:sz w:val="18"/>
          <w:szCs w:val="18"/>
        </w:rPr>
        <w:t xml:space="preserve"> </w:t>
      </w:r>
      <w:r w:rsidRPr="003F3B0A">
        <w:rPr>
          <w:rFonts w:ascii="Arial" w:hAnsi="Arial" w:cs="Arial"/>
          <w:sz w:val="18"/>
          <w:szCs w:val="18"/>
        </w:rPr>
        <w:t>Siempre que la CVP sea &lt;100.000 copias/ml y la cifra de linfocitos CD4+ &gt;200/µL (véanse las recomendaciones generales del TAR de inicio).</w:t>
      </w:r>
    </w:p>
    <w:p w14:paraId="0F2B98DD" w14:textId="00E4E0D5" w:rsidR="007A7F0D" w:rsidRPr="003F3B0A" w:rsidRDefault="007A7F0D" w:rsidP="007A7F0D">
      <w:pPr>
        <w:snapToGrid w:val="0"/>
        <w:spacing w:before="60" w:after="60"/>
        <w:jc w:val="both"/>
        <w:rPr>
          <w:rFonts w:ascii="Arial" w:hAnsi="Arial" w:cs="Arial"/>
          <w:sz w:val="18"/>
          <w:szCs w:val="18"/>
        </w:rPr>
      </w:pPr>
      <w:r w:rsidRPr="00924795">
        <w:rPr>
          <w:rFonts w:ascii="Arial" w:hAnsi="Arial" w:cs="Arial"/>
          <w:sz w:val="18"/>
          <w:szCs w:val="18"/>
          <w:highlight w:val="yellow"/>
        </w:rPr>
        <w:t>7.</w:t>
      </w:r>
      <w:r w:rsidRPr="003F3B0A">
        <w:rPr>
          <w:rFonts w:ascii="Arial" w:hAnsi="Arial" w:cs="Arial"/>
          <w:sz w:val="18"/>
          <w:szCs w:val="18"/>
        </w:rPr>
        <w:t xml:space="preserve"> Categoría D, potencialmente teratógeno, aunque datos observacionales sugieren que no hay mayor riesgo de malformaciones congénitas</w:t>
      </w:r>
      <w:r w:rsidRPr="003F3B0A">
        <w:rPr>
          <w:rFonts w:ascii="Arial" w:hAnsi="Arial" w:cs="Arial"/>
          <w:color w:val="FF0000"/>
          <w:sz w:val="18"/>
          <w:szCs w:val="18"/>
        </w:rPr>
        <w:t xml:space="preserve">. </w:t>
      </w:r>
      <w:r w:rsidRPr="003F3B0A">
        <w:rPr>
          <w:rFonts w:ascii="Arial" w:hAnsi="Arial" w:cs="Arial"/>
          <w:sz w:val="18"/>
          <w:szCs w:val="18"/>
        </w:rPr>
        <w:t>No es de elección en las 8 primeras semanas de gestación. Si la mujer está tomando ya EFV cuando queda embarazada, es posible continuar su uso.</w:t>
      </w:r>
    </w:p>
    <w:p w14:paraId="4686E3B0" w14:textId="77777777" w:rsidR="007A7F0D" w:rsidRPr="003F3B0A" w:rsidRDefault="007A7F0D" w:rsidP="007A7F0D">
      <w:pPr>
        <w:snapToGrid w:val="0"/>
        <w:spacing w:before="60" w:after="60"/>
        <w:jc w:val="both"/>
        <w:rPr>
          <w:rFonts w:ascii="Arial" w:hAnsi="Arial" w:cs="Arial"/>
          <w:sz w:val="18"/>
          <w:szCs w:val="18"/>
        </w:rPr>
      </w:pPr>
      <w:r w:rsidRPr="003F3B0A">
        <w:rPr>
          <w:rFonts w:ascii="Arial" w:hAnsi="Arial" w:cs="Arial"/>
          <w:sz w:val="18"/>
          <w:szCs w:val="18"/>
        </w:rPr>
        <w:lastRenderedPageBreak/>
        <w:t>8. Hiperbilirrubinemia, riesgo potencial de kernicterus. En adultos se ha descrito un aumento de la bilirrubina no conjugada con el uso de este fármaco. Sin embargo, en una pequeña serie de 40 gestantes tratadas con este fármaco no se ha descrito una mayor incidencia de hiperbilirrubinemia en los neonatos con respecto a la población general.</w:t>
      </w:r>
    </w:p>
    <w:p w14:paraId="3FD9A709" w14:textId="77777777" w:rsidR="007A7F0D" w:rsidRPr="003F3B0A" w:rsidRDefault="007A7F0D" w:rsidP="007A7F0D">
      <w:pPr>
        <w:snapToGrid w:val="0"/>
        <w:spacing w:before="60" w:after="60"/>
        <w:jc w:val="both"/>
        <w:rPr>
          <w:rFonts w:ascii="Arial" w:hAnsi="Arial" w:cs="Arial"/>
          <w:sz w:val="18"/>
          <w:szCs w:val="18"/>
          <w:lang w:eastAsia="en-US"/>
        </w:rPr>
      </w:pPr>
      <w:r w:rsidRPr="003F3B0A">
        <w:rPr>
          <w:rFonts w:ascii="Arial" w:hAnsi="Arial" w:cs="Arial"/>
          <w:sz w:val="18"/>
          <w:szCs w:val="18"/>
          <w:lang w:eastAsia="en-US"/>
        </w:rPr>
        <w:t>9. Cuando se acompaña de TDF en lugar de ZDV, es imprescindible utilizar la dosis de 400/100 mg en el segundo y tercer trimestre, dada la interacción existente entre TDF y ATV y las especificidades farmacocinéticas de la gestación.</w:t>
      </w:r>
    </w:p>
    <w:p w14:paraId="1BE9E4C8" w14:textId="77777777" w:rsidR="007A7F0D" w:rsidRPr="003F3B0A" w:rsidRDefault="007A7F0D" w:rsidP="007A7F0D">
      <w:pPr>
        <w:snapToGrid w:val="0"/>
        <w:spacing w:before="60" w:after="60"/>
        <w:jc w:val="both"/>
        <w:rPr>
          <w:rFonts w:ascii="Arial" w:hAnsi="Arial" w:cs="Arial"/>
          <w:sz w:val="18"/>
          <w:szCs w:val="18"/>
          <w:lang w:eastAsia="en-US"/>
        </w:rPr>
      </w:pPr>
      <w:r w:rsidRPr="003F3B0A">
        <w:rPr>
          <w:rFonts w:ascii="Arial" w:hAnsi="Arial" w:cs="Arial"/>
          <w:sz w:val="18"/>
          <w:szCs w:val="18"/>
          <w:lang w:eastAsia="en-US"/>
        </w:rPr>
        <w:t>10.</w:t>
      </w:r>
      <w:r w:rsidRPr="003F3B0A">
        <w:rPr>
          <w:sz w:val="18"/>
          <w:szCs w:val="18"/>
        </w:rPr>
        <w:t xml:space="preserve"> </w:t>
      </w:r>
      <w:r w:rsidRPr="003F3B0A">
        <w:rPr>
          <w:rFonts w:ascii="Arial" w:hAnsi="Arial" w:cs="Arial"/>
          <w:sz w:val="18"/>
          <w:szCs w:val="18"/>
          <w:lang w:eastAsia="en-US"/>
        </w:rPr>
        <w:t>Aunque algunos estudios sugieren que  la dosis de 800/100 QD podría ser suficiente en mujeres sin mutaciones de resistencia, parece más seguro utilizar la dosis bid. En mujeres con CV indetectable con la dosis 800/100 QD puede continuarse con esta dosis con vigilancia estrecha de la viremia</w:t>
      </w:r>
      <w:r>
        <w:rPr>
          <w:rFonts w:ascii="Arial" w:hAnsi="Arial" w:cs="Arial"/>
          <w:sz w:val="18"/>
          <w:szCs w:val="18"/>
          <w:lang w:eastAsia="en-US"/>
        </w:rPr>
        <w:t>.</w:t>
      </w:r>
    </w:p>
    <w:p w14:paraId="76FA7E55" w14:textId="77777777" w:rsidR="007A7F0D" w:rsidRDefault="007A7F0D" w:rsidP="007A7F0D">
      <w:pPr>
        <w:snapToGrid w:val="0"/>
        <w:spacing w:before="60" w:after="60"/>
        <w:jc w:val="both"/>
        <w:rPr>
          <w:rFonts w:ascii="Arial" w:hAnsi="Arial" w:cs="Arial"/>
          <w:sz w:val="18"/>
          <w:szCs w:val="18"/>
        </w:rPr>
      </w:pPr>
      <w:r w:rsidRPr="003F3B0A">
        <w:rPr>
          <w:rFonts w:ascii="Arial" w:hAnsi="Arial" w:cs="Arial"/>
          <w:sz w:val="18"/>
          <w:szCs w:val="18"/>
          <w:lang w:eastAsia="en-US"/>
        </w:rPr>
        <w:t>11. No se recomienda con TDF/FTC</w:t>
      </w:r>
      <w:r w:rsidRPr="003F3B0A">
        <w:rPr>
          <w:rFonts w:ascii="Arial" w:hAnsi="Arial" w:cs="Arial"/>
          <w:sz w:val="18"/>
          <w:szCs w:val="18"/>
        </w:rPr>
        <w:t>.</w:t>
      </w:r>
    </w:p>
    <w:p w14:paraId="6A29DCD1" w14:textId="24BD3A94" w:rsidR="002A6ADA" w:rsidRPr="003F3B0A" w:rsidRDefault="002A6ADA" w:rsidP="005B5F24">
      <w:pPr>
        <w:snapToGrid w:val="0"/>
        <w:spacing w:before="60" w:after="60"/>
        <w:rPr>
          <w:rFonts w:ascii="Arial" w:hAnsi="Arial" w:cs="Arial"/>
          <w:sz w:val="18"/>
          <w:szCs w:val="18"/>
        </w:rPr>
        <w:sectPr w:rsidR="002A6ADA" w:rsidRPr="003F3B0A">
          <w:headerReference w:type="default" r:id="rId108"/>
          <w:footerReference w:type="default" r:id="rId109"/>
          <w:pgSz w:w="11901" w:h="16840"/>
          <w:pgMar w:top="1418" w:right="1701" w:bottom="1418" w:left="1701" w:header="709" w:footer="709" w:gutter="0"/>
          <w:cols w:space="708"/>
          <w:docGrid w:linePitch="360"/>
        </w:sectPr>
      </w:pPr>
    </w:p>
    <w:p w14:paraId="6309325D" w14:textId="77777777" w:rsidR="002A6ADA" w:rsidRDefault="002A6ADA" w:rsidP="002A6ADA"/>
    <w:p w14:paraId="57F55E35" w14:textId="77777777" w:rsidR="00A45913" w:rsidRPr="003F3B0A" w:rsidRDefault="00A45913" w:rsidP="00A45913">
      <w:pPr>
        <w:spacing w:line="360" w:lineRule="auto"/>
        <w:jc w:val="center"/>
        <w:rPr>
          <w:rFonts w:ascii="Calibri" w:hAnsi="Calibri"/>
          <w:b/>
          <w:color w:val="AE1C1F"/>
        </w:rPr>
      </w:pPr>
      <w:r w:rsidRPr="003F3B0A">
        <w:rPr>
          <w:rFonts w:ascii="Calibri" w:hAnsi="Calibri"/>
          <w:b/>
          <w:color w:val="AE1C1F"/>
        </w:rPr>
        <w:t>Tabla 12. Ajuste de dosis de los antirretrovirales en insuficiencia renal y en hemodiálisis</w:t>
      </w:r>
    </w:p>
    <w:p w14:paraId="7B2C010D" w14:textId="77777777" w:rsidR="00A45913" w:rsidRPr="003F3B0A" w:rsidRDefault="00A45913" w:rsidP="00A45913">
      <w:pPr>
        <w:spacing w:line="360" w:lineRule="auto"/>
        <w:rPr>
          <w:rFonts w:ascii="Calibri" w:hAnsi="Calibri"/>
          <w:b/>
          <w:color w:val="006600"/>
          <w:sz w:val="22"/>
          <w:szCs w:val="22"/>
        </w:rPr>
      </w:pPr>
    </w:p>
    <w:tbl>
      <w:tblPr>
        <w:tblW w:w="13528" w:type="dxa"/>
        <w:tblInd w:w="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904"/>
        <w:gridCol w:w="1944"/>
        <w:gridCol w:w="1442"/>
        <w:gridCol w:w="4269"/>
        <w:gridCol w:w="3969"/>
      </w:tblGrid>
      <w:tr w:rsidR="00A45913" w:rsidRPr="003F3B0A" w14:paraId="375DCBDC" w14:textId="77777777" w:rsidTr="005476CD">
        <w:trPr>
          <w:trHeight w:val="672"/>
        </w:trPr>
        <w:tc>
          <w:tcPr>
            <w:tcW w:w="1904" w:type="dxa"/>
            <w:shd w:val="clear" w:color="auto" w:fill="FDE9D9"/>
            <w:vAlign w:val="center"/>
          </w:tcPr>
          <w:p w14:paraId="62313BD8"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Familia</w:t>
            </w:r>
          </w:p>
        </w:tc>
        <w:tc>
          <w:tcPr>
            <w:tcW w:w="1944" w:type="dxa"/>
            <w:shd w:val="clear" w:color="auto" w:fill="FDE9D9"/>
            <w:vAlign w:val="center"/>
          </w:tcPr>
          <w:p w14:paraId="15D1AB82"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Fármacos</w:t>
            </w:r>
          </w:p>
        </w:tc>
        <w:tc>
          <w:tcPr>
            <w:tcW w:w="1442" w:type="dxa"/>
            <w:shd w:val="clear" w:color="auto" w:fill="FDE9D9"/>
            <w:vAlign w:val="center"/>
          </w:tcPr>
          <w:p w14:paraId="27AD4C21"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habituales</w:t>
            </w:r>
          </w:p>
        </w:tc>
        <w:tc>
          <w:tcPr>
            <w:tcW w:w="4269" w:type="dxa"/>
            <w:shd w:val="clear" w:color="auto" w:fill="FDE9D9"/>
            <w:vAlign w:val="center"/>
          </w:tcPr>
          <w:p w14:paraId="3E4E66C7"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en insuficiencia renal</w:t>
            </w:r>
          </w:p>
        </w:tc>
        <w:tc>
          <w:tcPr>
            <w:tcW w:w="3969" w:type="dxa"/>
            <w:shd w:val="clear" w:color="auto" w:fill="FDE9D9"/>
            <w:vAlign w:val="center"/>
          </w:tcPr>
          <w:p w14:paraId="60C9C37F"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en Hemodiálisis/diálisis peritoneal</w:t>
            </w:r>
          </w:p>
        </w:tc>
      </w:tr>
      <w:tr w:rsidR="00A45913" w:rsidRPr="003F3B0A" w14:paraId="69C233FF" w14:textId="77777777" w:rsidTr="005476CD">
        <w:trPr>
          <w:trHeight w:val="1314"/>
        </w:trPr>
        <w:tc>
          <w:tcPr>
            <w:tcW w:w="1904" w:type="dxa"/>
            <w:vMerge w:val="restart"/>
          </w:tcPr>
          <w:p w14:paraId="24627FE7" w14:textId="77777777" w:rsidR="00A45913" w:rsidRPr="003F3B0A" w:rsidRDefault="00A45913" w:rsidP="005476CD">
            <w:pPr>
              <w:rPr>
                <w:rFonts w:ascii="Calibri" w:hAnsi="Calibri"/>
                <w:b/>
                <w:sz w:val="20"/>
                <w:szCs w:val="20"/>
              </w:rPr>
            </w:pPr>
          </w:p>
          <w:p w14:paraId="71D1979B" w14:textId="77777777" w:rsidR="00A45913" w:rsidRPr="003F3B0A" w:rsidRDefault="00A45913" w:rsidP="005476CD">
            <w:pPr>
              <w:rPr>
                <w:rFonts w:ascii="Calibri" w:hAnsi="Calibri"/>
                <w:b/>
                <w:sz w:val="20"/>
                <w:szCs w:val="20"/>
              </w:rPr>
            </w:pPr>
            <w:r w:rsidRPr="003F3B0A">
              <w:rPr>
                <w:rFonts w:ascii="Calibri" w:hAnsi="Calibri"/>
                <w:b/>
                <w:sz w:val="20"/>
                <w:szCs w:val="20"/>
              </w:rPr>
              <w:t>Inhibidores de la transcriptasa inversa análogos de nucleósido/nucleótido</w:t>
            </w:r>
          </w:p>
        </w:tc>
        <w:tc>
          <w:tcPr>
            <w:tcW w:w="1944" w:type="dxa"/>
          </w:tcPr>
          <w:p w14:paraId="10B21B95" w14:textId="77777777" w:rsidR="00A45913" w:rsidRPr="003F3B0A" w:rsidRDefault="00A45913" w:rsidP="005476CD">
            <w:pPr>
              <w:rPr>
                <w:rFonts w:ascii="Calibri" w:hAnsi="Calibri"/>
                <w:sz w:val="20"/>
                <w:szCs w:val="20"/>
              </w:rPr>
            </w:pPr>
          </w:p>
          <w:p w14:paraId="1BD8E9CA" w14:textId="77777777" w:rsidR="00A45913" w:rsidRPr="003F3B0A" w:rsidRDefault="00A45913" w:rsidP="005476CD">
            <w:pPr>
              <w:rPr>
                <w:rFonts w:ascii="Calibri" w:hAnsi="Calibri"/>
                <w:sz w:val="20"/>
                <w:szCs w:val="20"/>
              </w:rPr>
            </w:pPr>
            <w:r w:rsidRPr="003F3B0A">
              <w:rPr>
                <w:rFonts w:ascii="Calibri" w:hAnsi="Calibri"/>
                <w:sz w:val="20"/>
                <w:szCs w:val="20"/>
              </w:rPr>
              <w:t>Abacavir (ABC)</w:t>
            </w:r>
          </w:p>
        </w:tc>
        <w:tc>
          <w:tcPr>
            <w:tcW w:w="1442" w:type="dxa"/>
          </w:tcPr>
          <w:p w14:paraId="6B8DA8DF" w14:textId="77777777" w:rsidR="00A45913" w:rsidRPr="003F3B0A" w:rsidRDefault="00A45913" w:rsidP="005476CD">
            <w:pPr>
              <w:rPr>
                <w:rFonts w:ascii="Calibri" w:hAnsi="Calibri"/>
                <w:sz w:val="20"/>
                <w:szCs w:val="20"/>
              </w:rPr>
            </w:pPr>
          </w:p>
          <w:p w14:paraId="34945F95" w14:textId="77777777" w:rsidR="00A45913" w:rsidRPr="003F3B0A" w:rsidRDefault="00A45913" w:rsidP="005476CD">
            <w:pPr>
              <w:rPr>
                <w:rFonts w:ascii="Calibri" w:hAnsi="Calibri"/>
                <w:sz w:val="20"/>
                <w:szCs w:val="20"/>
              </w:rPr>
            </w:pPr>
            <w:r w:rsidRPr="003F3B0A">
              <w:rPr>
                <w:rFonts w:ascii="Calibri" w:hAnsi="Calibri"/>
                <w:sz w:val="20"/>
                <w:szCs w:val="20"/>
              </w:rPr>
              <w:t>300 mg/12</w:t>
            </w:r>
            <w:r>
              <w:rPr>
                <w:rFonts w:ascii="Calibri" w:hAnsi="Calibri"/>
                <w:sz w:val="20"/>
                <w:szCs w:val="20"/>
              </w:rPr>
              <w:t xml:space="preserve"> </w:t>
            </w:r>
            <w:r w:rsidRPr="003F3B0A">
              <w:rPr>
                <w:rFonts w:ascii="Calibri" w:hAnsi="Calibri"/>
                <w:sz w:val="20"/>
                <w:szCs w:val="20"/>
              </w:rPr>
              <w:t>h</w:t>
            </w:r>
          </w:p>
        </w:tc>
        <w:tc>
          <w:tcPr>
            <w:tcW w:w="4269" w:type="dxa"/>
          </w:tcPr>
          <w:p w14:paraId="3B23B89C" w14:textId="77777777" w:rsidR="00A45913" w:rsidRPr="003F3B0A" w:rsidRDefault="00A45913" w:rsidP="005476CD">
            <w:pPr>
              <w:rPr>
                <w:rFonts w:ascii="Calibri" w:hAnsi="Calibri"/>
                <w:sz w:val="20"/>
                <w:szCs w:val="20"/>
              </w:rPr>
            </w:pPr>
          </w:p>
          <w:p w14:paraId="646E1E93"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p w14:paraId="6F97C870" w14:textId="77777777" w:rsidR="00A45913" w:rsidRPr="003F3B0A" w:rsidRDefault="00A45913" w:rsidP="005476CD">
            <w:pPr>
              <w:rPr>
                <w:rFonts w:ascii="Calibri" w:hAnsi="Calibri"/>
                <w:strike/>
                <w:sz w:val="20"/>
                <w:szCs w:val="20"/>
              </w:rPr>
            </w:pPr>
            <w:r w:rsidRPr="003F3B0A">
              <w:rPr>
                <w:rFonts w:ascii="Calibri" w:hAnsi="Calibri"/>
                <w:sz w:val="20"/>
                <w:szCs w:val="20"/>
              </w:rPr>
              <w:t>No administrar Combivir</w:t>
            </w:r>
            <w:r w:rsidRPr="003F3B0A">
              <w:rPr>
                <w:rFonts w:ascii="Calibri" w:hAnsi="Calibri"/>
                <w:sz w:val="20"/>
                <w:szCs w:val="20"/>
                <w:vertAlign w:val="superscript"/>
              </w:rPr>
              <w:sym w:font="Symbol" w:char="F0E2"/>
            </w:r>
            <w:r w:rsidRPr="003F3B0A">
              <w:rPr>
                <w:rFonts w:ascii="Calibri" w:hAnsi="Calibri"/>
                <w:sz w:val="20"/>
                <w:szCs w:val="20"/>
              </w:rPr>
              <w:t xml:space="preserve"> , Trizivir</w:t>
            </w:r>
            <w:r w:rsidRPr="003F3B0A">
              <w:rPr>
                <w:rFonts w:ascii="Calibri" w:hAnsi="Calibri"/>
                <w:sz w:val="20"/>
                <w:szCs w:val="20"/>
                <w:vertAlign w:val="superscript"/>
              </w:rPr>
              <w:t>©</w:t>
            </w:r>
            <w:r w:rsidRPr="003F3B0A">
              <w:rPr>
                <w:rFonts w:ascii="Calibri" w:hAnsi="Calibri"/>
                <w:sz w:val="20"/>
                <w:szCs w:val="20"/>
              </w:rPr>
              <w:t xml:space="preserve"> , Kivexa</w:t>
            </w:r>
            <w:r w:rsidRPr="003F3B0A">
              <w:rPr>
                <w:rFonts w:ascii="Calibri" w:hAnsi="Calibri"/>
                <w:sz w:val="20"/>
                <w:szCs w:val="20"/>
                <w:vertAlign w:val="superscript"/>
              </w:rPr>
              <w:t>©</w:t>
            </w:r>
            <w:r w:rsidRPr="003F3B0A">
              <w:rPr>
                <w:rFonts w:ascii="Calibri" w:hAnsi="Calibri"/>
                <w:sz w:val="20"/>
                <w:szCs w:val="20"/>
              </w:rPr>
              <w:t xml:space="preserve"> o Triumeq</w:t>
            </w:r>
            <w:r w:rsidRPr="003F3B0A">
              <w:rPr>
                <w:rFonts w:ascii="Calibri" w:hAnsi="Calibri"/>
                <w:sz w:val="20"/>
                <w:szCs w:val="20"/>
                <w:vertAlign w:val="superscript"/>
              </w:rPr>
              <w:t>©</w:t>
            </w:r>
            <w:r w:rsidRPr="003F3B0A">
              <w:rPr>
                <w:rFonts w:ascii="Calibri" w:hAnsi="Calibri"/>
                <w:sz w:val="20"/>
                <w:szCs w:val="20"/>
              </w:rPr>
              <w:t xml:space="preserve"> en pacientes con Cl &lt;50 mL/min  (por separado, ajustar dosis adecuadamente)</w:t>
            </w:r>
          </w:p>
        </w:tc>
        <w:tc>
          <w:tcPr>
            <w:tcW w:w="3969" w:type="dxa"/>
          </w:tcPr>
          <w:p w14:paraId="2CF16521" w14:textId="77777777" w:rsidR="00A45913" w:rsidRPr="003F3B0A" w:rsidRDefault="00A45913" w:rsidP="005476CD">
            <w:pPr>
              <w:rPr>
                <w:rFonts w:ascii="Calibri" w:hAnsi="Calibri"/>
                <w:sz w:val="20"/>
                <w:szCs w:val="20"/>
              </w:rPr>
            </w:pPr>
          </w:p>
          <w:p w14:paraId="43C160F4" w14:textId="77777777" w:rsidR="00A45913" w:rsidRPr="003F3B0A" w:rsidRDefault="00A45913" w:rsidP="005476CD">
            <w:pPr>
              <w:rPr>
                <w:rFonts w:ascii="Calibri" w:hAnsi="Calibri"/>
                <w:sz w:val="20"/>
                <w:szCs w:val="20"/>
              </w:rPr>
            </w:pPr>
            <w:r w:rsidRPr="003F3B0A">
              <w:rPr>
                <w:rFonts w:ascii="Calibri" w:hAnsi="Calibri"/>
                <w:sz w:val="20"/>
                <w:szCs w:val="20"/>
              </w:rPr>
              <w:t>Dosis habitual.</w:t>
            </w:r>
          </w:p>
          <w:p w14:paraId="6CB152CB" w14:textId="77777777" w:rsidR="00A45913" w:rsidRPr="003F3B0A" w:rsidRDefault="00A45913" w:rsidP="005476CD">
            <w:pPr>
              <w:rPr>
                <w:rFonts w:ascii="Calibri" w:hAnsi="Calibri"/>
                <w:sz w:val="20"/>
                <w:szCs w:val="20"/>
              </w:rPr>
            </w:pPr>
            <w:r w:rsidRPr="003F3B0A">
              <w:rPr>
                <w:rFonts w:ascii="Calibri" w:hAnsi="Calibri"/>
                <w:sz w:val="20"/>
                <w:szCs w:val="20"/>
              </w:rPr>
              <w:t>HD: administrar independientemente de la sesión de HD, ya que se elimina mínimamente.</w:t>
            </w:r>
          </w:p>
        </w:tc>
      </w:tr>
      <w:tr w:rsidR="00A45913" w:rsidRPr="003F3B0A" w14:paraId="6BDE2981" w14:textId="77777777" w:rsidTr="005476CD">
        <w:trPr>
          <w:cantSplit/>
        </w:trPr>
        <w:tc>
          <w:tcPr>
            <w:tcW w:w="1904" w:type="dxa"/>
            <w:vMerge/>
            <w:tcBorders>
              <w:bottom w:val="nil"/>
            </w:tcBorders>
          </w:tcPr>
          <w:p w14:paraId="5A51C063" w14:textId="77777777" w:rsidR="00A45913" w:rsidRPr="003F3B0A" w:rsidRDefault="00A45913" w:rsidP="005476CD">
            <w:pPr>
              <w:rPr>
                <w:rFonts w:ascii="Calibri" w:hAnsi="Calibri"/>
                <w:sz w:val="20"/>
                <w:szCs w:val="20"/>
              </w:rPr>
            </w:pPr>
          </w:p>
        </w:tc>
        <w:tc>
          <w:tcPr>
            <w:tcW w:w="1944" w:type="dxa"/>
            <w:vMerge w:val="restart"/>
          </w:tcPr>
          <w:p w14:paraId="0D4E6E62" w14:textId="77777777" w:rsidR="00A45913" w:rsidRPr="003F3B0A" w:rsidRDefault="00A45913" w:rsidP="005476CD">
            <w:pPr>
              <w:rPr>
                <w:rFonts w:ascii="Calibri" w:hAnsi="Calibri"/>
                <w:sz w:val="20"/>
                <w:szCs w:val="20"/>
              </w:rPr>
            </w:pPr>
            <w:r w:rsidRPr="003F3B0A">
              <w:rPr>
                <w:rFonts w:ascii="Calibri" w:hAnsi="Calibri"/>
                <w:sz w:val="20"/>
                <w:szCs w:val="20"/>
              </w:rPr>
              <w:t>Didanosina, cápsulas entéricas (ddI)</w:t>
            </w:r>
          </w:p>
        </w:tc>
        <w:tc>
          <w:tcPr>
            <w:tcW w:w="1442" w:type="dxa"/>
          </w:tcPr>
          <w:p w14:paraId="14ED65F8" w14:textId="77777777" w:rsidR="00A45913" w:rsidRPr="003F3B0A" w:rsidRDefault="00A45913" w:rsidP="005476CD">
            <w:pPr>
              <w:rPr>
                <w:rFonts w:ascii="Calibri" w:hAnsi="Calibri"/>
                <w:sz w:val="20"/>
                <w:szCs w:val="20"/>
              </w:rPr>
            </w:pPr>
            <w:r w:rsidRPr="003F3B0A">
              <w:rPr>
                <w:rFonts w:ascii="Calibri" w:hAnsi="Calibri"/>
                <w:sz w:val="20"/>
                <w:szCs w:val="20"/>
              </w:rPr>
              <w:t xml:space="preserve">Peso </w:t>
            </w:r>
            <w:r w:rsidRPr="003F3B0A">
              <w:rPr>
                <w:rFonts w:ascii="Calibri" w:hAnsi="Calibri" w:cs="Calibri"/>
                <w:sz w:val="20"/>
                <w:szCs w:val="20"/>
              </w:rPr>
              <w:t>≥</w:t>
            </w:r>
            <w:r w:rsidRPr="003F3B0A">
              <w:rPr>
                <w:rFonts w:ascii="Calibri" w:hAnsi="Calibri"/>
                <w:sz w:val="20"/>
                <w:szCs w:val="20"/>
              </w:rPr>
              <w:t>60</w:t>
            </w:r>
            <w:r>
              <w:rPr>
                <w:rFonts w:ascii="Calibri" w:hAnsi="Calibri"/>
                <w:sz w:val="20"/>
                <w:szCs w:val="20"/>
              </w:rPr>
              <w:t xml:space="preserve"> </w:t>
            </w:r>
            <w:r w:rsidRPr="003F3B0A">
              <w:rPr>
                <w:rFonts w:ascii="Calibri" w:hAnsi="Calibri"/>
                <w:sz w:val="20"/>
                <w:szCs w:val="20"/>
              </w:rPr>
              <w:t>kg  400 mg/24</w:t>
            </w:r>
            <w:r>
              <w:rPr>
                <w:rFonts w:ascii="Calibri" w:hAnsi="Calibri"/>
                <w:sz w:val="20"/>
                <w:szCs w:val="20"/>
              </w:rPr>
              <w:t xml:space="preserve"> </w:t>
            </w:r>
            <w:r w:rsidRPr="003F3B0A">
              <w:rPr>
                <w:rFonts w:ascii="Calibri" w:hAnsi="Calibri"/>
                <w:sz w:val="20"/>
                <w:szCs w:val="20"/>
              </w:rPr>
              <w:t>h</w:t>
            </w:r>
          </w:p>
        </w:tc>
        <w:tc>
          <w:tcPr>
            <w:tcW w:w="4269" w:type="dxa"/>
          </w:tcPr>
          <w:p w14:paraId="726D8FB1" w14:textId="77777777" w:rsidR="00A45913" w:rsidRPr="003F3B0A" w:rsidRDefault="00A45913" w:rsidP="005476CD">
            <w:pPr>
              <w:rPr>
                <w:rFonts w:ascii="Calibri" w:hAnsi="Calibri"/>
                <w:sz w:val="20"/>
                <w:szCs w:val="20"/>
                <w:lang w:val="pt-BR"/>
              </w:rPr>
            </w:pPr>
            <w:r w:rsidRPr="003F3B0A">
              <w:rPr>
                <w:rFonts w:ascii="Calibri" w:hAnsi="Calibri"/>
                <w:sz w:val="20"/>
                <w:szCs w:val="20"/>
              </w:rPr>
              <w:sym w:font="Symbol" w:char="F0B3"/>
            </w:r>
            <w:r w:rsidRPr="003F3B0A">
              <w:rPr>
                <w:rFonts w:ascii="Calibri" w:hAnsi="Calibri"/>
                <w:sz w:val="20"/>
                <w:szCs w:val="20"/>
                <w:lang w:val="pt-BR"/>
              </w:rPr>
              <w:t xml:space="preserve"> 60 Kg   </w:t>
            </w:r>
          </w:p>
          <w:p w14:paraId="702E66C5"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 xml:space="preserve">Cl </w:t>
            </w:r>
            <w:r w:rsidRPr="003F3B0A">
              <w:rPr>
                <w:rFonts w:ascii="Calibri" w:hAnsi="Calibri"/>
                <w:sz w:val="20"/>
                <w:szCs w:val="20"/>
              </w:rPr>
              <w:sym w:font="Symbol" w:char="F0B3"/>
            </w:r>
            <w:r w:rsidRPr="003F3B0A">
              <w:rPr>
                <w:rFonts w:ascii="Calibri" w:hAnsi="Calibri"/>
                <w:sz w:val="20"/>
                <w:szCs w:val="20"/>
                <w:lang w:val="pt-BR"/>
              </w:rPr>
              <w:t>60: 400 mg c/24</w:t>
            </w:r>
            <w:r>
              <w:rPr>
                <w:rFonts w:ascii="Calibri" w:hAnsi="Calibri"/>
                <w:sz w:val="20"/>
                <w:szCs w:val="20"/>
                <w:lang w:val="pt-BR"/>
              </w:rPr>
              <w:t xml:space="preserve"> </w:t>
            </w:r>
            <w:r w:rsidRPr="003F3B0A">
              <w:rPr>
                <w:rFonts w:ascii="Calibri" w:hAnsi="Calibri"/>
                <w:sz w:val="20"/>
                <w:szCs w:val="20"/>
                <w:lang w:val="pt-BR"/>
              </w:rPr>
              <w:t xml:space="preserve">h     </w:t>
            </w:r>
          </w:p>
          <w:p w14:paraId="3F297BF1"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30-59: 200 mg c/24</w:t>
            </w:r>
            <w:r>
              <w:rPr>
                <w:rFonts w:ascii="Calibri" w:hAnsi="Calibri"/>
                <w:sz w:val="20"/>
                <w:szCs w:val="20"/>
                <w:lang w:val="pt-BR"/>
              </w:rPr>
              <w:t xml:space="preserve"> </w:t>
            </w:r>
            <w:r w:rsidRPr="003F3B0A">
              <w:rPr>
                <w:rFonts w:ascii="Calibri" w:hAnsi="Calibri"/>
                <w:sz w:val="20"/>
                <w:szCs w:val="20"/>
                <w:lang w:val="pt-BR"/>
              </w:rPr>
              <w:t xml:space="preserve">h                                 </w:t>
            </w:r>
          </w:p>
          <w:p w14:paraId="3584A771" w14:textId="77777777" w:rsidR="00A45913" w:rsidRPr="003F3B0A" w:rsidRDefault="00A45913" w:rsidP="005476CD">
            <w:pPr>
              <w:rPr>
                <w:rFonts w:ascii="Calibri" w:hAnsi="Calibri"/>
                <w:sz w:val="20"/>
                <w:szCs w:val="20"/>
              </w:rPr>
            </w:pPr>
            <w:r w:rsidRPr="003F3B0A">
              <w:rPr>
                <w:rFonts w:ascii="Calibri" w:hAnsi="Calibri"/>
                <w:sz w:val="20"/>
                <w:szCs w:val="20"/>
              </w:rPr>
              <w:t>Cl 10-29: 150  mg c/24</w:t>
            </w:r>
            <w:r>
              <w:rPr>
                <w:rFonts w:ascii="Calibri" w:hAnsi="Calibri"/>
                <w:sz w:val="20"/>
                <w:szCs w:val="20"/>
              </w:rPr>
              <w:t xml:space="preserve"> </w:t>
            </w:r>
            <w:r w:rsidRPr="003F3B0A">
              <w:rPr>
                <w:rFonts w:ascii="Calibri" w:hAnsi="Calibri"/>
                <w:sz w:val="20"/>
                <w:szCs w:val="20"/>
              </w:rPr>
              <w:t xml:space="preserve">h                                     </w:t>
            </w:r>
          </w:p>
          <w:p w14:paraId="3D185A31" w14:textId="77777777" w:rsidR="00A45913" w:rsidRPr="003F3B0A" w:rsidRDefault="00A45913" w:rsidP="005476CD">
            <w:pPr>
              <w:rPr>
                <w:rFonts w:ascii="Calibri" w:hAnsi="Calibri"/>
                <w:sz w:val="20"/>
                <w:szCs w:val="20"/>
              </w:rPr>
            </w:pPr>
            <w:r w:rsidRPr="003F3B0A">
              <w:rPr>
                <w:rFonts w:ascii="Calibri" w:hAnsi="Calibri"/>
                <w:sz w:val="20"/>
                <w:szCs w:val="20"/>
              </w:rPr>
              <w:t>Cl &lt;10: Emplear Videx</w:t>
            </w:r>
            <w:r w:rsidRPr="003F3B0A">
              <w:rPr>
                <w:rFonts w:ascii="Calibri" w:hAnsi="Calibri"/>
                <w:sz w:val="20"/>
                <w:szCs w:val="20"/>
                <w:vertAlign w:val="superscript"/>
              </w:rPr>
              <w:t>©</w:t>
            </w:r>
            <w:r w:rsidRPr="003F3B0A">
              <w:rPr>
                <w:rFonts w:ascii="Calibri" w:hAnsi="Calibri"/>
                <w:sz w:val="20"/>
                <w:szCs w:val="20"/>
              </w:rPr>
              <w:t xml:space="preserve"> polvo para solución pediátrica 100 mg c/24</w:t>
            </w:r>
            <w:r>
              <w:rPr>
                <w:rFonts w:ascii="Calibri" w:hAnsi="Calibri"/>
                <w:sz w:val="20"/>
                <w:szCs w:val="20"/>
              </w:rPr>
              <w:t xml:space="preserve"> </w:t>
            </w:r>
            <w:r w:rsidRPr="003F3B0A">
              <w:rPr>
                <w:rFonts w:ascii="Calibri" w:hAnsi="Calibri"/>
                <w:sz w:val="20"/>
                <w:szCs w:val="20"/>
              </w:rPr>
              <w:t>h</w:t>
            </w:r>
          </w:p>
        </w:tc>
        <w:tc>
          <w:tcPr>
            <w:tcW w:w="3969" w:type="dxa"/>
          </w:tcPr>
          <w:p w14:paraId="6A48CFDB" w14:textId="77777777" w:rsidR="00A45913" w:rsidRPr="003F3B0A" w:rsidRDefault="00A45913" w:rsidP="005476CD">
            <w:pPr>
              <w:rPr>
                <w:rFonts w:ascii="Calibri" w:hAnsi="Calibri"/>
                <w:sz w:val="20"/>
                <w:szCs w:val="20"/>
              </w:rPr>
            </w:pPr>
          </w:p>
          <w:p w14:paraId="065AFE65" w14:textId="77777777" w:rsidR="00A45913" w:rsidRPr="003F3B0A" w:rsidRDefault="00A45913" w:rsidP="005476CD">
            <w:pPr>
              <w:rPr>
                <w:rFonts w:ascii="Calibri" w:hAnsi="Calibri"/>
                <w:sz w:val="20"/>
                <w:szCs w:val="20"/>
              </w:rPr>
            </w:pPr>
            <w:r w:rsidRPr="003F3B0A">
              <w:rPr>
                <w:rFonts w:ascii="Calibri" w:hAnsi="Calibri"/>
                <w:sz w:val="20"/>
                <w:szCs w:val="20"/>
              </w:rPr>
              <w:t>HD/CAPD: 100 mg c/24</w:t>
            </w:r>
            <w:r>
              <w:rPr>
                <w:rFonts w:ascii="Calibri" w:hAnsi="Calibri"/>
                <w:sz w:val="20"/>
                <w:szCs w:val="20"/>
              </w:rPr>
              <w:t xml:space="preserve"> </w:t>
            </w:r>
            <w:r w:rsidRPr="003F3B0A">
              <w:rPr>
                <w:rFonts w:ascii="Calibri" w:hAnsi="Calibri"/>
                <w:sz w:val="20"/>
                <w:szCs w:val="20"/>
              </w:rPr>
              <w:t>h; los días de HD administrar post-HD/CAPD (no requiere suplemento).</w:t>
            </w:r>
          </w:p>
        </w:tc>
      </w:tr>
      <w:tr w:rsidR="00A45913" w:rsidRPr="003F3B0A" w14:paraId="75F33131" w14:textId="77777777" w:rsidTr="005476CD">
        <w:trPr>
          <w:cantSplit/>
        </w:trPr>
        <w:tc>
          <w:tcPr>
            <w:tcW w:w="1904" w:type="dxa"/>
            <w:tcBorders>
              <w:top w:val="nil"/>
              <w:bottom w:val="nil"/>
            </w:tcBorders>
          </w:tcPr>
          <w:p w14:paraId="44EB1846" w14:textId="77777777" w:rsidR="00A45913" w:rsidRPr="003F3B0A" w:rsidRDefault="00A45913" w:rsidP="005476CD">
            <w:pPr>
              <w:rPr>
                <w:rFonts w:ascii="Calibri" w:hAnsi="Calibri"/>
                <w:sz w:val="20"/>
                <w:szCs w:val="20"/>
              </w:rPr>
            </w:pPr>
          </w:p>
        </w:tc>
        <w:tc>
          <w:tcPr>
            <w:tcW w:w="1944" w:type="dxa"/>
            <w:vMerge/>
          </w:tcPr>
          <w:p w14:paraId="0A0F0A2D" w14:textId="77777777" w:rsidR="00A45913" w:rsidRPr="003F3B0A" w:rsidRDefault="00A45913" w:rsidP="005476CD">
            <w:pPr>
              <w:rPr>
                <w:rFonts w:ascii="Calibri" w:hAnsi="Calibri"/>
                <w:sz w:val="20"/>
                <w:szCs w:val="20"/>
              </w:rPr>
            </w:pPr>
          </w:p>
        </w:tc>
        <w:tc>
          <w:tcPr>
            <w:tcW w:w="1442" w:type="dxa"/>
          </w:tcPr>
          <w:p w14:paraId="7E062487" w14:textId="77777777" w:rsidR="00A45913" w:rsidRPr="003F3B0A" w:rsidRDefault="00A45913" w:rsidP="005476CD">
            <w:pPr>
              <w:rPr>
                <w:rFonts w:ascii="Calibri" w:hAnsi="Calibri"/>
                <w:sz w:val="20"/>
                <w:szCs w:val="20"/>
              </w:rPr>
            </w:pPr>
            <w:r w:rsidRPr="003F3B0A">
              <w:rPr>
                <w:rFonts w:ascii="Calibri" w:hAnsi="Calibri"/>
                <w:sz w:val="20"/>
                <w:szCs w:val="20"/>
              </w:rPr>
              <w:t>Peso</w:t>
            </w:r>
            <w:r w:rsidRPr="003F3B0A">
              <w:rPr>
                <w:rFonts w:ascii="Calibri" w:hAnsi="Calibri" w:cs="Calibri"/>
                <w:sz w:val="20"/>
                <w:szCs w:val="20"/>
              </w:rPr>
              <w:t>&lt;</w:t>
            </w:r>
            <w:r w:rsidRPr="003F3B0A">
              <w:rPr>
                <w:rFonts w:ascii="Calibri" w:hAnsi="Calibri"/>
                <w:sz w:val="20"/>
                <w:szCs w:val="20"/>
              </w:rPr>
              <w:t>60</w:t>
            </w:r>
            <w:r>
              <w:rPr>
                <w:rFonts w:ascii="Calibri" w:hAnsi="Calibri"/>
                <w:sz w:val="20"/>
                <w:szCs w:val="20"/>
              </w:rPr>
              <w:t xml:space="preserve"> </w:t>
            </w:r>
            <w:r w:rsidRPr="003F3B0A">
              <w:rPr>
                <w:rFonts w:ascii="Calibri" w:hAnsi="Calibri"/>
                <w:sz w:val="20"/>
                <w:szCs w:val="20"/>
              </w:rPr>
              <w:t>kg  250 mg/24</w:t>
            </w:r>
            <w:r>
              <w:rPr>
                <w:rFonts w:ascii="Calibri" w:hAnsi="Calibri"/>
                <w:sz w:val="20"/>
                <w:szCs w:val="20"/>
              </w:rPr>
              <w:t xml:space="preserve"> </w:t>
            </w:r>
            <w:r w:rsidRPr="003F3B0A">
              <w:rPr>
                <w:rFonts w:ascii="Calibri" w:hAnsi="Calibri"/>
                <w:sz w:val="20"/>
                <w:szCs w:val="20"/>
              </w:rPr>
              <w:t>h</w:t>
            </w:r>
          </w:p>
        </w:tc>
        <w:tc>
          <w:tcPr>
            <w:tcW w:w="4269" w:type="dxa"/>
          </w:tcPr>
          <w:p w14:paraId="4CB45A7C"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&lt;60 kg</w:t>
            </w:r>
          </w:p>
          <w:p w14:paraId="3E00223C"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 xml:space="preserve">Cl </w:t>
            </w:r>
            <w:r w:rsidRPr="003F3B0A">
              <w:rPr>
                <w:rFonts w:ascii="Calibri" w:hAnsi="Calibri"/>
                <w:sz w:val="20"/>
                <w:szCs w:val="20"/>
              </w:rPr>
              <w:sym w:font="Symbol" w:char="F0B3"/>
            </w:r>
            <w:r w:rsidRPr="003F3B0A">
              <w:rPr>
                <w:rFonts w:ascii="Calibri" w:hAnsi="Calibri"/>
                <w:sz w:val="20"/>
                <w:szCs w:val="20"/>
                <w:lang w:val="pt-BR"/>
              </w:rPr>
              <w:t>60: 250 mg c/24</w:t>
            </w:r>
            <w:r>
              <w:rPr>
                <w:rFonts w:ascii="Calibri" w:hAnsi="Calibri"/>
                <w:sz w:val="20"/>
                <w:szCs w:val="20"/>
                <w:lang w:val="pt-BR"/>
              </w:rPr>
              <w:t xml:space="preserve"> </w:t>
            </w:r>
            <w:r w:rsidRPr="003F3B0A">
              <w:rPr>
                <w:rFonts w:ascii="Calibri" w:hAnsi="Calibri"/>
                <w:sz w:val="20"/>
                <w:szCs w:val="20"/>
                <w:lang w:val="pt-BR"/>
              </w:rPr>
              <w:t>h</w:t>
            </w:r>
          </w:p>
          <w:p w14:paraId="262E33D0"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30-59: 150 mg c/24</w:t>
            </w:r>
            <w:r>
              <w:rPr>
                <w:rFonts w:ascii="Calibri" w:hAnsi="Calibri"/>
                <w:sz w:val="20"/>
                <w:szCs w:val="20"/>
                <w:lang w:val="pt-BR"/>
              </w:rPr>
              <w:t xml:space="preserve"> </w:t>
            </w:r>
            <w:r w:rsidRPr="003F3B0A">
              <w:rPr>
                <w:rFonts w:ascii="Calibri" w:hAnsi="Calibri"/>
                <w:sz w:val="20"/>
                <w:szCs w:val="20"/>
                <w:lang w:val="pt-BR"/>
              </w:rPr>
              <w:t>h</w:t>
            </w:r>
          </w:p>
          <w:p w14:paraId="55866823" w14:textId="77777777" w:rsidR="00A45913" w:rsidRPr="003F3B0A" w:rsidRDefault="00A45913" w:rsidP="005476CD">
            <w:pPr>
              <w:rPr>
                <w:rFonts w:ascii="Calibri" w:hAnsi="Calibri"/>
                <w:sz w:val="20"/>
                <w:szCs w:val="20"/>
              </w:rPr>
            </w:pPr>
            <w:r w:rsidRPr="003F3B0A">
              <w:rPr>
                <w:rFonts w:ascii="Calibri" w:hAnsi="Calibri"/>
                <w:sz w:val="20"/>
                <w:szCs w:val="20"/>
              </w:rPr>
              <w:t>Cl 10-29: 100 mg c/24</w:t>
            </w:r>
            <w:r>
              <w:rPr>
                <w:rFonts w:ascii="Calibri" w:hAnsi="Calibri"/>
                <w:sz w:val="20"/>
                <w:szCs w:val="20"/>
              </w:rPr>
              <w:t xml:space="preserve"> </w:t>
            </w:r>
            <w:r w:rsidRPr="003F3B0A">
              <w:rPr>
                <w:rFonts w:ascii="Calibri" w:hAnsi="Calibri"/>
                <w:sz w:val="20"/>
                <w:szCs w:val="20"/>
              </w:rPr>
              <w:t>h</w:t>
            </w:r>
          </w:p>
          <w:p w14:paraId="2055DBB0" w14:textId="77777777" w:rsidR="00A45913" w:rsidRPr="003F3B0A" w:rsidRDefault="00A45913" w:rsidP="005476CD">
            <w:pPr>
              <w:rPr>
                <w:rFonts w:ascii="Calibri" w:hAnsi="Calibri"/>
                <w:sz w:val="20"/>
                <w:szCs w:val="20"/>
              </w:rPr>
            </w:pPr>
            <w:r w:rsidRPr="003F3B0A">
              <w:rPr>
                <w:rFonts w:ascii="Calibri" w:hAnsi="Calibri"/>
                <w:sz w:val="20"/>
                <w:szCs w:val="20"/>
              </w:rPr>
              <w:t>Cl &lt;10: Emplear Videx</w:t>
            </w:r>
            <w:r w:rsidRPr="003F3B0A">
              <w:rPr>
                <w:rFonts w:ascii="Calibri" w:hAnsi="Calibri"/>
                <w:sz w:val="20"/>
                <w:szCs w:val="20"/>
                <w:vertAlign w:val="superscript"/>
              </w:rPr>
              <w:t>©</w:t>
            </w:r>
            <w:r w:rsidRPr="003F3B0A">
              <w:rPr>
                <w:rFonts w:ascii="Calibri" w:hAnsi="Calibri"/>
                <w:sz w:val="20"/>
                <w:szCs w:val="20"/>
              </w:rPr>
              <w:t xml:space="preserve"> polvo para solución pediátrica 75 mg/24</w:t>
            </w:r>
            <w:r>
              <w:rPr>
                <w:rFonts w:ascii="Calibri" w:hAnsi="Calibri"/>
                <w:sz w:val="20"/>
                <w:szCs w:val="20"/>
              </w:rPr>
              <w:t xml:space="preserve"> </w:t>
            </w:r>
            <w:r w:rsidRPr="003F3B0A">
              <w:rPr>
                <w:rFonts w:ascii="Calibri" w:hAnsi="Calibri"/>
                <w:sz w:val="20"/>
                <w:szCs w:val="20"/>
              </w:rPr>
              <w:t>h.</w:t>
            </w:r>
          </w:p>
        </w:tc>
        <w:tc>
          <w:tcPr>
            <w:tcW w:w="3969" w:type="dxa"/>
          </w:tcPr>
          <w:p w14:paraId="18D9A1AB" w14:textId="77777777" w:rsidR="00A45913" w:rsidRPr="003F3B0A" w:rsidRDefault="00A45913" w:rsidP="005476CD">
            <w:pPr>
              <w:rPr>
                <w:rFonts w:ascii="Calibri" w:hAnsi="Calibri"/>
                <w:sz w:val="20"/>
                <w:szCs w:val="20"/>
              </w:rPr>
            </w:pPr>
          </w:p>
          <w:p w14:paraId="701BCF78" w14:textId="77777777" w:rsidR="00A45913" w:rsidRPr="003F3B0A" w:rsidRDefault="00A45913" w:rsidP="005476CD">
            <w:pPr>
              <w:rPr>
                <w:rFonts w:ascii="Calibri" w:hAnsi="Calibri"/>
                <w:sz w:val="20"/>
                <w:szCs w:val="20"/>
              </w:rPr>
            </w:pPr>
            <w:r w:rsidRPr="003F3B0A">
              <w:rPr>
                <w:rFonts w:ascii="Calibri" w:hAnsi="Calibri"/>
                <w:sz w:val="20"/>
                <w:szCs w:val="20"/>
              </w:rPr>
              <w:t>HD/CAPD: Emplear Videx</w:t>
            </w:r>
            <w:r w:rsidRPr="003F3B0A">
              <w:rPr>
                <w:rFonts w:ascii="Calibri" w:hAnsi="Calibri"/>
                <w:sz w:val="20"/>
                <w:szCs w:val="20"/>
                <w:vertAlign w:val="superscript"/>
              </w:rPr>
              <w:t>©</w:t>
            </w:r>
            <w:r w:rsidRPr="003F3B0A">
              <w:rPr>
                <w:rFonts w:ascii="Calibri" w:hAnsi="Calibri"/>
                <w:sz w:val="20"/>
                <w:szCs w:val="20"/>
              </w:rPr>
              <w:t xml:space="preserve"> polvo para solución pediátrica 75 mg/24</w:t>
            </w:r>
            <w:r>
              <w:rPr>
                <w:rFonts w:ascii="Calibri" w:hAnsi="Calibri"/>
                <w:sz w:val="20"/>
                <w:szCs w:val="20"/>
              </w:rPr>
              <w:t xml:space="preserve"> </w:t>
            </w:r>
            <w:r w:rsidRPr="003F3B0A">
              <w:rPr>
                <w:rFonts w:ascii="Calibri" w:hAnsi="Calibri"/>
                <w:sz w:val="20"/>
                <w:szCs w:val="20"/>
              </w:rPr>
              <w:t>h.</w:t>
            </w:r>
          </w:p>
        </w:tc>
      </w:tr>
      <w:tr w:rsidR="00A45913" w:rsidRPr="003F3B0A" w14:paraId="1DC64A79" w14:textId="77777777" w:rsidTr="005476CD">
        <w:trPr>
          <w:cantSplit/>
        </w:trPr>
        <w:tc>
          <w:tcPr>
            <w:tcW w:w="1904" w:type="dxa"/>
            <w:tcBorders>
              <w:top w:val="nil"/>
              <w:bottom w:val="nil"/>
            </w:tcBorders>
          </w:tcPr>
          <w:p w14:paraId="0DB315B9" w14:textId="77777777" w:rsidR="00A45913" w:rsidRPr="003F3B0A" w:rsidRDefault="00A45913" w:rsidP="005476CD">
            <w:pPr>
              <w:rPr>
                <w:rFonts w:ascii="Calibri" w:hAnsi="Calibri"/>
                <w:sz w:val="20"/>
                <w:szCs w:val="20"/>
              </w:rPr>
            </w:pPr>
          </w:p>
        </w:tc>
        <w:tc>
          <w:tcPr>
            <w:tcW w:w="1944" w:type="dxa"/>
          </w:tcPr>
          <w:p w14:paraId="2A55037F" w14:textId="77777777" w:rsidR="00A45913" w:rsidRPr="003F3B0A" w:rsidRDefault="00A45913" w:rsidP="005476CD">
            <w:pPr>
              <w:rPr>
                <w:rFonts w:ascii="Calibri" w:hAnsi="Calibri"/>
                <w:sz w:val="20"/>
                <w:szCs w:val="20"/>
              </w:rPr>
            </w:pPr>
            <w:r w:rsidRPr="003F3B0A">
              <w:rPr>
                <w:rFonts w:ascii="Calibri" w:hAnsi="Calibri"/>
                <w:sz w:val="20"/>
                <w:szCs w:val="20"/>
              </w:rPr>
              <w:t>Estavudina (d4T)</w:t>
            </w:r>
          </w:p>
        </w:tc>
        <w:tc>
          <w:tcPr>
            <w:tcW w:w="1442" w:type="dxa"/>
          </w:tcPr>
          <w:p w14:paraId="1A73D5D6" w14:textId="77777777" w:rsidR="00A45913" w:rsidRPr="003F3B0A" w:rsidRDefault="00A45913" w:rsidP="005476CD">
            <w:pPr>
              <w:rPr>
                <w:rFonts w:ascii="Calibri" w:hAnsi="Calibri"/>
                <w:sz w:val="20"/>
                <w:szCs w:val="20"/>
              </w:rPr>
            </w:pPr>
            <w:r w:rsidRPr="003F3B0A">
              <w:rPr>
                <w:rFonts w:ascii="Calibri" w:hAnsi="Calibri" w:cs="Calibri"/>
                <w:sz w:val="20"/>
                <w:szCs w:val="20"/>
              </w:rPr>
              <w:t>≥</w:t>
            </w:r>
            <w:r w:rsidRPr="003F3B0A">
              <w:rPr>
                <w:rFonts w:ascii="Calibri" w:hAnsi="Calibri"/>
                <w:sz w:val="20"/>
                <w:szCs w:val="20"/>
              </w:rPr>
              <w:t xml:space="preserve"> 60 kg: 40 mg/12</w:t>
            </w:r>
            <w:r>
              <w:rPr>
                <w:rFonts w:ascii="Calibri" w:hAnsi="Calibri"/>
                <w:sz w:val="20"/>
                <w:szCs w:val="20"/>
              </w:rPr>
              <w:t xml:space="preserve"> </w:t>
            </w:r>
            <w:r w:rsidRPr="003F3B0A">
              <w:rPr>
                <w:rFonts w:ascii="Calibri" w:hAnsi="Calibri"/>
                <w:sz w:val="20"/>
                <w:szCs w:val="20"/>
              </w:rPr>
              <w:t>h</w:t>
            </w:r>
          </w:p>
          <w:p w14:paraId="68DF3D25" w14:textId="77777777" w:rsidR="00A45913" w:rsidRPr="003F3B0A" w:rsidRDefault="00A45913" w:rsidP="005476CD">
            <w:pPr>
              <w:rPr>
                <w:rFonts w:ascii="Calibri" w:hAnsi="Calibri"/>
                <w:sz w:val="20"/>
                <w:szCs w:val="20"/>
              </w:rPr>
            </w:pPr>
          </w:p>
        </w:tc>
        <w:tc>
          <w:tcPr>
            <w:tcW w:w="4269" w:type="dxa"/>
          </w:tcPr>
          <w:p w14:paraId="57399C71" w14:textId="77777777" w:rsidR="00A45913" w:rsidRPr="003F3B0A" w:rsidRDefault="00A45913" w:rsidP="005476CD">
            <w:pPr>
              <w:rPr>
                <w:rFonts w:ascii="Calibri" w:hAnsi="Calibri"/>
                <w:sz w:val="20"/>
                <w:szCs w:val="20"/>
                <w:lang w:val="pt-BR"/>
              </w:rPr>
            </w:pPr>
            <w:r w:rsidRPr="003F3B0A">
              <w:rPr>
                <w:rFonts w:ascii="Calibri" w:hAnsi="Calibri"/>
                <w:sz w:val="20"/>
                <w:szCs w:val="20"/>
              </w:rPr>
              <w:sym w:font="Symbol" w:char="F0B3"/>
            </w:r>
            <w:r w:rsidRPr="003F3B0A">
              <w:rPr>
                <w:rFonts w:ascii="Calibri" w:hAnsi="Calibri"/>
                <w:sz w:val="20"/>
                <w:szCs w:val="20"/>
                <w:lang w:val="pt-BR"/>
              </w:rPr>
              <w:t xml:space="preserve"> 60 Kg      </w:t>
            </w:r>
          </w:p>
          <w:p w14:paraId="58337962"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 xml:space="preserve">Cl </w:t>
            </w:r>
            <w:r w:rsidRPr="003F3B0A">
              <w:rPr>
                <w:rFonts w:ascii="Calibri" w:hAnsi="Calibri"/>
                <w:sz w:val="20"/>
                <w:szCs w:val="20"/>
              </w:rPr>
              <w:sym w:font="Symbol" w:char="F0B3"/>
            </w:r>
            <w:r w:rsidRPr="003F3B0A">
              <w:rPr>
                <w:rFonts w:ascii="Calibri" w:hAnsi="Calibri"/>
                <w:sz w:val="20"/>
                <w:szCs w:val="20"/>
                <w:lang w:val="pt-BR"/>
              </w:rPr>
              <w:t>50: 40 mg c/12</w:t>
            </w:r>
            <w:r>
              <w:rPr>
                <w:rFonts w:ascii="Calibri" w:hAnsi="Calibri"/>
                <w:sz w:val="20"/>
                <w:szCs w:val="20"/>
                <w:lang w:val="pt-BR"/>
              </w:rPr>
              <w:t xml:space="preserve"> </w:t>
            </w:r>
            <w:r w:rsidRPr="003F3B0A">
              <w:rPr>
                <w:rFonts w:ascii="Calibri" w:hAnsi="Calibri"/>
                <w:sz w:val="20"/>
                <w:szCs w:val="20"/>
                <w:lang w:val="pt-BR"/>
              </w:rPr>
              <w:t xml:space="preserve">h   </w:t>
            </w:r>
          </w:p>
          <w:p w14:paraId="49C498BD"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26-49: 20 mg c/12</w:t>
            </w:r>
            <w:r>
              <w:rPr>
                <w:rFonts w:ascii="Calibri" w:hAnsi="Calibri"/>
                <w:sz w:val="20"/>
                <w:szCs w:val="20"/>
                <w:lang w:val="pt-BR"/>
              </w:rPr>
              <w:t xml:space="preserve"> </w:t>
            </w:r>
            <w:r w:rsidRPr="003F3B0A">
              <w:rPr>
                <w:rFonts w:ascii="Calibri" w:hAnsi="Calibri"/>
                <w:sz w:val="20"/>
                <w:szCs w:val="20"/>
                <w:lang w:val="pt-BR"/>
              </w:rPr>
              <w:t xml:space="preserve">h   </w:t>
            </w:r>
          </w:p>
          <w:p w14:paraId="16247955" w14:textId="77777777" w:rsidR="00A45913" w:rsidRPr="003F3B0A" w:rsidRDefault="00A45913" w:rsidP="005476CD">
            <w:pPr>
              <w:rPr>
                <w:rFonts w:ascii="Calibri" w:hAnsi="Calibri"/>
                <w:sz w:val="20"/>
                <w:szCs w:val="20"/>
              </w:rPr>
            </w:pPr>
            <w:r w:rsidRPr="003F3B0A">
              <w:rPr>
                <w:rFonts w:ascii="Calibri" w:hAnsi="Calibri"/>
                <w:sz w:val="20"/>
                <w:szCs w:val="20"/>
              </w:rPr>
              <w:t>Cl ≤25: 20 mg c/24</w:t>
            </w:r>
            <w:r>
              <w:rPr>
                <w:rFonts w:ascii="Calibri" w:hAnsi="Calibri"/>
                <w:sz w:val="20"/>
                <w:szCs w:val="20"/>
              </w:rPr>
              <w:t xml:space="preserve"> </w:t>
            </w:r>
            <w:r w:rsidRPr="003F3B0A">
              <w:rPr>
                <w:rFonts w:ascii="Calibri" w:hAnsi="Calibri"/>
                <w:sz w:val="20"/>
                <w:szCs w:val="20"/>
              </w:rPr>
              <w:t xml:space="preserve">h   </w:t>
            </w:r>
          </w:p>
        </w:tc>
        <w:tc>
          <w:tcPr>
            <w:tcW w:w="3969" w:type="dxa"/>
          </w:tcPr>
          <w:p w14:paraId="104F7039" w14:textId="77777777" w:rsidR="00A45913" w:rsidRPr="003F3B0A" w:rsidRDefault="00A45913" w:rsidP="005476CD">
            <w:pPr>
              <w:rPr>
                <w:rFonts w:ascii="Calibri" w:hAnsi="Calibri"/>
                <w:sz w:val="20"/>
                <w:szCs w:val="20"/>
              </w:rPr>
            </w:pPr>
          </w:p>
          <w:p w14:paraId="5290F2FA" w14:textId="77777777" w:rsidR="00A45913" w:rsidRPr="003F3B0A" w:rsidRDefault="00A45913" w:rsidP="005476CD">
            <w:pPr>
              <w:rPr>
                <w:rFonts w:ascii="Calibri" w:hAnsi="Calibri"/>
                <w:sz w:val="20"/>
                <w:szCs w:val="20"/>
              </w:rPr>
            </w:pPr>
            <w:r w:rsidRPr="003F3B0A">
              <w:rPr>
                <w:rFonts w:ascii="Calibri" w:hAnsi="Calibri"/>
                <w:sz w:val="20"/>
                <w:szCs w:val="20"/>
              </w:rPr>
              <w:t>HD:  20 mg c/24</w:t>
            </w:r>
            <w:r>
              <w:rPr>
                <w:rFonts w:ascii="Calibri" w:hAnsi="Calibri"/>
                <w:sz w:val="20"/>
                <w:szCs w:val="20"/>
              </w:rPr>
              <w:t xml:space="preserve"> </w:t>
            </w:r>
            <w:r w:rsidRPr="003F3B0A">
              <w:rPr>
                <w:rFonts w:ascii="Calibri" w:hAnsi="Calibri"/>
                <w:sz w:val="20"/>
                <w:szCs w:val="20"/>
              </w:rPr>
              <w:t>h; los días de HD administrar post-HD</w:t>
            </w:r>
          </w:p>
        </w:tc>
      </w:tr>
      <w:tr w:rsidR="00A45913" w:rsidRPr="003F3B0A" w14:paraId="49F20EB8" w14:textId="77777777" w:rsidTr="005476CD">
        <w:trPr>
          <w:cantSplit/>
        </w:trPr>
        <w:tc>
          <w:tcPr>
            <w:tcW w:w="1904" w:type="dxa"/>
            <w:tcBorders>
              <w:top w:val="nil"/>
            </w:tcBorders>
          </w:tcPr>
          <w:p w14:paraId="5B23BBC7" w14:textId="77777777" w:rsidR="00A45913" w:rsidRPr="003F3B0A" w:rsidRDefault="00A45913" w:rsidP="005476CD">
            <w:pPr>
              <w:rPr>
                <w:rFonts w:ascii="Calibri" w:hAnsi="Calibri"/>
                <w:sz w:val="20"/>
                <w:szCs w:val="20"/>
              </w:rPr>
            </w:pPr>
          </w:p>
        </w:tc>
        <w:tc>
          <w:tcPr>
            <w:tcW w:w="1944" w:type="dxa"/>
          </w:tcPr>
          <w:p w14:paraId="04E7A780" w14:textId="77777777" w:rsidR="00A45913" w:rsidRPr="003F3B0A" w:rsidRDefault="00A45913" w:rsidP="005476CD">
            <w:pPr>
              <w:rPr>
                <w:rFonts w:ascii="Calibri" w:hAnsi="Calibri"/>
                <w:sz w:val="20"/>
                <w:szCs w:val="20"/>
              </w:rPr>
            </w:pPr>
          </w:p>
        </w:tc>
        <w:tc>
          <w:tcPr>
            <w:tcW w:w="1442" w:type="dxa"/>
          </w:tcPr>
          <w:p w14:paraId="461183AF" w14:textId="77777777" w:rsidR="00A45913" w:rsidRPr="003F3B0A" w:rsidRDefault="00A45913" w:rsidP="005476CD">
            <w:pPr>
              <w:rPr>
                <w:rFonts w:ascii="Calibri" w:hAnsi="Calibri"/>
                <w:sz w:val="20"/>
                <w:szCs w:val="20"/>
              </w:rPr>
            </w:pPr>
            <w:r w:rsidRPr="003F3B0A">
              <w:rPr>
                <w:rFonts w:ascii="Calibri" w:hAnsi="Calibri" w:cs="Calibri"/>
                <w:sz w:val="20"/>
                <w:szCs w:val="20"/>
              </w:rPr>
              <w:t>&lt;</w:t>
            </w:r>
            <w:r w:rsidRPr="003F3B0A">
              <w:rPr>
                <w:rFonts w:ascii="Calibri" w:hAnsi="Calibri"/>
                <w:sz w:val="20"/>
                <w:szCs w:val="20"/>
              </w:rPr>
              <w:t>60 kg: 30 mg/12</w:t>
            </w:r>
            <w:r>
              <w:rPr>
                <w:rFonts w:ascii="Calibri" w:hAnsi="Calibri"/>
                <w:sz w:val="20"/>
                <w:szCs w:val="20"/>
              </w:rPr>
              <w:t xml:space="preserve"> </w:t>
            </w:r>
            <w:r w:rsidRPr="003F3B0A">
              <w:rPr>
                <w:rFonts w:ascii="Calibri" w:hAnsi="Calibri"/>
                <w:sz w:val="20"/>
                <w:szCs w:val="20"/>
              </w:rPr>
              <w:t>h</w:t>
            </w:r>
          </w:p>
          <w:p w14:paraId="28F5B488" w14:textId="77777777" w:rsidR="00A45913" w:rsidRPr="003F3B0A" w:rsidRDefault="00A45913" w:rsidP="005476CD">
            <w:pPr>
              <w:rPr>
                <w:rFonts w:ascii="Calibri" w:hAnsi="Calibri"/>
                <w:sz w:val="20"/>
                <w:szCs w:val="20"/>
              </w:rPr>
            </w:pPr>
          </w:p>
        </w:tc>
        <w:tc>
          <w:tcPr>
            <w:tcW w:w="4269" w:type="dxa"/>
          </w:tcPr>
          <w:p w14:paraId="751B84B8"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&lt;60 kg</w:t>
            </w:r>
          </w:p>
          <w:p w14:paraId="3BBF7357"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 xml:space="preserve">Cl </w:t>
            </w:r>
            <w:r w:rsidRPr="003F3B0A">
              <w:rPr>
                <w:rFonts w:ascii="Calibri" w:hAnsi="Calibri"/>
                <w:sz w:val="20"/>
                <w:szCs w:val="20"/>
              </w:rPr>
              <w:sym w:font="Symbol" w:char="F0B3"/>
            </w:r>
            <w:r w:rsidRPr="003F3B0A">
              <w:rPr>
                <w:rFonts w:ascii="Calibri" w:hAnsi="Calibri"/>
                <w:sz w:val="20"/>
                <w:szCs w:val="20"/>
                <w:lang w:val="pt-BR"/>
              </w:rPr>
              <w:t>50: 30 mg c/12</w:t>
            </w:r>
            <w:r>
              <w:rPr>
                <w:rFonts w:ascii="Calibri" w:hAnsi="Calibri"/>
                <w:sz w:val="20"/>
                <w:szCs w:val="20"/>
                <w:lang w:val="pt-BR"/>
              </w:rPr>
              <w:t xml:space="preserve"> </w:t>
            </w:r>
            <w:r w:rsidRPr="003F3B0A">
              <w:rPr>
                <w:rFonts w:ascii="Calibri" w:hAnsi="Calibri"/>
                <w:sz w:val="20"/>
                <w:szCs w:val="20"/>
                <w:lang w:val="pt-BR"/>
              </w:rPr>
              <w:t>h</w:t>
            </w:r>
          </w:p>
          <w:p w14:paraId="3AB8AB0B"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26-49: 15 mg c/12</w:t>
            </w:r>
            <w:r>
              <w:rPr>
                <w:rFonts w:ascii="Calibri" w:hAnsi="Calibri"/>
                <w:sz w:val="20"/>
                <w:szCs w:val="20"/>
                <w:lang w:val="pt-BR"/>
              </w:rPr>
              <w:t xml:space="preserve"> </w:t>
            </w:r>
            <w:r w:rsidRPr="003F3B0A">
              <w:rPr>
                <w:rFonts w:ascii="Calibri" w:hAnsi="Calibri"/>
                <w:sz w:val="20"/>
                <w:szCs w:val="20"/>
                <w:lang w:val="pt-BR"/>
              </w:rPr>
              <w:t>h</w:t>
            </w:r>
          </w:p>
          <w:p w14:paraId="5986A80D" w14:textId="77777777" w:rsidR="00A45913" w:rsidRPr="003F3B0A" w:rsidRDefault="00A45913" w:rsidP="005476CD">
            <w:pPr>
              <w:rPr>
                <w:rFonts w:ascii="Calibri" w:hAnsi="Calibri"/>
                <w:sz w:val="20"/>
                <w:szCs w:val="20"/>
              </w:rPr>
            </w:pPr>
            <w:r w:rsidRPr="003F3B0A">
              <w:rPr>
                <w:rFonts w:ascii="Calibri" w:hAnsi="Calibri"/>
                <w:sz w:val="20"/>
                <w:szCs w:val="20"/>
              </w:rPr>
              <w:t>Cl ≤25: 15 mg c/24</w:t>
            </w:r>
            <w:r>
              <w:rPr>
                <w:rFonts w:ascii="Calibri" w:hAnsi="Calibri"/>
                <w:sz w:val="20"/>
                <w:szCs w:val="20"/>
              </w:rPr>
              <w:t xml:space="preserve"> </w:t>
            </w:r>
            <w:r w:rsidRPr="003F3B0A">
              <w:rPr>
                <w:rFonts w:ascii="Calibri" w:hAnsi="Calibri"/>
                <w:sz w:val="20"/>
                <w:szCs w:val="20"/>
              </w:rPr>
              <w:t>h</w:t>
            </w:r>
          </w:p>
        </w:tc>
        <w:tc>
          <w:tcPr>
            <w:tcW w:w="3969" w:type="dxa"/>
          </w:tcPr>
          <w:p w14:paraId="1DE9D982" w14:textId="77777777" w:rsidR="00A45913" w:rsidRPr="003F3B0A" w:rsidRDefault="00A45913" w:rsidP="005476CD">
            <w:pPr>
              <w:rPr>
                <w:rFonts w:ascii="Calibri" w:hAnsi="Calibri"/>
                <w:sz w:val="20"/>
                <w:szCs w:val="20"/>
              </w:rPr>
            </w:pPr>
          </w:p>
          <w:p w14:paraId="2F4A2173" w14:textId="77777777" w:rsidR="00A45913" w:rsidRPr="003F3B0A" w:rsidRDefault="00A45913" w:rsidP="005476CD">
            <w:pPr>
              <w:rPr>
                <w:rFonts w:ascii="Calibri" w:hAnsi="Calibri"/>
                <w:sz w:val="20"/>
                <w:szCs w:val="20"/>
              </w:rPr>
            </w:pPr>
            <w:r w:rsidRPr="003F3B0A">
              <w:rPr>
                <w:rFonts w:ascii="Calibri" w:hAnsi="Calibri"/>
                <w:sz w:val="20"/>
                <w:szCs w:val="20"/>
              </w:rPr>
              <w:t>HD:  15 mg c/24</w:t>
            </w:r>
            <w:r>
              <w:rPr>
                <w:rFonts w:ascii="Calibri" w:hAnsi="Calibri"/>
                <w:sz w:val="20"/>
                <w:szCs w:val="20"/>
              </w:rPr>
              <w:t xml:space="preserve"> </w:t>
            </w:r>
            <w:r w:rsidRPr="003F3B0A">
              <w:rPr>
                <w:rFonts w:ascii="Calibri" w:hAnsi="Calibri"/>
                <w:sz w:val="20"/>
                <w:szCs w:val="20"/>
              </w:rPr>
              <w:t>h; los días de HD administrar post-HD</w:t>
            </w:r>
          </w:p>
        </w:tc>
      </w:tr>
    </w:tbl>
    <w:p w14:paraId="662B8FCB" w14:textId="77777777" w:rsidR="00A45913" w:rsidRPr="003F3B0A" w:rsidRDefault="00A45913" w:rsidP="00A45913">
      <w:r w:rsidRPr="003F3B0A">
        <w:br w:type="page"/>
      </w: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346"/>
        <w:gridCol w:w="726"/>
        <w:gridCol w:w="117"/>
        <w:gridCol w:w="1546"/>
        <w:gridCol w:w="68"/>
        <w:gridCol w:w="1347"/>
        <w:gridCol w:w="4446"/>
        <w:gridCol w:w="3877"/>
        <w:gridCol w:w="103"/>
      </w:tblGrid>
      <w:tr w:rsidR="00A45913" w:rsidRPr="003F3B0A" w14:paraId="6AA4A020" w14:textId="77777777" w:rsidTr="005476CD">
        <w:trPr>
          <w:gridAfter w:val="1"/>
          <w:wAfter w:w="103" w:type="dxa"/>
          <w:cantSplit/>
        </w:trPr>
        <w:tc>
          <w:tcPr>
            <w:tcW w:w="2072" w:type="dxa"/>
            <w:gridSpan w:val="2"/>
            <w:shd w:val="clear" w:color="auto" w:fill="FDE9D9"/>
            <w:vAlign w:val="center"/>
          </w:tcPr>
          <w:p w14:paraId="30384E9E"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lastRenderedPageBreak/>
              <w:t>Familia</w:t>
            </w:r>
          </w:p>
        </w:tc>
        <w:tc>
          <w:tcPr>
            <w:tcW w:w="1731" w:type="dxa"/>
            <w:gridSpan w:val="3"/>
            <w:shd w:val="clear" w:color="auto" w:fill="FDE9D9"/>
            <w:vAlign w:val="center"/>
          </w:tcPr>
          <w:p w14:paraId="7B2CBE24"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Fármacos</w:t>
            </w:r>
          </w:p>
        </w:tc>
        <w:tc>
          <w:tcPr>
            <w:tcW w:w="1347" w:type="dxa"/>
            <w:shd w:val="clear" w:color="auto" w:fill="FDE9D9"/>
            <w:vAlign w:val="center"/>
          </w:tcPr>
          <w:p w14:paraId="7E875480"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habituales</w:t>
            </w:r>
          </w:p>
        </w:tc>
        <w:tc>
          <w:tcPr>
            <w:tcW w:w="4446" w:type="dxa"/>
            <w:shd w:val="clear" w:color="auto" w:fill="FDE9D9"/>
            <w:vAlign w:val="center"/>
          </w:tcPr>
          <w:p w14:paraId="28C1A238"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en insuficiencia renal</w:t>
            </w:r>
          </w:p>
        </w:tc>
        <w:tc>
          <w:tcPr>
            <w:tcW w:w="3877" w:type="dxa"/>
            <w:shd w:val="clear" w:color="auto" w:fill="FDE9D9"/>
            <w:vAlign w:val="center"/>
          </w:tcPr>
          <w:p w14:paraId="27791197" w14:textId="77777777" w:rsidR="00A45913" w:rsidRPr="003F3B0A" w:rsidRDefault="00A45913" w:rsidP="005476CD">
            <w:pPr>
              <w:spacing w:before="120"/>
              <w:jc w:val="center"/>
              <w:rPr>
                <w:rFonts w:ascii="Calibri" w:hAnsi="Calibri"/>
                <w:b/>
                <w:color w:val="AE1C1F"/>
                <w:sz w:val="20"/>
              </w:rPr>
            </w:pPr>
            <w:r w:rsidRPr="003F3B0A">
              <w:rPr>
                <w:rFonts w:ascii="Calibri" w:hAnsi="Calibri"/>
                <w:b/>
                <w:color w:val="AE1C1F"/>
                <w:sz w:val="20"/>
                <w:szCs w:val="22"/>
              </w:rPr>
              <w:t>Dosis en Hemodiálisis/diálisis peritoneal</w:t>
            </w:r>
          </w:p>
        </w:tc>
      </w:tr>
      <w:tr w:rsidR="00A45913" w:rsidRPr="003F3B0A" w14:paraId="103B0C41" w14:textId="77777777" w:rsidTr="005476CD">
        <w:trPr>
          <w:gridAfter w:val="1"/>
          <w:wAfter w:w="103" w:type="dxa"/>
          <w:cantSplit/>
        </w:trPr>
        <w:tc>
          <w:tcPr>
            <w:tcW w:w="2072" w:type="dxa"/>
            <w:gridSpan w:val="2"/>
            <w:tcBorders>
              <w:top w:val="nil"/>
            </w:tcBorders>
          </w:tcPr>
          <w:p w14:paraId="489FD666" w14:textId="77777777" w:rsidR="00A45913" w:rsidRPr="003F3B0A" w:rsidRDefault="00A45913" w:rsidP="005476CD">
            <w:pPr>
              <w:keepNext/>
              <w:outlineLvl w:val="0"/>
              <w:rPr>
                <w:rFonts w:ascii="Calibri" w:hAnsi="Calibri"/>
                <w:sz w:val="20"/>
                <w:szCs w:val="20"/>
              </w:rPr>
            </w:pPr>
          </w:p>
        </w:tc>
        <w:tc>
          <w:tcPr>
            <w:tcW w:w="1731" w:type="dxa"/>
            <w:gridSpan w:val="3"/>
          </w:tcPr>
          <w:p w14:paraId="36F0DAAD"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Lamivudina (3TC)</w:t>
            </w:r>
          </w:p>
          <w:p w14:paraId="5101ED99" w14:textId="77777777" w:rsidR="00A45913" w:rsidRPr="003F3B0A" w:rsidRDefault="00A45913" w:rsidP="005476CD">
            <w:pPr>
              <w:rPr>
                <w:rFonts w:ascii="Calibri" w:hAnsi="Calibri"/>
                <w:sz w:val="20"/>
                <w:szCs w:val="20"/>
              </w:rPr>
            </w:pPr>
          </w:p>
        </w:tc>
        <w:tc>
          <w:tcPr>
            <w:tcW w:w="1347" w:type="dxa"/>
          </w:tcPr>
          <w:p w14:paraId="5204DCC0" w14:textId="77777777" w:rsidR="00A45913" w:rsidRPr="003F3B0A" w:rsidRDefault="00A45913" w:rsidP="005476CD">
            <w:pPr>
              <w:rPr>
                <w:rFonts w:ascii="Calibri" w:hAnsi="Calibri"/>
                <w:sz w:val="20"/>
                <w:szCs w:val="20"/>
              </w:rPr>
            </w:pPr>
            <w:r w:rsidRPr="003F3B0A">
              <w:rPr>
                <w:rFonts w:ascii="Calibri" w:hAnsi="Calibri"/>
                <w:sz w:val="20"/>
                <w:szCs w:val="20"/>
              </w:rPr>
              <w:t>150 mg/12</w:t>
            </w:r>
            <w:r>
              <w:rPr>
                <w:rFonts w:ascii="Calibri" w:hAnsi="Calibri"/>
                <w:sz w:val="20"/>
                <w:szCs w:val="20"/>
              </w:rPr>
              <w:t xml:space="preserve"> </w:t>
            </w:r>
            <w:r w:rsidRPr="003F3B0A">
              <w:rPr>
                <w:rFonts w:ascii="Calibri" w:hAnsi="Calibri"/>
                <w:sz w:val="20"/>
                <w:szCs w:val="20"/>
              </w:rPr>
              <w:t>h o 300 mg/24</w:t>
            </w:r>
            <w:r>
              <w:rPr>
                <w:rFonts w:ascii="Calibri" w:hAnsi="Calibri"/>
                <w:sz w:val="20"/>
                <w:szCs w:val="20"/>
              </w:rPr>
              <w:t xml:space="preserve"> </w:t>
            </w:r>
            <w:r w:rsidRPr="003F3B0A">
              <w:rPr>
                <w:rFonts w:ascii="Calibri" w:hAnsi="Calibri"/>
                <w:sz w:val="20"/>
                <w:szCs w:val="20"/>
              </w:rPr>
              <w:t>h</w:t>
            </w:r>
          </w:p>
        </w:tc>
        <w:tc>
          <w:tcPr>
            <w:tcW w:w="4446" w:type="dxa"/>
          </w:tcPr>
          <w:p w14:paraId="1F95873F" w14:textId="77777777" w:rsidR="00A45913" w:rsidRPr="003F3B0A" w:rsidRDefault="00A45913" w:rsidP="005476CD">
            <w:pPr>
              <w:rPr>
                <w:rFonts w:ascii="Calibri" w:hAnsi="Calibri"/>
                <w:sz w:val="20"/>
                <w:szCs w:val="20"/>
                <w:lang w:val="pt-BR"/>
              </w:rPr>
            </w:pPr>
            <w:r w:rsidRPr="00253287">
              <w:rPr>
                <w:rFonts w:ascii="Calibri" w:hAnsi="Calibri"/>
                <w:sz w:val="20"/>
                <w:szCs w:val="20"/>
                <w:highlight w:val="yellow"/>
                <w:lang w:val="pt-BR"/>
              </w:rPr>
              <w:t xml:space="preserve">Cl </w:t>
            </w:r>
            <w:r w:rsidRPr="00253287">
              <w:rPr>
                <w:rFonts w:ascii="Calibri" w:hAnsi="Calibri"/>
                <w:sz w:val="20"/>
                <w:szCs w:val="20"/>
                <w:highlight w:val="yellow"/>
              </w:rPr>
              <w:sym w:font="Symbol" w:char="F0B3"/>
            </w:r>
            <w:r w:rsidRPr="00253287">
              <w:rPr>
                <w:rFonts w:ascii="Calibri" w:hAnsi="Calibri"/>
                <w:sz w:val="20"/>
                <w:szCs w:val="20"/>
                <w:highlight w:val="yellow"/>
                <w:lang w:val="pt-BR"/>
              </w:rPr>
              <w:t xml:space="preserve"> 30: 150 mg c/12 h ó 300 mg c/24 h</w:t>
            </w:r>
          </w:p>
          <w:p w14:paraId="46723907"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15-29: 100 mg c/24</w:t>
            </w:r>
            <w:r>
              <w:rPr>
                <w:rFonts w:ascii="Calibri" w:hAnsi="Calibri"/>
                <w:sz w:val="20"/>
                <w:szCs w:val="20"/>
                <w:lang w:val="pt-BR"/>
              </w:rPr>
              <w:t xml:space="preserve"> </w:t>
            </w:r>
            <w:r w:rsidRPr="003F3B0A">
              <w:rPr>
                <w:rFonts w:ascii="Calibri" w:hAnsi="Calibri"/>
                <w:sz w:val="20"/>
                <w:szCs w:val="20"/>
                <w:lang w:val="pt-BR"/>
              </w:rPr>
              <w:t>h (primera dosis 150 mg)</w:t>
            </w:r>
          </w:p>
          <w:p w14:paraId="2702A3C7"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5-14: 50 mg c/24</w:t>
            </w:r>
            <w:r>
              <w:rPr>
                <w:rFonts w:ascii="Calibri" w:hAnsi="Calibri"/>
                <w:sz w:val="20"/>
                <w:szCs w:val="20"/>
                <w:lang w:val="pt-BR"/>
              </w:rPr>
              <w:t xml:space="preserve"> </w:t>
            </w:r>
            <w:r w:rsidRPr="003F3B0A">
              <w:rPr>
                <w:rFonts w:ascii="Calibri" w:hAnsi="Calibri"/>
                <w:sz w:val="20"/>
                <w:szCs w:val="20"/>
                <w:lang w:val="pt-BR"/>
              </w:rPr>
              <w:t>h (primera dosis 150 mg)</w:t>
            </w:r>
          </w:p>
          <w:p w14:paraId="2B51C1CA"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Cl &lt;5: 25 mg c/24</w:t>
            </w:r>
            <w:r>
              <w:rPr>
                <w:rFonts w:ascii="Calibri" w:hAnsi="Calibri"/>
                <w:sz w:val="20"/>
                <w:szCs w:val="20"/>
                <w:lang w:val="pt-BR"/>
              </w:rPr>
              <w:t xml:space="preserve"> </w:t>
            </w:r>
            <w:r w:rsidRPr="003F3B0A">
              <w:rPr>
                <w:rFonts w:ascii="Calibri" w:hAnsi="Calibri"/>
                <w:sz w:val="20"/>
                <w:szCs w:val="20"/>
                <w:lang w:val="pt-BR"/>
              </w:rPr>
              <w:t>h (primera dosis 50 mg)</w:t>
            </w:r>
          </w:p>
          <w:p w14:paraId="7A843A92" w14:textId="77777777" w:rsidR="00A45913" w:rsidRPr="003F3B0A" w:rsidRDefault="00A45913" w:rsidP="005476CD">
            <w:pPr>
              <w:rPr>
                <w:rFonts w:ascii="Calibri" w:hAnsi="Calibri"/>
                <w:sz w:val="20"/>
                <w:szCs w:val="20"/>
              </w:rPr>
            </w:pPr>
            <w:r w:rsidRPr="003F3B0A">
              <w:rPr>
                <w:rFonts w:ascii="Calibri" w:hAnsi="Calibri"/>
                <w:sz w:val="20"/>
                <w:szCs w:val="20"/>
              </w:rPr>
              <w:t>No administrar Combivir</w:t>
            </w:r>
            <w:r w:rsidRPr="003F3B0A">
              <w:rPr>
                <w:rFonts w:ascii="Calibri" w:hAnsi="Calibri"/>
                <w:sz w:val="20"/>
                <w:szCs w:val="20"/>
                <w:vertAlign w:val="superscript"/>
              </w:rPr>
              <w:t>©</w:t>
            </w:r>
            <w:r>
              <w:rPr>
                <w:rFonts w:ascii="Calibri" w:hAnsi="Calibri"/>
                <w:sz w:val="20"/>
                <w:szCs w:val="20"/>
                <w:vertAlign w:val="superscript"/>
              </w:rPr>
              <w:t xml:space="preserve"> </w:t>
            </w:r>
            <w:r w:rsidRPr="003F3B0A">
              <w:rPr>
                <w:rFonts w:ascii="Calibri" w:hAnsi="Calibri"/>
                <w:sz w:val="20"/>
                <w:szCs w:val="20"/>
              </w:rPr>
              <w:t>y Trizivir</w:t>
            </w:r>
            <w:r w:rsidRPr="003F3B0A">
              <w:rPr>
                <w:rFonts w:ascii="Calibri" w:hAnsi="Calibri"/>
                <w:sz w:val="20"/>
                <w:szCs w:val="20"/>
                <w:vertAlign w:val="superscript"/>
              </w:rPr>
              <w:t>©</w:t>
            </w:r>
            <w:r w:rsidRPr="003F3B0A">
              <w:rPr>
                <w:rFonts w:ascii="Calibri" w:hAnsi="Calibri"/>
                <w:sz w:val="20"/>
                <w:szCs w:val="20"/>
              </w:rPr>
              <w:t xml:space="preserve"> si  Cl &lt;50 mL/min  (administrar los componentes por separado, ajustando dosis adecuadamente)</w:t>
            </w:r>
          </w:p>
        </w:tc>
        <w:tc>
          <w:tcPr>
            <w:tcW w:w="3877" w:type="dxa"/>
          </w:tcPr>
          <w:p w14:paraId="3DC7EB39" w14:textId="77777777" w:rsidR="00A45913" w:rsidRPr="003F3B0A" w:rsidRDefault="00A45913" w:rsidP="005476CD">
            <w:pPr>
              <w:rPr>
                <w:rFonts w:ascii="Calibri" w:hAnsi="Calibri"/>
                <w:sz w:val="20"/>
                <w:szCs w:val="20"/>
              </w:rPr>
            </w:pPr>
            <w:r w:rsidRPr="003F3B0A">
              <w:rPr>
                <w:rFonts w:ascii="Calibri" w:hAnsi="Calibri"/>
                <w:sz w:val="20"/>
                <w:szCs w:val="20"/>
              </w:rPr>
              <w:t>HD: 25 mg c/24</w:t>
            </w:r>
            <w:r>
              <w:rPr>
                <w:rFonts w:ascii="Calibri" w:hAnsi="Calibri"/>
                <w:sz w:val="20"/>
                <w:szCs w:val="20"/>
              </w:rPr>
              <w:t xml:space="preserve"> </w:t>
            </w:r>
            <w:r w:rsidRPr="003F3B0A">
              <w:rPr>
                <w:rFonts w:ascii="Calibri" w:hAnsi="Calibri"/>
                <w:sz w:val="20"/>
                <w:szCs w:val="20"/>
              </w:rPr>
              <w:t>h (primera dosis 50 mg) Los días de la HD, administrar post-HD.</w:t>
            </w:r>
          </w:p>
          <w:p w14:paraId="3997D109" w14:textId="77777777" w:rsidR="00A45913" w:rsidRPr="003F3B0A" w:rsidRDefault="00A45913" w:rsidP="005476CD">
            <w:pPr>
              <w:rPr>
                <w:rFonts w:ascii="Calibri" w:hAnsi="Calibri"/>
                <w:sz w:val="20"/>
                <w:szCs w:val="20"/>
              </w:rPr>
            </w:pPr>
          </w:p>
        </w:tc>
      </w:tr>
      <w:tr w:rsidR="00A45913" w:rsidRPr="003F3B0A" w14:paraId="0DA23892" w14:textId="77777777" w:rsidTr="005476CD">
        <w:trPr>
          <w:cantSplit/>
        </w:trPr>
        <w:tc>
          <w:tcPr>
            <w:tcW w:w="2189" w:type="dxa"/>
            <w:gridSpan w:val="3"/>
            <w:tcBorders>
              <w:left w:val="nil"/>
              <w:right w:val="nil"/>
            </w:tcBorders>
          </w:tcPr>
          <w:p w14:paraId="4451E61D" w14:textId="77777777" w:rsidR="00A45913" w:rsidRPr="003F3B0A" w:rsidRDefault="00A45913" w:rsidP="005476CD">
            <w:pPr>
              <w:keepNext/>
              <w:outlineLvl w:val="0"/>
              <w:rPr>
                <w:rFonts w:ascii="Calibri" w:hAnsi="Calibri"/>
                <w:sz w:val="20"/>
                <w:szCs w:val="20"/>
              </w:rPr>
            </w:pPr>
          </w:p>
        </w:tc>
        <w:tc>
          <w:tcPr>
            <w:tcW w:w="1546" w:type="dxa"/>
            <w:tcBorders>
              <w:left w:val="nil"/>
              <w:right w:val="nil"/>
            </w:tcBorders>
          </w:tcPr>
          <w:p w14:paraId="14F5D1D6" w14:textId="77777777" w:rsidR="00A45913" w:rsidRPr="003F3B0A" w:rsidRDefault="00A45913" w:rsidP="005476CD">
            <w:pPr>
              <w:rPr>
                <w:rFonts w:ascii="Calibri" w:hAnsi="Calibri"/>
                <w:sz w:val="20"/>
                <w:szCs w:val="20"/>
                <w:lang w:val="en-GB"/>
              </w:rPr>
            </w:pPr>
            <w:r w:rsidRPr="003F3B0A">
              <w:rPr>
                <w:rFonts w:ascii="Calibri" w:hAnsi="Calibri"/>
                <w:sz w:val="20"/>
                <w:szCs w:val="20"/>
                <w:lang w:val="en-GB"/>
              </w:rPr>
              <w:t>Emtricitabina (FTC)</w:t>
            </w:r>
          </w:p>
        </w:tc>
        <w:tc>
          <w:tcPr>
            <w:tcW w:w="1415" w:type="dxa"/>
            <w:gridSpan w:val="2"/>
            <w:tcBorders>
              <w:left w:val="nil"/>
              <w:right w:val="nil"/>
            </w:tcBorders>
          </w:tcPr>
          <w:p w14:paraId="357FB66A" w14:textId="77777777" w:rsidR="00A45913" w:rsidRPr="003F3B0A" w:rsidRDefault="00A45913" w:rsidP="005476CD">
            <w:pPr>
              <w:tabs>
                <w:tab w:val="center" w:pos="4252"/>
                <w:tab w:val="right" w:pos="8504"/>
              </w:tabs>
              <w:rPr>
                <w:rFonts w:ascii="Calibri" w:hAnsi="Calibri"/>
                <w:sz w:val="20"/>
                <w:szCs w:val="20"/>
                <w:lang w:val="pt-BR"/>
              </w:rPr>
            </w:pPr>
            <w:r w:rsidRPr="003F3B0A">
              <w:rPr>
                <w:rFonts w:ascii="Calibri" w:hAnsi="Calibri"/>
                <w:sz w:val="20"/>
                <w:szCs w:val="20"/>
                <w:lang w:val="pt-BR"/>
              </w:rPr>
              <w:t>200 mg c/24</w:t>
            </w:r>
            <w:r>
              <w:rPr>
                <w:rFonts w:ascii="Calibri" w:hAnsi="Calibri"/>
                <w:sz w:val="20"/>
                <w:szCs w:val="20"/>
                <w:lang w:val="pt-BR"/>
              </w:rPr>
              <w:t xml:space="preserve"> </w:t>
            </w:r>
            <w:r w:rsidRPr="003F3B0A">
              <w:rPr>
                <w:rFonts w:ascii="Calibri" w:hAnsi="Calibri"/>
                <w:sz w:val="20"/>
                <w:szCs w:val="20"/>
                <w:lang w:val="pt-BR"/>
              </w:rPr>
              <w:t>h (cápsulas)</w:t>
            </w:r>
          </w:p>
          <w:p w14:paraId="7F85D8C5" w14:textId="77777777" w:rsidR="00A45913" w:rsidRPr="003F3B0A" w:rsidRDefault="00A45913" w:rsidP="005476CD">
            <w:pPr>
              <w:tabs>
                <w:tab w:val="center" w:pos="4252"/>
                <w:tab w:val="right" w:pos="8504"/>
              </w:tabs>
              <w:rPr>
                <w:rFonts w:ascii="Calibri" w:hAnsi="Calibri"/>
                <w:sz w:val="20"/>
                <w:szCs w:val="20"/>
                <w:lang w:val="pt-BR"/>
              </w:rPr>
            </w:pPr>
            <w:r w:rsidRPr="003F3B0A">
              <w:rPr>
                <w:rFonts w:ascii="Calibri" w:hAnsi="Calibri"/>
                <w:sz w:val="20"/>
                <w:szCs w:val="20"/>
                <w:lang w:val="pt-BR"/>
              </w:rPr>
              <w:t>240 mg c/24</w:t>
            </w:r>
            <w:r>
              <w:rPr>
                <w:rFonts w:ascii="Calibri" w:hAnsi="Calibri"/>
                <w:sz w:val="20"/>
                <w:szCs w:val="20"/>
                <w:lang w:val="pt-BR"/>
              </w:rPr>
              <w:t xml:space="preserve"> </w:t>
            </w:r>
            <w:r w:rsidRPr="003F3B0A">
              <w:rPr>
                <w:rFonts w:ascii="Calibri" w:hAnsi="Calibri"/>
                <w:sz w:val="20"/>
                <w:szCs w:val="20"/>
                <w:lang w:val="pt-BR"/>
              </w:rPr>
              <w:t>h (solución oral)</w:t>
            </w:r>
          </w:p>
          <w:p w14:paraId="4CD9FCB8" w14:textId="77777777" w:rsidR="00A45913" w:rsidRPr="003F3B0A" w:rsidRDefault="00A45913" w:rsidP="005476CD">
            <w:pPr>
              <w:rPr>
                <w:rFonts w:ascii="Calibri" w:hAnsi="Calibri"/>
                <w:sz w:val="20"/>
                <w:szCs w:val="20"/>
                <w:lang w:val="pt-BR"/>
              </w:rPr>
            </w:pPr>
          </w:p>
        </w:tc>
        <w:tc>
          <w:tcPr>
            <w:tcW w:w="4446" w:type="dxa"/>
            <w:tcBorders>
              <w:left w:val="nil"/>
              <w:right w:val="nil"/>
            </w:tcBorders>
          </w:tcPr>
          <w:p w14:paraId="61C1021F"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En cápsulas</w:t>
            </w:r>
          </w:p>
          <w:p w14:paraId="447B52F3"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&gt;30: 200 mg c/24</w:t>
            </w:r>
            <w:r>
              <w:rPr>
                <w:rFonts w:ascii="Calibri" w:hAnsi="Calibri"/>
                <w:sz w:val="20"/>
                <w:szCs w:val="20"/>
                <w:lang w:val="pt-BR"/>
              </w:rPr>
              <w:t xml:space="preserve"> </w:t>
            </w:r>
            <w:r w:rsidRPr="003F3B0A">
              <w:rPr>
                <w:rFonts w:ascii="Calibri" w:hAnsi="Calibri"/>
                <w:sz w:val="20"/>
                <w:szCs w:val="20"/>
                <w:lang w:val="pt-BR"/>
              </w:rPr>
              <w:t xml:space="preserve">h </w:t>
            </w:r>
          </w:p>
          <w:p w14:paraId="4A2A1F80"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15-29: 200 mg c/72</w:t>
            </w:r>
            <w:r>
              <w:rPr>
                <w:rFonts w:ascii="Calibri" w:hAnsi="Calibri"/>
                <w:sz w:val="20"/>
                <w:szCs w:val="20"/>
                <w:lang w:val="pt-BR"/>
              </w:rPr>
              <w:t xml:space="preserve"> </w:t>
            </w:r>
            <w:r w:rsidRPr="003F3B0A">
              <w:rPr>
                <w:rFonts w:ascii="Calibri" w:hAnsi="Calibri"/>
                <w:sz w:val="20"/>
                <w:szCs w:val="20"/>
                <w:lang w:val="pt-BR"/>
              </w:rPr>
              <w:t>h</w:t>
            </w:r>
          </w:p>
          <w:p w14:paraId="4D074891" w14:textId="77777777" w:rsidR="00A45913" w:rsidRPr="003F3B0A" w:rsidRDefault="00A45913" w:rsidP="005476CD">
            <w:pPr>
              <w:ind w:left="237"/>
              <w:rPr>
                <w:rFonts w:ascii="Calibri" w:hAnsi="Calibri"/>
                <w:sz w:val="20"/>
                <w:szCs w:val="20"/>
                <w:lang w:val="en-US"/>
              </w:rPr>
            </w:pPr>
            <w:r w:rsidRPr="003F3B0A">
              <w:rPr>
                <w:rFonts w:ascii="Calibri" w:hAnsi="Calibri"/>
                <w:sz w:val="20"/>
                <w:szCs w:val="20"/>
                <w:lang w:val="en-US"/>
              </w:rPr>
              <w:t>Cl &lt;15: 200 mg c/96</w:t>
            </w:r>
            <w:r>
              <w:rPr>
                <w:rFonts w:ascii="Calibri" w:hAnsi="Calibri"/>
                <w:sz w:val="20"/>
                <w:szCs w:val="20"/>
                <w:lang w:val="en-US"/>
              </w:rPr>
              <w:t xml:space="preserve"> </w:t>
            </w:r>
            <w:r w:rsidRPr="003F3B0A">
              <w:rPr>
                <w:rFonts w:ascii="Calibri" w:hAnsi="Calibri"/>
                <w:sz w:val="20"/>
                <w:szCs w:val="20"/>
                <w:lang w:val="en-US"/>
              </w:rPr>
              <w:t xml:space="preserve">h </w:t>
            </w:r>
          </w:p>
          <w:p w14:paraId="2B77BF10" w14:textId="77777777" w:rsidR="00A45913" w:rsidRPr="003F3B0A" w:rsidRDefault="00A45913" w:rsidP="005476CD">
            <w:pPr>
              <w:rPr>
                <w:rFonts w:ascii="Calibri" w:hAnsi="Calibri"/>
                <w:sz w:val="20"/>
                <w:szCs w:val="20"/>
              </w:rPr>
            </w:pPr>
            <w:r w:rsidRPr="003F3B0A">
              <w:rPr>
                <w:rFonts w:ascii="Calibri" w:hAnsi="Calibri"/>
                <w:sz w:val="20"/>
                <w:szCs w:val="20"/>
              </w:rPr>
              <w:t>En solución (10 mg/ml)*:</w:t>
            </w:r>
          </w:p>
          <w:p w14:paraId="2BE9A13B"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&gt;30: 240 mg (24 ml) c/24</w:t>
            </w:r>
            <w:r>
              <w:rPr>
                <w:rFonts w:ascii="Calibri" w:hAnsi="Calibri"/>
                <w:sz w:val="20"/>
                <w:szCs w:val="20"/>
                <w:lang w:val="pt-BR"/>
              </w:rPr>
              <w:t xml:space="preserve"> </w:t>
            </w:r>
            <w:r w:rsidRPr="003F3B0A">
              <w:rPr>
                <w:rFonts w:ascii="Calibri" w:hAnsi="Calibri"/>
                <w:sz w:val="20"/>
                <w:szCs w:val="20"/>
                <w:lang w:val="pt-BR"/>
              </w:rPr>
              <w:t xml:space="preserve">h </w:t>
            </w:r>
          </w:p>
          <w:p w14:paraId="3CDB14CC"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&lt;15: 60 mg (6 ml) c/24</w:t>
            </w:r>
            <w:r>
              <w:rPr>
                <w:rFonts w:ascii="Calibri" w:hAnsi="Calibri"/>
                <w:sz w:val="20"/>
                <w:szCs w:val="20"/>
                <w:lang w:val="pt-BR"/>
              </w:rPr>
              <w:t xml:space="preserve"> </w:t>
            </w:r>
            <w:r w:rsidRPr="003F3B0A">
              <w:rPr>
                <w:rFonts w:ascii="Calibri" w:hAnsi="Calibri"/>
                <w:sz w:val="20"/>
                <w:szCs w:val="20"/>
                <w:lang w:val="pt-BR"/>
              </w:rPr>
              <w:t xml:space="preserve">h </w:t>
            </w:r>
          </w:p>
          <w:p w14:paraId="3BB9B113" w14:textId="77777777" w:rsidR="00A45913" w:rsidRPr="003F3B0A" w:rsidRDefault="00A45913" w:rsidP="005476CD">
            <w:pPr>
              <w:rPr>
                <w:rFonts w:ascii="Calibri" w:hAnsi="Calibri"/>
                <w:sz w:val="20"/>
                <w:szCs w:val="20"/>
              </w:rPr>
            </w:pPr>
            <w:r w:rsidRPr="003F3B0A">
              <w:rPr>
                <w:rFonts w:ascii="Calibri" w:hAnsi="Calibri"/>
                <w:sz w:val="20"/>
                <w:szCs w:val="20"/>
              </w:rPr>
              <w:t>Truvada</w:t>
            </w:r>
            <w:r w:rsidRPr="003F3B0A">
              <w:rPr>
                <w:rFonts w:ascii="Calibri" w:hAnsi="Calibri"/>
                <w:sz w:val="20"/>
                <w:szCs w:val="20"/>
                <w:vertAlign w:val="superscript"/>
              </w:rPr>
              <w:t>©</w:t>
            </w:r>
            <w:r w:rsidRPr="003F3B0A">
              <w:rPr>
                <w:rFonts w:ascii="Calibri" w:hAnsi="Calibri"/>
                <w:sz w:val="20"/>
                <w:szCs w:val="20"/>
              </w:rPr>
              <w:t>: no administrar a pacientes con Cl &lt;30 mL/min</w:t>
            </w:r>
          </w:p>
        </w:tc>
        <w:tc>
          <w:tcPr>
            <w:tcW w:w="3980" w:type="dxa"/>
            <w:gridSpan w:val="2"/>
            <w:tcBorders>
              <w:left w:val="nil"/>
              <w:right w:val="nil"/>
            </w:tcBorders>
          </w:tcPr>
          <w:p w14:paraId="5DCAED02" w14:textId="77777777" w:rsidR="00A45913" w:rsidRPr="003F3B0A" w:rsidRDefault="00A45913" w:rsidP="005476CD">
            <w:pPr>
              <w:rPr>
                <w:rFonts w:ascii="Calibri" w:hAnsi="Calibri"/>
                <w:sz w:val="20"/>
                <w:szCs w:val="20"/>
              </w:rPr>
            </w:pPr>
            <w:r w:rsidRPr="003F3B0A">
              <w:rPr>
                <w:rFonts w:ascii="Calibri" w:hAnsi="Calibri"/>
                <w:sz w:val="20"/>
                <w:szCs w:val="20"/>
              </w:rPr>
              <w:t>HD: en comprimidos 200 mg c/96</w:t>
            </w:r>
            <w:r>
              <w:rPr>
                <w:rFonts w:ascii="Calibri" w:hAnsi="Calibri"/>
                <w:sz w:val="20"/>
                <w:szCs w:val="20"/>
              </w:rPr>
              <w:t xml:space="preserve"> </w:t>
            </w:r>
            <w:r w:rsidRPr="003F3B0A">
              <w:rPr>
                <w:rFonts w:ascii="Calibri" w:hAnsi="Calibri"/>
                <w:sz w:val="20"/>
                <w:szCs w:val="20"/>
              </w:rPr>
              <w:t>h, en solución (10 mg/ml) 60 mg (6 ml) c/24</w:t>
            </w:r>
            <w:r>
              <w:rPr>
                <w:rFonts w:ascii="Calibri" w:hAnsi="Calibri"/>
                <w:sz w:val="20"/>
                <w:szCs w:val="20"/>
              </w:rPr>
              <w:t xml:space="preserve"> </w:t>
            </w:r>
            <w:r w:rsidRPr="003F3B0A">
              <w:rPr>
                <w:rFonts w:ascii="Calibri" w:hAnsi="Calibri"/>
                <w:sz w:val="20"/>
                <w:szCs w:val="20"/>
              </w:rPr>
              <w:t>h.</w:t>
            </w:r>
          </w:p>
          <w:p w14:paraId="4CF34E07" w14:textId="77777777" w:rsidR="00A45913" w:rsidRPr="003F3B0A" w:rsidRDefault="00A45913" w:rsidP="005476CD">
            <w:pPr>
              <w:rPr>
                <w:rFonts w:ascii="Calibri" w:hAnsi="Calibri"/>
                <w:sz w:val="20"/>
                <w:szCs w:val="20"/>
              </w:rPr>
            </w:pPr>
            <w:r w:rsidRPr="003F3B0A">
              <w:rPr>
                <w:rFonts w:ascii="Calibri" w:hAnsi="Calibri"/>
                <w:sz w:val="20"/>
                <w:szCs w:val="20"/>
              </w:rPr>
              <w:t>Comenzar la HD 12 h tras la toma de FTC o administrar post-HD</w:t>
            </w:r>
          </w:p>
          <w:p w14:paraId="2D053664" w14:textId="77777777" w:rsidR="00A45913" w:rsidRPr="003F3B0A" w:rsidRDefault="00A45913" w:rsidP="005476CD">
            <w:pPr>
              <w:rPr>
                <w:rFonts w:ascii="Calibri" w:hAnsi="Calibri"/>
                <w:sz w:val="20"/>
                <w:szCs w:val="20"/>
              </w:rPr>
            </w:pPr>
            <w:r w:rsidRPr="003F3B0A">
              <w:rPr>
                <w:rFonts w:ascii="Calibri" w:hAnsi="Calibri"/>
                <w:sz w:val="20"/>
                <w:szCs w:val="20"/>
              </w:rPr>
              <w:t>No se ha estudiado en diálisis peritoneal.</w:t>
            </w:r>
          </w:p>
          <w:p w14:paraId="3C04579F" w14:textId="77777777" w:rsidR="00A45913" w:rsidRPr="003F3B0A" w:rsidRDefault="00A45913" w:rsidP="005476CD">
            <w:pPr>
              <w:rPr>
                <w:rFonts w:ascii="Calibri" w:hAnsi="Calibri"/>
                <w:sz w:val="20"/>
                <w:szCs w:val="20"/>
              </w:rPr>
            </w:pPr>
            <w:r w:rsidRPr="003F3B0A">
              <w:rPr>
                <w:rFonts w:ascii="Calibri" w:hAnsi="Calibri"/>
                <w:sz w:val="20"/>
                <w:szCs w:val="20"/>
              </w:rPr>
              <w:t>Truvada</w:t>
            </w:r>
            <w:r w:rsidRPr="003F3B0A">
              <w:rPr>
                <w:rFonts w:ascii="Calibri" w:hAnsi="Calibri"/>
                <w:sz w:val="20"/>
                <w:szCs w:val="20"/>
                <w:vertAlign w:val="superscript"/>
              </w:rPr>
              <w:t>©</w:t>
            </w:r>
            <w:r w:rsidRPr="003F3B0A">
              <w:rPr>
                <w:rFonts w:ascii="Calibri" w:hAnsi="Calibri"/>
                <w:sz w:val="20"/>
                <w:szCs w:val="20"/>
              </w:rPr>
              <w:t>: no administrar a pacientes en HD (administrar los componentes por separado, ajustando dosis adecuadamente)</w:t>
            </w:r>
          </w:p>
        </w:tc>
      </w:tr>
      <w:tr w:rsidR="00A45913" w:rsidRPr="003F3B0A" w14:paraId="6BA0D8AF" w14:textId="77777777" w:rsidTr="005476CD">
        <w:trPr>
          <w:cantSplit/>
        </w:trPr>
        <w:tc>
          <w:tcPr>
            <w:tcW w:w="2189" w:type="dxa"/>
            <w:gridSpan w:val="3"/>
          </w:tcPr>
          <w:p w14:paraId="2360E94C" w14:textId="77777777" w:rsidR="00A45913" w:rsidRPr="003F3B0A" w:rsidRDefault="00A45913" w:rsidP="005476CD">
            <w:pPr>
              <w:rPr>
                <w:rFonts w:ascii="Calibri" w:hAnsi="Calibri"/>
                <w:sz w:val="20"/>
                <w:szCs w:val="20"/>
              </w:rPr>
            </w:pPr>
          </w:p>
        </w:tc>
        <w:tc>
          <w:tcPr>
            <w:tcW w:w="1546" w:type="dxa"/>
          </w:tcPr>
          <w:p w14:paraId="57E2BB2F" w14:textId="77777777" w:rsidR="00A45913" w:rsidRPr="003F3B0A" w:rsidRDefault="00A45913" w:rsidP="005476CD">
            <w:pPr>
              <w:rPr>
                <w:rFonts w:ascii="Calibri" w:hAnsi="Calibri"/>
                <w:sz w:val="20"/>
                <w:szCs w:val="20"/>
              </w:rPr>
            </w:pPr>
            <w:r w:rsidRPr="003F3B0A">
              <w:rPr>
                <w:rFonts w:ascii="Calibri" w:hAnsi="Calibri"/>
                <w:sz w:val="20"/>
                <w:szCs w:val="20"/>
              </w:rPr>
              <w:t>Zidovudina (AZT)</w:t>
            </w:r>
          </w:p>
        </w:tc>
        <w:tc>
          <w:tcPr>
            <w:tcW w:w="1415" w:type="dxa"/>
            <w:gridSpan w:val="2"/>
          </w:tcPr>
          <w:p w14:paraId="3033EB38" w14:textId="77777777" w:rsidR="00A45913" w:rsidRPr="003F3B0A" w:rsidRDefault="00A45913" w:rsidP="005476CD">
            <w:pPr>
              <w:rPr>
                <w:rFonts w:ascii="Calibri" w:hAnsi="Calibri"/>
                <w:sz w:val="20"/>
                <w:szCs w:val="20"/>
              </w:rPr>
            </w:pPr>
            <w:r w:rsidRPr="003F3B0A">
              <w:rPr>
                <w:rFonts w:ascii="Calibri" w:hAnsi="Calibri"/>
                <w:sz w:val="20"/>
                <w:szCs w:val="20"/>
              </w:rPr>
              <w:t>300 mg/12</w:t>
            </w:r>
            <w:r>
              <w:rPr>
                <w:rFonts w:ascii="Calibri" w:hAnsi="Calibri"/>
                <w:sz w:val="20"/>
                <w:szCs w:val="20"/>
              </w:rPr>
              <w:t xml:space="preserve"> </w:t>
            </w:r>
            <w:r w:rsidRPr="003F3B0A">
              <w:rPr>
                <w:rFonts w:ascii="Calibri" w:hAnsi="Calibri"/>
                <w:sz w:val="20"/>
                <w:szCs w:val="20"/>
              </w:rPr>
              <w:t>h</w:t>
            </w:r>
          </w:p>
        </w:tc>
        <w:tc>
          <w:tcPr>
            <w:tcW w:w="4446" w:type="dxa"/>
          </w:tcPr>
          <w:p w14:paraId="52D38175" w14:textId="77777777" w:rsidR="00A45913" w:rsidRPr="003F3B0A" w:rsidRDefault="00A45913" w:rsidP="005476CD">
            <w:pPr>
              <w:rPr>
                <w:rFonts w:ascii="Calibri" w:hAnsi="Calibri"/>
                <w:sz w:val="20"/>
                <w:szCs w:val="20"/>
              </w:rPr>
            </w:pPr>
            <w:r w:rsidRPr="003F3B0A">
              <w:rPr>
                <w:rFonts w:ascii="Calibri" w:hAnsi="Calibri"/>
                <w:sz w:val="20"/>
                <w:szCs w:val="20"/>
              </w:rPr>
              <w:t>Puede acumularse el metabolito glucurónido (GAZT)</w:t>
            </w:r>
          </w:p>
          <w:p w14:paraId="171A5599" w14:textId="77777777" w:rsidR="00A45913" w:rsidRPr="003F3B0A" w:rsidRDefault="00A45913" w:rsidP="005476CD">
            <w:pPr>
              <w:ind w:left="708" w:hanging="471"/>
              <w:rPr>
                <w:rFonts w:ascii="Calibri" w:hAnsi="Calibri"/>
                <w:sz w:val="20"/>
                <w:szCs w:val="20"/>
                <w:lang w:val="en-US"/>
              </w:rPr>
            </w:pPr>
            <w:r w:rsidRPr="003F3B0A">
              <w:rPr>
                <w:rFonts w:ascii="Calibri" w:hAnsi="Calibri"/>
                <w:sz w:val="20"/>
                <w:szCs w:val="20"/>
                <w:lang w:val="en-US"/>
              </w:rPr>
              <w:t>Cl 10-50: 250-300 mg c/12</w:t>
            </w:r>
            <w:r>
              <w:rPr>
                <w:rFonts w:ascii="Calibri" w:hAnsi="Calibri"/>
                <w:sz w:val="20"/>
                <w:szCs w:val="20"/>
                <w:lang w:val="en-US"/>
              </w:rPr>
              <w:t xml:space="preserve"> </w:t>
            </w:r>
            <w:r w:rsidRPr="003F3B0A">
              <w:rPr>
                <w:rFonts w:ascii="Calibri" w:hAnsi="Calibri"/>
                <w:sz w:val="20"/>
                <w:szCs w:val="20"/>
                <w:lang w:val="en-US"/>
              </w:rPr>
              <w:t>h.</w:t>
            </w:r>
          </w:p>
          <w:p w14:paraId="68529E3B" w14:textId="77777777" w:rsidR="00A45913" w:rsidRPr="003F3B0A" w:rsidRDefault="00A45913" w:rsidP="005476CD">
            <w:pPr>
              <w:ind w:left="708" w:hanging="471"/>
              <w:rPr>
                <w:rFonts w:ascii="Calibri" w:hAnsi="Calibri"/>
                <w:sz w:val="20"/>
                <w:szCs w:val="20"/>
                <w:lang w:val="en-US"/>
              </w:rPr>
            </w:pPr>
            <w:r w:rsidRPr="003F3B0A">
              <w:rPr>
                <w:rFonts w:ascii="Calibri" w:hAnsi="Calibri"/>
                <w:sz w:val="20"/>
                <w:szCs w:val="20"/>
                <w:lang w:val="en-US"/>
              </w:rPr>
              <w:t>Cl &lt;10: 300 mg c/24</w:t>
            </w:r>
            <w:r>
              <w:rPr>
                <w:rFonts w:ascii="Calibri" w:hAnsi="Calibri"/>
                <w:sz w:val="20"/>
                <w:szCs w:val="20"/>
                <w:lang w:val="en-US"/>
              </w:rPr>
              <w:t xml:space="preserve"> </w:t>
            </w:r>
            <w:r w:rsidRPr="003F3B0A">
              <w:rPr>
                <w:rFonts w:ascii="Calibri" w:hAnsi="Calibri"/>
                <w:sz w:val="20"/>
                <w:szCs w:val="20"/>
                <w:lang w:val="en-US"/>
              </w:rPr>
              <w:t xml:space="preserve">h. </w:t>
            </w:r>
          </w:p>
          <w:p w14:paraId="448D1A7F" w14:textId="77777777" w:rsidR="00A45913" w:rsidRPr="003F3B0A" w:rsidRDefault="00A45913" w:rsidP="005476CD">
            <w:pPr>
              <w:rPr>
                <w:rFonts w:ascii="Calibri" w:hAnsi="Calibri"/>
                <w:sz w:val="20"/>
                <w:szCs w:val="20"/>
              </w:rPr>
            </w:pPr>
            <w:r w:rsidRPr="003F3B0A">
              <w:rPr>
                <w:rFonts w:ascii="Calibri" w:hAnsi="Calibri"/>
                <w:sz w:val="20"/>
                <w:szCs w:val="20"/>
              </w:rPr>
              <w:t>No administrar Combivir</w:t>
            </w:r>
            <w:r w:rsidRPr="003F3B0A">
              <w:rPr>
                <w:rFonts w:ascii="Calibri" w:hAnsi="Calibri"/>
                <w:sz w:val="20"/>
                <w:szCs w:val="20"/>
              </w:rPr>
              <w:sym w:font="Symbol" w:char="F0E2"/>
            </w:r>
            <w:r w:rsidRPr="003F3B0A">
              <w:rPr>
                <w:rFonts w:ascii="Calibri" w:hAnsi="Calibri"/>
                <w:sz w:val="20"/>
                <w:szCs w:val="20"/>
              </w:rPr>
              <w:t xml:space="preserve"> y Trizivir</w:t>
            </w:r>
            <w:r w:rsidRPr="003F3B0A">
              <w:rPr>
                <w:rFonts w:ascii="Calibri" w:hAnsi="Calibri"/>
                <w:sz w:val="20"/>
                <w:szCs w:val="20"/>
              </w:rPr>
              <w:sym w:font="Symbol" w:char="F0E2"/>
            </w:r>
            <w:r w:rsidRPr="003F3B0A">
              <w:rPr>
                <w:rFonts w:ascii="Calibri" w:hAnsi="Calibri"/>
                <w:sz w:val="20"/>
                <w:szCs w:val="20"/>
              </w:rPr>
              <w:t xml:space="preserve"> en pacientes con Cl &lt;50 mL/min  (administrar los componentes por separado, ajustando dosis adecuadamente)</w:t>
            </w:r>
          </w:p>
        </w:tc>
        <w:tc>
          <w:tcPr>
            <w:tcW w:w="3980" w:type="dxa"/>
            <w:gridSpan w:val="2"/>
          </w:tcPr>
          <w:p w14:paraId="743E448A" w14:textId="77777777" w:rsidR="00A45913" w:rsidRPr="003F3B0A" w:rsidRDefault="00A45913" w:rsidP="005476CD">
            <w:pPr>
              <w:rPr>
                <w:rFonts w:ascii="Calibri" w:hAnsi="Calibri"/>
                <w:sz w:val="20"/>
                <w:szCs w:val="20"/>
              </w:rPr>
            </w:pPr>
            <w:r w:rsidRPr="003F3B0A">
              <w:rPr>
                <w:rFonts w:ascii="Calibri" w:hAnsi="Calibri"/>
                <w:sz w:val="20"/>
                <w:szCs w:val="20"/>
              </w:rPr>
              <w:t>300 mg c/24</w:t>
            </w:r>
            <w:r>
              <w:rPr>
                <w:rFonts w:ascii="Calibri" w:hAnsi="Calibri"/>
                <w:sz w:val="20"/>
                <w:szCs w:val="20"/>
              </w:rPr>
              <w:t xml:space="preserve"> </w:t>
            </w:r>
            <w:r w:rsidRPr="003F3B0A">
              <w:rPr>
                <w:rFonts w:ascii="Calibri" w:hAnsi="Calibri"/>
                <w:sz w:val="20"/>
                <w:szCs w:val="20"/>
              </w:rPr>
              <w:t>h.</w:t>
            </w:r>
          </w:p>
          <w:p w14:paraId="13D84A23" w14:textId="77777777" w:rsidR="00A45913" w:rsidRPr="003F3B0A" w:rsidRDefault="00A45913" w:rsidP="005476CD">
            <w:pPr>
              <w:rPr>
                <w:rFonts w:ascii="Calibri" w:hAnsi="Calibri"/>
                <w:sz w:val="20"/>
                <w:szCs w:val="20"/>
              </w:rPr>
            </w:pPr>
            <w:r w:rsidRPr="003F3B0A">
              <w:rPr>
                <w:rFonts w:ascii="Calibri" w:hAnsi="Calibri"/>
                <w:sz w:val="20"/>
                <w:szCs w:val="20"/>
              </w:rPr>
              <w:t>HD/CAPD: no afecta la eliminación de AZT y aumenta la eliminación de GAZT. Por precaución, se recomienda administrar la dosis diaria post-HD/CAPD.</w:t>
            </w:r>
          </w:p>
        </w:tc>
      </w:tr>
      <w:tr w:rsidR="00A45913" w:rsidRPr="003F3B0A" w14:paraId="0A83490A" w14:textId="77777777" w:rsidTr="005476CD">
        <w:trPr>
          <w:cantSplit/>
          <w:trHeight w:val="561"/>
        </w:trPr>
        <w:tc>
          <w:tcPr>
            <w:tcW w:w="1346" w:type="dxa"/>
            <w:tcBorders>
              <w:right w:val="nil"/>
            </w:tcBorders>
            <w:shd w:val="clear" w:color="auto" w:fill="FDE9D9"/>
            <w:vAlign w:val="center"/>
          </w:tcPr>
          <w:p w14:paraId="14A5A5B7" w14:textId="77777777" w:rsidR="00A45913" w:rsidRPr="003F3B0A" w:rsidRDefault="00A45913" w:rsidP="005476CD">
            <w:pPr>
              <w:keepNext/>
              <w:jc w:val="center"/>
              <w:outlineLvl w:val="0"/>
              <w:rPr>
                <w:rFonts w:ascii="Calibri" w:hAnsi="Calibri"/>
                <w:b/>
                <w:color w:val="AE1C1F"/>
                <w:sz w:val="20"/>
                <w:szCs w:val="20"/>
              </w:rPr>
            </w:pPr>
            <w:r w:rsidRPr="003F3B0A">
              <w:rPr>
                <w:rFonts w:ascii="Calibri" w:hAnsi="Calibri"/>
                <w:b/>
                <w:color w:val="AE1C1F"/>
                <w:sz w:val="20"/>
                <w:szCs w:val="20"/>
              </w:rPr>
              <w:lastRenderedPageBreak/>
              <w:t>Familia</w:t>
            </w:r>
          </w:p>
        </w:tc>
        <w:tc>
          <w:tcPr>
            <w:tcW w:w="2389" w:type="dxa"/>
            <w:gridSpan w:val="3"/>
            <w:tcBorders>
              <w:left w:val="nil"/>
              <w:right w:val="nil"/>
            </w:tcBorders>
            <w:shd w:val="clear" w:color="auto" w:fill="FDE9D9"/>
            <w:vAlign w:val="center"/>
          </w:tcPr>
          <w:p w14:paraId="31D325F0" w14:textId="77777777" w:rsidR="00A45913" w:rsidRPr="003F3B0A" w:rsidRDefault="00A45913" w:rsidP="005476CD">
            <w:pPr>
              <w:keepNext/>
              <w:jc w:val="center"/>
              <w:outlineLvl w:val="0"/>
              <w:rPr>
                <w:rFonts w:ascii="Calibri" w:hAnsi="Calibri"/>
                <w:b/>
                <w:color w:val="AE1C1F"/>
                <w:sz w:val="20"/>
                <w:szCs w:val="20"/>
              </w:rPr>
            </w:pPr>
            <w:r w:rsidRPr="003F3B0A">
              <w:rPr>
                <w:rFonts w:ascii="Calibri" w:hAnsi="Calibri"/>
                <w:b/>
                <w:color w:val="AE1C1F"/>
                <w:sz w:val="20"/>
                <w:szCs w:val="20"/>
              </w:rPr>
              <w:t>Fármacos</w:t>
            </w:r>
          </w:p>
        </w:tc>
        <w:tc>
          <w:tcPr>
            <w:tcW w:w="1415" w:type="dxa"/>
            <w:gridSpan w:val="2"/>
            <w:tcBorders>
              <w:left w:val="nil"/>
              <w:right w:val="nil"/>
            </w:tcBorders>
            <w:shd w:val="clear" w:color="auto" w:fill="FDE9D9"/>
            <w:vAlign w:val="center"/>
          </w:tcPr>
          <w:p w14:paraId="0C633478" w14:textId="77777777" w:rsidR="00A45913" w:rsidRPr="003F3B0A" w:rsidRDefault="00A45913" w:rsidP="005476CD">
            <w:pPr>
              <w:jc w:val="center"/>
              <w:rPr>
                <w:rFonts w:ascii="Calibri" w:hAnsi="Calibri"/>
                <w:b/>
                <w:color w:val="AE1C1F"/>
                <w:sz w:val="20"/>
                <w:szCs w:val="20"/>
              </w:rPr>
            </w:pPr>
            <w:r w:rsidRPr="003F3B0A">
              <w:rPr>
                <w:rFonts w:ascii="Calibri" w:hAnsi="Calibri"/>
                <w:b/>
                <w:color w:val="AE1C1F"/>
                <w:sz w:val="20"/>
                <w:szCs w:val="20"/>
              </w:rPr>
              <w:t>Dosis habituales</w:t>
            </w:r>
          </w:p>
        </w:tc>
        <w:tc>
          <w:tcPr>
            <w:tcW w:w="4446" w:type="dxa"/>
            <w:tcBorders>
              <w:left w:val="nil"/>
              <w:right w:val="nil"/>
            </w:tcBorders>
            <w:shd w:val="clear" w:color="auto" w:fill="FDE9D9"/>
            <w:vAlign w:val="center"/>
          </w:tcPr>
          <w:p w14:paraId="54E08F9F" w14:textId="77777777" w:rsidR="00A45913" w:rsidRPr="003F3B0A" w:rsidRDefault="00A45913" w:rsidP="005476CD">
            <w:pPr>
              <w:jc w:val="center"/>
              <w:rPr>
                <w:rFonts w:ascii="Calibri" w:hAnsi="Calibri"/>
                <w:b/>
                <w:color w:val="AE1C1F"/>
                <w:sz w:val="20"/>
                <w:szCs w:val="20"/>
              </w:rPr>
            </w:pPr>
            <w:r w:rsidRPr="003F3B0A">
              <w:rPr>
                <w:rFonts w:ascii="Calibri" w:hAnsi="Calibri"/>
                <w:b/>
                <w:color w:val="AE1C1F"/>
                <w:sz w:val="20"/>
                <w:szCs w:val="20"/>
              </w:rPr>
              <w:t>Dosis en insuficiencia renal</w:t>
            </w:r>
          </w:p>
        </w:tc>
        <w:tc>
          <w:tcPr>
            <w:tcW w:w="3980" w:type="dxa"/>
            <w:gridSpan w:val="2"/>
            <w:tcBorders>
              <w:left w:val="nil"/>
            </w:tcBorders>
            <w:shd w:val="clear" w:color="auto" w:fill="FDE9D9"/>
            <w:vAlign w:val="center"/>
          </w:tcPr>
          <w:p w14:paraId="45F2B129" w14:textId="77777777" w:rsidR="00A45913" w:rsidRPr="003F3B0A" w:rsidRDefault="00A45913" w:rsidP="005476CD">
            <w:pPr>
              <w:jc w:val="center"/>
              <w:rPr>
                <w:rFonts w:ascii="Calibri" w:hAnsi="Calibri"/>
                <w:b/>
                <w:color w:val="AE1C1F"/>
                <w:sz w:val="20"/>
                <w:szCs w:val="20"/>
              </w:rPr>
            </w:pPr>
            <w:r w:rsidRPr="003F3B0A">
              <w:rPr>
                <w:rFonts w:ascii="Calibri" w:hAnsi="Calibri"/>
                <w:b/>
                <w:color w:val="AE1C1F"/>
                <w:sz w:val="20"/>
                <w:szCs w:val="20"/>
              </w:rPr>
              <w:t>Dosis en Hemodiálisis/diálisis peritoneal</w:t>
            </w:r>
          </w:p>
        </w:tc>
      </w:tr>
      <w:tr w:rsidR="00A45913" w:rsidRPr="003F3B0A" w14:paraId="2E0D9C8D" w14:textId="77777777" w:rsidTr="005476CD">
        <w:trPr>
          <w:cantSplit/>
        </w:trPr>
        <w:tc>
          <w:tcPr>
            <w:tcW w:w="1346" w:type="dxa"/>
          </w:tcPr>
          <w:p w14:paraId="6995C19F" w14:textId="77777777" w:rsidR="00A45913" w:rsidRPr="003F3B0A" w:rsidRDefault="00A45913" w:rsidP="005476CD">
            <w:pPr>
              <w:keepNext/>
              <w:outlineLvl w:val="0"/>
              <w:rPr>
                <w:rFonts w:ascii="Calibri" w:hAnsi="Calibri"/>
                <w:sz w:val="20"/>
                <w:szCs w:val="20"/>
              </w:rPr>
            </w:pPr>
          </w:p>
        </w:tc>
        <w:tc>
          <w:tcPr>
            <w:tcW w:w="2389" w:type="dxa"/>
            <w:gridSpan w:val="3"/>
          </w:tcPr>
          <w:p w14:paraId="3131EB6C"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Tenofovir (TDF)</w:t>
            </w:r>
          </w:p>
          <w:p w14:paraId="63214EF8"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 xml:space="preserve">Se recomienda valorar riesgo/beneficio  del empleo de tenofovir en pacientes con insuficiencia renal. </w:t>
            </w:r>
          </w:p>
          <w:p w14:paraId="0FDF7DE7"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Los ajustes han sido obtenidos mediante modelado de datos farmacocinéticos tras la administración de dosis únicas en sujetos con VIH y VHB con diferentes grados de insuficiencia renal, incluyendo HD. Su eficacia y seguridad no han sido evaluadas clínicamente, por lo que se recomienda una estrecha monitorización.</w:t>
            </w:r>
          </w:p>
        </w:tc>
        <w:tc>
          <w:tcPr>
            <w:tcW w:w="1415" w:type="dxa"/>
            <w:gridSpan w:val="2"/>
          </w:tcPr>
          <w:p w14:paraId="0BEDB96C" w14:textId="77777777" w:rsidR="00A45913" w:rsidRPr="003F3B0A" w:rsidRDefault="00A45913" w:rsidP="005476CD">
            <w:pPr>
              <w:rPr>
                <w:rFonts w:ascii="Calibri" w:hAnsi="Calibri"/>
                <w:sz w:val="20"/>
                <w:szCs w:val="20"/>
              </w:rPr>
            </w:pPr>
            <w:r w:rsidRPr="003F3B0A">
              <w:rPr>
                <w:rFonts w:ascii="Calibri" w:hAnsi="Calibri"/>
                <w:sz w:val="20"/>
                <w:szCs w:val="20"/>
              </w:rPr>
              <w:t>300 mg/24</w:t>
            </w:r>
            <w:r>
              <w:rPr>
                <w:rFonts w:ascii="Calibri" w:hAnsi="Calibri"/>
                <w:sz w:val="20"/>
                <w:szCs w:val="20"/>
              </w:rPr>
              <w:t xml:space="preserve"> </w:t>
            </w:r>
            <w:r w:rsidRPr="003F3B0A">
              <w:rPr>
                <w:rFonts w:ascii="Calibri" w:hAnsi="Calibri"/>
                <w:sz w:val="20"/>
                <w:szCs w:val="20"/>
              </w:rPr>
              <w:t>h</w:t>
            </w:r>
          </w:p>
        </w:tc>
        <w:tc>
          <w:tcPr>
            <w:tcW w:w="4446" w:type="dxa"/>
          </w:tcPr>
          <w:p w14:paraId="39EF280C" w14:textId="77777777" w:rsidR="00A45913" w:rsidRPr="003F3B0A" w:rsidRDefault="00A45913" w:rsidP="005476CD">
            <w:pPr>
              <w:rPr>
                <w:rFonts w:ascii="Calibri" w:hAnsi="Calibri"/>
                <w:sz w:val="20"/>
                <w:szCs w:val="20"/>
              </w:rPr>
            </w:pPr>
            <w:r w:rsidRPr="003F3B0A">
              <w:rPr>
                <w:rFonts w:ascii="Calibri" w:hAnsi="Calibri"/>
                <w:sz w:val="20"/>
                <w:szCs w:val="20"/>
              </w:rPr>
              <w:t>Se recomienda emplear la formulación en gránulos.</w:t>
            </w:r>
          </w:p>
          <w:p w14:paraId="26E01699"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 xml:space="preserve">Cl </w:t>
            </w:r>
            <w:r w:rsidRPr="003F3B0A">
              <w:rPr>
                <w:rFonts w:ascii="Calibri" w:hAnsi="Calibri"/>
                <w:sz w:val="20"/>
                <w:szCs w:val="20"/>
              </w:rPr>
              <w:sym w:font="Symbol" w:char="F0B3"/>
            </w:r>
            <w:r w:rsidRPr="003F3B0A">
              <w:rPr>
                <w:rFonts w:ascii="Calibri" w:hAnsi="Calibri"/>
                <w:sz w:val="20"/>
                <w:szCs w:val="20"/>
                <w:lang w:val="pt-BR"/>
              </w:rPr>
              <w:t xml:space="preserve"> 50: no requiere ajuste de dosis</w:t>
            </w:r>
          </w:p>
          <w:p w14:paraId="7DCFB4EF"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30-49: 132 mg (4 cacitos)/24</w:t>
            </w:r>
            <w:r>
              <w:rPr>
                <w:rFonts w:ascii="Calibri" w:hAnsi="Calibri"/>
                <w:sz w:val="20"/>
                <w:szCs w:val="20"/>
                <w:lang w:val="pt-BR"/>
              </w:rPr>
              <w:t xml:space="preserve"> </w:t>
            </w:r>
            <w:r w:rsidRPr="003F3B0A">
              <w:rPr>
                <w:rFonts w:ascii="Calibri" w:hAnsi="Calibri"/>
                <w:sz w:val="20"/>
                <w:szCs w:val="20"/>
                <w:lang w:val="pt-BR"/>
              </w:rPr>
              <w:t>h</w:t>
            </w:r>
          </w:p>
          <w:p w14:paraId="245D2E5C"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20-29: 65 mg (2 cacitos)/24</w:t>
            </w:r>
            <w:r>
              <w:rPr>
                <w:rFonts w:ascii="Calibri" w:hAnsi="Calibri"/>
                <w:sz w:val="20"/>
                <w:szCs w:val="20"/>
                <w:lang w:val="pt-BR"/>
              </w:rPr>
              <w:t xml:space="preserve"> </w:t>
            </w:r>
            <w:r w:rsidRPr="003F3B0A">
              <w:rPr>
                <w:rFonts w:ascii="Calibri" w:hAnsi="Calibri"/>
                <w:sz w:val="20"/>
                <w:szCs w:val="20"/>
                <w:lang w:val="pt-BR"/>
              </w:rPr>
              <w:t>h</w:t>
            </w:r>
          </w:p>
          <w:p w14:paraId="25C84AE0" w14:textId="77777777" w:rsidR="00A45913" w:rsidRPr="003F3B0A" w:rsidRDefault="00A45913" w:rsidP="005476CD">
            <w:pPr>
              <w:ind w:left="237"/>
              <w:rPr>
                <w:rFonts w:ascii="Calibri" w:hAnsi="Calibri"/>
                <w:sz w:val="20"/>
                <w:szCs w:val="20"/>
                <w:lang w:val="pt-BR"/>
              </w:rPr>
            </w:pPr>
            <w:r w:rsidRPr="003F3B0A">
              <w:rPr>
                <w:rFonts w:ascii="Calibri" w:hAnsi="Calibri"/>
                <w:sz w:val="20"/>
                <w:szCs w:val="20"/>
                <w:lang w:val="pt-BR"/>
              </w:rPr>
              <w:t>Cl 10-19: 33 mg (1 cacito)/24</w:t>
            </w:r>
            <w:r>
              <w:rPr>
                <w:rFonts w:ascii="Calibri" w:hAnsi="Calibri"/>
                <w:sz w:val="20"/>
                <w:szCs w:val="20"/>
                <w:lang w:val="pt-BR"/>
              </w:rPr>
              <w:t xml:space="preserve"> </w:t>
            </w:r>
            <w:r w:rsidRPr="003F3B0A">
              <w:rPr>
                <w:rFonts w:ascii="Calibri" w:hAnsi="Calibri"/>
                <w:sz w:val="20"/>
                <w:szCs w:val="20"/>
                <w:lang w:val="pt-BR"/>
              </w:rPr>
              <w:t>h</w:t>
            </w:r>
          </w:p>
          <w:p w14:paraId="0FED49D8" w14:textId="77777777" w:rsidR="00A45913" w:rsidRPr="003F3B0A" w:rsidRDefault="00A45913" w:rsidP="005476CD">
            <w:pPr>
              <w:rPr>
                <w:rFonts w:ascii="Calibri" w:hAnsi="Calibri"/>
                <w:sz w:val="20"/>
                <w:szCs w:val="20"/>
              </w:rPr>
            </w:pPr>
            <w:r w:rsidRPr="003F3B0A">
              <w:rPr>
                <w:rFonts w:ascii="Calibri" w:hAnsi="Calibri"/>
                <w:sz w:val="20"/>
                <w:szCs w:val="20"/>
              </w:rPr>
              <w:t>No hay recomendaciones disponibles para pacientes con Cl &lt;10 sin HD</w:t>
            </w:r>
          </w:p>
          <w:p w14:paraId="1D36AE79" w14:textId="77777777" w:rsidR="00A45913" w:rsidRPr="003F3B0A" w:rsidRDefault="00A45913" w:rsidP="005476CD">
            <w:pPr>
              <w:rPr>
                <w:rFonts w:ascii="Calibri" w:hAnsi="Calibri"/>
                <w:sz w:val="20"/>
                <w:szCs w:val="20"/>
              </w:rPr>
            </w:pPr>
            <w:r w:rsidRPr="003F3B0A">
              <w:rPr>
                <w:rFonts w:ascii="Calibri" w:hAnsi="Calibri"/>
                <w:sz w:val="20"/>
                <w:szCs w:val="20"/>
              </w:rPr>
              <w:t>No administrar TDF en coformulaciones a dosis fijas (Truvada</w:t>
            </w:r>
            <w:r w:rsidRPr="003F3B0A">
              <w:rPr>
                <w:rFonts w:ascii="Calibri" w:hAnsi="Calibri"/>
                <w:sz w:val="20"/>
                <w:szCs w:val="20"/>
                <w:vertAlign w:val="superscript"/>
              </w:rPr>
              <w:t>©</w:t>
            </w:r>
            <w:r w:rsidRPr="003F3B0A">
              <w:rPr>
                <w:rFonts w:ascii="Calibri" w:hAnsi="Calibri"/>
                <w:sz w:val="20"/>
                <w:szCs w:val="20"/>
              </w:rPr>
              <w:t>, Atripla</w:t>
            </w:r>
            <w:r w:rsidRPr="003F3B0A">
              <w:rPr>
                <w:rFonts w:ascii="Calibri" w:hAnsi="Calibri"/>
                <w:sz w:val="20"/>
                <w:szCs w:val="20"/>
                <w:vertAlign w:val="superscript"/>
              </w:rPr>
              <w:t>©</w:t>
            </w:r>
            <w:r w:rsidRPr="003F3B0A">
              <w:rPr>
                <w:rFonts w:ascii="Calibri" w:hAnsi="Calibri"/>
                <w:sz w:val="20"/>
                <w:szCs w:val="20"/>
              </w:rPr>
              <w:t>, Eviplera</w:t>
            </w:r>
            <w:r w:rsidRPr="003F3B0A">
              <w:rPr>
                <w:rFonts w:ascii="Calibri" w:hAnsi="Calibri"/>
                <w:sz w:val="20"/>
                <w:szCs w:val="20"/>
                <w:vertAlign w:val="superscript"/>
              </w:rPr>
              <w:t>©</w:t>
            </w:r>
            <w:r w:rsidRPr="003F3B0A">
              <w:rPr>
                <w:rFonts w:ascii="Calibri" w:hAnsi="Calibri"/>
                <w:sz w:val="20"/>
                <w:szCs w:val="20"/>
              </w:rPr>
              <w:t xml:space="preserve"> y Stribild</w:t>
            </w:r>
            <w:r w:rsidRPr="003F3B0A">
              <w:rPr>
                <w:rFonts w:ascii="Calibri" w:hAnsi="Calibri"/>
                <w:sz w:val="20"/>
                <w:szCs w:val="20"/>
                <w:vertAlign w:val="superscript"/>
              </w:rPr>
              <w:t>©</w:t>
            </w:r>
            <w:r w:rsidRPr="003F3B0A">
              <w:rPr>
                <w:rFonts w:ascii="Calibri" w:hAnsi="Calibri"/>
                <w:sz w:val="20"/>
                <w:szCs w:val="20"/>
              </w:rPr>
              <w:t>) si  Cl &lt;50 mL/min  (administrar los componentes por separado, ajustando dosis adecuadamente).</w:t>
            </w:r>
          </w:p>
        </w:tc>
        <w:tc>
          <w:tcPr>
            <w:tcW w:w="3980" w:type="dxa"/>
            <w:gridSpan w:val="2"/>
          </w:tcPr>
          <w:p w14:paraId="55D02AFA" w14:textId="77777777" w:rsidR="00A45913" w:rsidRPr="003F3B0A" w:rsidRDefault="00A45913" w:rsidP="005476CD">
            <w:pPr>
              <w:rPr>
                <w:rFonts w:ascii="Calibri" w:hAnsi="Calibri"/>
                <w:sz w:val="20"/>
                <w:szCs w:val="20"/>
              </w:rPr>
            </w:pPr>
            <w:r w:rsidRPr="003F3B0A">
              <w:rPr>
                <w:rFonts w:ascii="Calibri" w:hAnsi="Calibri"/>
                <w:sz w:val="20"/>
                <w:szCs w:val="20"/>
              </w:rPr>
              <w:t>HD: 16,5 mg (medio cacito) tras completar cada sesión de HD de 4</w:t>
            </w:r>
            <w:r>
              <w:rPr>
                <w:rFonts w:ascii="Calibri" w:hAnsi="Calibri"/>
                <w:sz w:val="20"/>
                <w:szCs w:val="20"/>
              </w:rPr>
              <w:t xml:space="preserve"> </w:t>
            </w:r>
            <w:r w:rsidRPr="003F3B0A">
              <w:rPr>
                <w:rFonts w:ascii="Calibri" w:hAnsi="Calibri"/>
                <w:sz w:val="20"/>
                <w:szCs w:val="20"/>
              </w:rPr>
              <w:t>h.</w:t>
            </w:r>
          </w:p>
        </w:tc>
      </w:tr>
      <w:tr w:rsidR="00A45913" w:rsidRPr="003F3B0A" w14:paraId="3C3FA1D6" w14:textId="77777777" w:rsidTr="005476CD">
        <w:trPr>
          <w:cantSplit/>
        </w:trPr>
        <w:tc>
          <w:tcPr>
            <w:tcW w:w="1346" w:type="dxa"/>
          </w:tcPr>
          <w:p w14:paraId="5B3B9DFE" w14:textId="77777777" w:rsidR="00A45913" w:rsidRPr="003F3B0A" w:rsidRDefault="00A45913" w:rsidP="005476CD">
            <w:pPr>
              <w:keepNext/>
              <w:outlineLvl w:val="0"/>
              <w:rPr>
                <w:rFonts w:ascii="Calibri" w:hAnsi="Calibri"/>
                <w:sz w:val="20"/>
                <w:szCs w:val="20"/>
              </w:rPr>
            </w:pPr>
          </w:p>
        </w:tc>
        <w:tc>
          <w:tcPr>
            <w:tcW w:w="2389" w:type="dxa"/>
            <w:gridSpan w:val="3"/>
          </w:tcPr>
          <w:p w14:paraId="19291223"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Tenofovir Alafenamida (TAF) se usa coformulado con FTC y EVG/c o RPV.</w:t>
            </w:r>
          </w:p>
          <w:p w14:paraId="57A97BAA" w14:textId="77777777" w:rsidR="00A45913" w:rsidRPr="003F3B0A" w:rsidRDefault="00A45913" w:rsidP="005476CD">
            <w:pPr>
              <w:keepNext/>
              <w:outlineLvl w:val="0"/>
              <w:rPr>
                <w:rFonts w:ascii="Calibri" w:hAnsi="Calibri"/>
                <w:sz w:val="20"/>
                <w:szCs w:val="20"/>
              </w:rPr>
            </w:pPr>
            <w:r w:rsidRPr="003F3B0A">
              <w:rPr>
                <w:rFonts w:ascii="Calibri" w:hAnsi="Calibri"/>
                <w:sz w:val="20"/>
                <w:szCs w:val="20"/>
              </w:rPr>
              <w:t xml:space="preserve">Menor </w:t>
            </w:r>
            <w:r>
              <w:rPr>
                <w:rFonts w:ascii="Calibri" w:hAnsi="Calibri"/>
                <w:sz w:val="20"/>
                <w:szCs w:val="20"/>
              </w:rPr>
              <w:t>declive de función renal, menor</w:t>
            </w:r>
            <w:r w:rsidRPr="003F3B0A">
              <w:rPr>
                <w:rFonts w:ascii="Calibri" w:hAnsi="Calibri"/>
                <w:sz w:val="20"/>
                <w:szCs w:val="20"/>
              </w:rPr>
              <w:t xml:space="preserve"> proteinuria  y menor reducción de DMO que con TDF/FTC.</w:t>
            </w:r>
          </w:p>
          <w:p w14:paraId="1BFA1661" w14:textId="77777777" w:rsidR="00A45913" w:rsidRPr="003F3B0A" w:rsidRDefault="00A45913" w:rsidP="005476CD">
            <w:pPr>
              <w:autoSpaceDE w:val="0"/>
              <w:autoSpaceDN w:val="0"/>
              <w:adjustRightInd w:val="0"/>
              <w:rPr>
                <w:rFonts w:ascii="ArialNarrow" w:eastAsia="MS Mincho" w:hAnsi="ArialNarrow" w:cs="ArialNarrow"/>
                <w:sz w:val="20"/>
                <w:szCs w:val="20"/>
                <w:lang w:eastAsia="ja-JP"/>
              </w:rPr>
            </w:pPr>
          </w:p>
        </w:tc>
        <w:tc>
          <w:tcPr>
            <w:tcW w:w="1415" w:type="dxa"/>
            <w:gridSpan w:val="2"/>
          </w:tcPr>
          <w:p w14:paraId="6439571C" w14:textId="77777777" w:rsidR="00A45913" w:rsidRPr="003F3B0A" w:rsidRDefault="00A45913" w:rsidP="005476CD">
            <w:pPr>
              <w:spacing w:before="100" w:beforeAutospacing="1" w:after="100" w:afterAutospacing="1"/>
              <w:rPr>
                <w:rFonts w:ascii="Calibri" w:eastAsia="MS Mincho" w:hAnsi="Calibri"/>
                <w:sz w:val="20"/>
                <w:szCs w:val="20"/>
                <w:lang w:eastAsia="ja-JP"/>
              </w:rPr>
            </w:pPr>
            <w:r w:rsidRPr="003F3B0A">
              <w:rPr>
                <w:rFonts w:ascii="Calibri" w:eastAsia="MS Mincho" w:hAnsi="Calibri"/>
                <w:sz w:val="20"/>
                <w:szCs w:val="20"/>
                <w:lang w:eastAsia="ja-JP"/>
              </w:rPr>
              <w:t>10 mg por vía oral/24 h con EVG/c</w:t>
            </w:r>
            <w:r>
              <w:rPr>
                <w:rFonts w:ascii="Calibri" w:eastAsia="MS Mincho" w:hAnsi="Calibri"/>
                <w:sz w:val="20"/>
                <w:szCs w:val="20"/>
                <w:lang w:eastAsia="ja-JP"/>
              </w:rPr>
              <w:t xml:space="preserve"> </w:t>
            </w:r>
            <w:r w:rsidRPr="003F3B0A">
              <w:rPr>
                <w:rFonts w:ascii="Calibri" w:eastAsia="MS Mincho" w:hAnsi="Calibri"/>
                <w:sz w:val="20"/>
                <w:szCs w:val="20"/>
                <w:lang w:eastAsia="ja-JP"/>
              </w:rPr>
              <w:t>(Genvoya</w:t>
            </w:r>
            <w:r w:rsidRPr="003F3B0A">
              <w:rPr>
                <w:rFonts w:ascii="Calibri" w:hAnsi="Calibri"/>
                <w:sz w:val="20"/>
                <w:szCs w:val="20"/>
                <w:vertAlign w:val="superscript"/>
              </w:rPr>
              <w:t>©</w:t>
            </w:r>
            <w:r w:rsidRPr="003F3B0A">
              <w:rPr>
                <w:rFonts w:ascii="Calibri" w:eastAsia="MS Mincho" w:hAnsi="Calibri"/>
                <w:sz w:val="20"/>
                <w:szCs w:val="20"/>
                <w:lang w:eastAsia="ja-JP"/>
              </w:rPr>
              <w:t>)</w:t>
            </w:r>
          </w:p>
          <w:p w14:paraId="06CFBF24" w14:textId="77777777" w:rsidR="00A45913" w:rsidRPr="003F3B0A" w:rsidRDefault="00A45913" w:rsidP="005476CD">
            <w:pPr>
              <w:spacing w:before="100" w:beforeAutospacing="1" w:after="100" w:afterAutospacing="1"/>
              <w:rPr>
                <w:rFonts w:ascii="Calibri" w:eastAsia="MS Mincho" w:hAnsi="Calibri"/>
                <w:sz w:val="20"/>
                <w:szCs w:val="20"/>
                <w:lang w:eastAsia="ja-JP"/>
              </w:rPr>
            </w:pPr>
            <w:r w:rsidRPr="003F3B0A">
              <w:rPr>
                <w:rFonts w:ascii="Calibri" w:eastAsia="MS Mincho" w:hAnsi="Calibri"/>
                <w:sz w:val="20"/>
                <w:szCs w:val="20"/>
                <w:lang w:eastAsia="ja-JP"/>
              </w:rPr>
              <w:t>25 mg por vía oral/24 h en otras formulaciones a dosis fijas</w:t>
            </w:r>
          </w:p>
        </w:tc>
        <w:tc>
          <w:tcPr>
            <w:tcW w:w="4446" w:type="dxa"/>
          </w:tcPr>
          <w:p w14:paraId="6AE4861E" w14:textId="77777777" w:rsidR="00A45913" w:rsidRPr="003F3B0A" w:rsidRDefault="00A45913" w:rsidP="005476CD">
            <w:pPr>
              <w:rPr>
                <w:rFonts w:ascii="Calibri" w:hAnsi="Calibri"/>
                <w:sz w:val="20"/>
                <w:szCs w:val="20"/>
              </w:rPr>
            </w:pPr>
            <w:r w:rsidRPr="003F3B0A">
              <w:rPr>
                <w:rFonts w:ascii="Calibri" w:hAnsi="Calibri"/>
                <w:sz w:val="20"/>
                <w:szCs w:val="20"/>
              </w:rPr>
              <w:t xml:space="preserve">Seguro en pacientes con FGe </w:t>
            </w:r>
            <w:r w:rsidRPr="003F3B0A">
              <w:rPr>
                <w:rFonts w:ascii="Calibri" w:eastAsia="MS Mincho" w:hAnsi="Calibri" w:cs="ArialNarrow"/>
                <w:sz w:val="20"/>
                <w:szCs w:val="20"/>
                <w:lang w:eastAsia="ja-JP"/>
              </w:rPr>
              <w:t>≥ 30 ml/min</w:t>
            </w:r>
            <w:r w:rsidRPr="003F3B0A">
              <w:rPr>
                <w:rFonts w:ascii="Calibri" w:hAnsi="Calibri"/>
                <w:sz w:val="20"/>
                <w:szCs w:val="20"/>
              </w:rPr>
              <w:t>.</w:t>
            </w:r>
          </w:p>
          <w:p w14:paraId="5BFA1605" w14:textId="77777777" w:rsidR="00A45913" w:rsidRPr="003F3B0A" w:rsidRDefault="00A45913" w:rsidP="005476CD">
            <w:pPr>
              <w:rPr>
                <w:rFonts w:ascii="Calibri" w:hAnsi="Calibri"/>
                <w:sz w:val="20"/>
                <w:szCs w:val="20"/>
              </w:rPr>
            </w:pPr>
            <w:r w:rsidRPr="003F3B0A">
              <w:rPr>
                <w:rFonts w:ascii="Calibri" w:hAnsi="Calibri"/>
                <w:sz w:val="20"/>
                <w:szCs w:val="20"/>
              </w:rPr>
              <w:t xml:space="preserve">No hay recomendaciones disponibles sobre ajuste de dosis para pacientes con FGe &lt; 30 ml/min. </w:t>
            </w:r>
          </w:p>
        </w:tc>
        <w:tc>
          <w:tcPr>
            <w:tcW w:w="3980" w:type="dxa"/>
            <w:gridSpan w:val="2"/>
          </w:tcPr>
          <w:p w14:paraId="242BB807" w14:textId="77777777" w:rsidR="00A45913" w:rsidRPr="003F3B0A" w:rsidRDefault="00A45913" w:rsidP="005476CD">
            <w:pPr>
              <w:rPr>
                <w:rFonts w:ascii="Calibri" w:hAnsi="Calibri"/>
                <w:sz w:val="20"/>
                <w:szCs w:val="20"/>
              </w:rPr>
            </w:pPr>
            <w:r w:rsidRPr="003F3B0A">
              <w:rPr>
                <w:rFonts w:ascii="Calibri" w:hAnsi="Calibri"/>
                <w:sz w:val="20"/>
                <w:szCs w:val="20"/>
              </w:rPr>
              <w:t xml:space="preserve">No hay recomendaciones disponibles sobre ajuste de dosis para pacientes eh </w:t>
            </w:r>
            <w:r>
              <w:rPr>
                <w:rFonts w:ascii="Calibri" w:hAnsi="Calibri"/>
                <w:sz w:val="20"/>
                <w:szCs w:val="20"/>
              </w:rPr>
              <w:t xml:space="preserve">HD </w:t>
            </w:r>
            <w:r w:rsidRPr="003F3B0A">
              <w:rPr>
                <w:rFonts w:ascii="Calibri" w:hAnsi="Calibri"/>
                <w:sz w:val="20"/>
                <w:szCs w:val="20"/>
              </w:rPr>
              <w:t xml:space="preserve">o </w:t>
            </w:r>
            <w:r>
              <w:rPr>
                <w:rFonts w:ascii="Calibri" w:hAnsi="Calibri"/>
                <w:sz w:val="20"/>
                <w:szCs w:val="20"/>
              </w:rPr>
              <w:t>CAPD.</w:t>
            </w:r>
          </w:p>
        </w:tc>
      </w:tr>
    </w:tbl>
    <w:p w14:paraId="7030588B" w14:textId="77777777" w:rsidR="00A45913" w:rsidRPr="003F3B0A" w:rsidRDefault="00A45913" w:rsidP="00A45913">
      <w:pPr>
        <w:rPr>
          <w:sz w:val="20"/>
          <w:szCs w:val="20"/>
        </w:rPr>
      </w:pPr>
    </w:p>
    <w:p w14:paraId="09C1C97B" w14:textId="77777777" w:rsidR="00A45913" w:rsidRPr="003F3B0A" w:rsidRDefault="00A45913" w:rsidP="00A45913">
      <w:pPr>
        <w:rPr>
          <w:sz w:val="20"/>
          <w:szCs w:val="20"/>
        </w:rPr>
      </w:pPr>
      <w:r w:rsidRPr="003F3B0A">
        <w:rPr>
          <w:sz w:val="20"/>
          <w:szCs w:val="20"/>
        </w:rPr>
        <w:t xml:space="preserve"> </w:t>
      </w:r>
    </w:p>
    <w:p w14:paraId="6A5B2642" w14:textId="77777777" w:rsidR="00A45913" w:rsidRPr="003F3B0A" w:rsidRDefault="00A45913" w:rsidP="00A45913">
      <w:pPr>
        <w:rPr>
          <w:sz w:val="20"/>
          <w:szCs w:val="20"/>
        </w:rPr>
      </w:pP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871"/>
        <w:gridCol w:w="1858"/>
        <w:gridCol w:w="3265"/>
        <w:gridCol w:w="68"/>
        <w:gridCol w:w="2404"/>
        <w:gridCol w:w="799"/>
        <w:gridCol w:w="71"/>
        <w:gridCol w:w="2578"/>
        <w:gridCol w:w="662"/>
      </w:tblGrid>
      <w:tr w:rsidR="00A45913" w:rsidRPr="003F3B0A" w14:paraId="5DDF2965" w14:textId="77777777" w:rsidTr="005476CD">
        <w:trPr>
          <w:cantSplit/>
          <w:trHeight w:val="673"/>
        </w:trPr>
        <w:tc>
          <w:tcPr>
            <w:tcW w:w="1871" w:type="dxa"/>
            <w:tcBorders>
              <w:right w:val="nil"/>
            </w:tcBorders>
            <w:shd w:val="clear" w:color="auto" w:fill="FDE9D9"/>
            <w:vAlign w:val="center"/>
          </w:tcPr>
          <w:p w14:paraId="45D7A31E"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Familia</w:t>
            </w:r>
          </w:p>
        </w:tc>
        <w:tc>
          <w:tcPr>
            <w:tcW w:w="1858" w:type="dxa"/>
            <w:tcBorders>
              <w:right w:val="nil"/>
            </w:tcBorders>
            <w:shd w:val="clear" w:color="auto" w:fill="FDE9D9"/>
            <w:vAlign w:val="center"/>
          </w:tcPr>
          <w:p w14:paraId="7C999A60"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3265" w:type="dxa"/>
            <w:tcBorders>
              <w:right w:val="nil"/>
            </w:tcBorders>
            <w:shd w:val="clear" w:color="auto" w:fill="FDE9D9"/>
            <w:vAlign w:val="center"/>
          </w:tcPr>
          <w:p w14:paraId="2BC444F8"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3271" w:type="dxa"/>
            <w:gridSpan w:val="3"/>
            <w:tcBorders>
              <w:left w:val="nil"/>
              <w:right w:val="nil"/>
            </w:tcBorders>
            <w:shd w:val="clear" w:color="auto" w:fill="FDE9D9"/>
            <w:vAlign w:val="center"/>
          </w:tcPr>
          <w:p w14:paraId="2396ADBF"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3311" w:type="dxa"/>
            <w:gridSpan w:val="3"/>
            <w:tcBorders>
              <w:left w:val="nil"/>
              <w:right w:val="nil"/>
            </w:tcBorders>
            <w:shd w:val="clear" w:color="auto" w:fill="FDE9D9"/>
            <w:vAlign w:val="center"/>
          </w:tcPr>
          <w:p w14:paraId="66942F15"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3B54FBB6" w14:textId="77777777" w:rsidTr="005476CD">
        <w:trPr>
          <w:cantSplit/>
        </w:trPr>
        <w:tc>
          <w:tcPr>
            <w:tcW w:w="1871" w:type="dxa"/>
          </w:tcPr>
          <w:p w14:paraId="5543EFB1" w14:textId="77777777" w:rsidR="00A45913" w:rsidRPr="003F3B0A" w:rsidRDefault="00A45913" w:rsidP="005476CD">
            <w:pPr>
              <w:rPr>
                <w:rFonts w:ascii="Calibri" w:hAnsi="Calibri"/>
                <w:b/>
                <w:sz w:val="20"/>
                <w:szCs w:val="20"/>
              </w:rPr>
            </w:pPr>
            <w:r w:rsidRPr="003F3B0A">
              <w:rPr>
                <w:rFonts w:ascii="Calibri" w:hAnsi="Calibri"/>
                <w:b/>
                <w:sz w:val="20"/>
                <w:szCs w:val="20"/>
              </w:rPr>
              <w:t>Inhibidores de la transcriptasa inversa no nucleósidos</w:t>
            </w:r>
          </w:p>
        </w:tc>
        <w:tc>
          <w:tcPr>
            <w:tcW w:w="1858" w:type="dxa"/>
          </w:tcPr>
          <w:p w14:paraId="2A4F37A3"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Efavirenz (EFV)</w:t>
            </w:r>
          </w:p>
        </w:tc>
        <w:tc>
          <w:tcPr>
            <w:tcW w:w="3265" w:type="dxa"/>
          </w:tcPr>
          <w:p w14:paraId="3C1635FE" w14:textId="77777777" w:rsidR="00A45913" w:rsidRPr="003F3B0A" w:rsidRDefault="00A45913" w:rsidP="005476CD">
            <w:pPr>
              <w:rPr>
                <w:rFonts w:ascii="Calibri" w:hAnsi="Calibri"/>
                <w:sz w:val="20"/>
                <w:szCs w:val="20"/>
              </w:rPr>
            </w:pPr>
            <w:r w:rsidRPr="003F3B0A">
              <w:rPr>
                <w:rFonts w:ascii="Calibri" w:hAnsi="Calibri"/>
                <w:sz w:val="20"/>
                <w:szCs w:val="20"/>
              </w:rPr>
              <w:t>600 mg/24</w:t>
            </w:r>
            <w:r>
              <w:rPr>
                <w:rFonts w:ascii="Calibri" w:hAnsi="Calibri"/>
                <w:sz w:val="20"/>
                <w:szCs w:val="20"/>
              </w:rPr>
              <w:t xml:space="preserve"> </w:t>
            </w:r>
            <w:r w:rsidRPr="003F3B0A">
              <w:rPr>
                <w:rFonts w:ascii="Calibri" w:hAnsi="Calibri"/>
                <w:sz w:val="20"/>
                <w:szCs w:val="20"/>
              </w:rPr>
              <w:t>h</w:t>
            </w:r>
          </w:p>
        </w:tc>
        <w:tc>
          <w:tcPr>
            <w:tcW w:w="3271" w:type="dxa"/>
            <w:gridSpan w:val="3"/>
          </w:tcPr>
          <w:p w14:paraId="3B221994" w14:textId="77777777" w:rsidR="00A45913" w:rsidRPr="003F3B0A" w:rsidRDefault="00A45913" w:rsidP="005476CD">
            <w:pPr>
              <w:rPr>
                <w:rFonts w:ascii="Calibri" w:hAnsi="Calibri"/>
                <w:sz w:val="20"/>
                <w:szCs w:val="20"/>
              </w:rPr>
            </w:pPr>
          </w:p>
          <w:p w14:paraId="263C2779"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p w14:paraId="6CC3053A" w14:textId="77777777" w:rsidR="00A45913" w:rsidRPr="003F3B0A" w:rsidRDefault="00A45913" w:rsidP="005476CD">
            <w:pPr>
              <w:rPr>
                <w:rFonts w:ascii="Calibri" w:hAnsi="Calibri"/>
                <w:sz w:val="20"/>
                <w:szCs w:val="20"/>
              </w:rPr>
            </w:pPr>
          </w:p>
          <w:p w14:paraId="10AC6BB9" w14:textId="77777777" w:rsidR="00A45913" w:rsidRPr="003F3B0A" w:rsidRDefault="00A45913" w:rsidP="005476CD">
            <w:pPr>
              <w:rPr>
                <w:rFonts w:ascii="Calibri" w:hAnsi="Calibri"/>
                <w:sz w:val="20"/>
                <w:szCs w:val="20"/>
              </w:rPr>
            </w:pPr>
            <w:r w:rsidRPr="003F3B0A">
              <w:rPr>
                <w:rFonts w:ascii="Calibri" w:hAnsi="Calibri"/>
                <w:sz w:val="20"/>
                <w:szCs w:val="20"/>
              </w:rPr>
              <w:t>Atripla</w:t>
            </w:r>
            <w:r w:rsidRPr="003F3B0A">
              <w:rPr>
                <w:rFonts w:ascii="Calibri" w:hAnsi="Calibri"/>
                <w:sz w:val="20"/>
                <w:szCs w:val="20"/>
                <w:vertAlign w:val="superscript"/>
              </w:rPr>
              <w:t>©</w:t>
            </w:r>
            <w:r w:rsidRPr="003F3B0A">
              <w:rPr>
                <w:rFonts w:ascii="Calibri" w:hAnsi="Calibri"/>
                <w:sz w:val="20"/>
                <w:szCs w:val="20"/>
              </w:rPr>
              <w:t xml:space="preserve">: en pacientes con Cl &lt;50 ml/min, utilizar los principios activos por separado. </w:t>
            </w:r>
          </w:p>
        </w:tc>
        <w:tc>
          <w:tcPr>
            <w:tcW w:w="3311" w:type="dxa"/>
            <w:gridSpan w:val="3"/>
          </w:tcPr>
          <w:p w14:paraId="41AD502E" w14:textId="77777777" w:rsidR="00A45913" w:rsidRPr="003F3B0A" w:rsidRDefault="00A45913" w:rsidP="005476CD">
            <w:pPr>
              <w:rPr>
                <w:rFonts w:ascii="Calibri" w:hAnsi="Calibri"/>
                <w:sz w:val="20"/>
                <w:szCs w:val="20"/>
              </w:rPr>
            </w:pPr>
          </w:p>
          <w:p w14:paraId="30E9C27D"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no parece necesario ajustar la dosis. </w:t>
            </w:r>
          </w:p>
          <w:p w14:paraId="12D6FDB8" w14:textId="77777777" w:rsidR="00A45913" w:rsidRPr="003F3B0A" w:rsidRDefault="00A45913" w:rsidP="005476CD">
            <w:pPr>
              <w:rPr>
                <w:rFonts w:ascii="Calibri" w:hAnsi="Calibri"/>
                <w:sz w:val="20"/>
                <w:szCs w:val="20"/>
              </w:rPr>
            </w:pPr>
          </w:p>
          <w:p w14:paraId="5CD03A2F" w14:textId="77777777" w:rsidR="00A45913" w:rsidRPr="003F3B0A" w:rsidRDefault="00A45913" w:rsidP="005476CD">
            <w:pPr>
              <w:rPr>
                <w:rFonts w:ascii="Calibri" w:hAnsi="Calibri"/>
                <w:sz w:val="20"/>
                <w:szCs w:val="20"/>
              </w:rPr>
            </w:pPr>
            <w:r w:rsidRPr="003F3B0A">
              <w:rPr>
                <w:rFonts w:ascii="Calibri" w:hAnsi="Calibri"/>
                <w:sz w:val="20"/>
                <w:szCs w:val="20"/>
              </w:rPr>
              <w:t>CAPD: un estudio farmacocinético preliminar indica que no se requiere ajuste de dosis (datos de un solo paciente).</w:t>
            </w:r>
          </w:p>
        </w:tc>
      </w:tr>
      <w:tr w:rsidR="00A45913" w:rsidRPr="003F3B0A" w14:paraId="6176DC1D" w14:textId="77777777" w:rsidTr="005476CD">
        <w:trPr>
          <w:cantSplit/>
        </w:trPr>
        <w:tc>
          <w:tcPr>
            <w:tcW w:w="1871" w:type="dxa"/>
          </w:tcPr>
          <w:p w14:paraId="46493867" w14:textId="77777777" w:rsidR="00A45913" w:rsidRPr="003F3B0A" w:rsidRDefault="00A45913" w:rsidP="005476CD">
            <w:pPr>
              <w:spacing w:line="360" w:lineRule="auto"/>
              <w:rPr>
                <w:rFonts w:ascii="Calibri" w:hAnsi="Calibri"/>
                <w:sz w:val="20"/>
                <w:szCs w:val="20"/>
              </w:rPr>
            </w:pPr>
          </w:p>
        </w:tc>
        <w:tc>
          <w:tcPr>
            <w:tcW w:w="1858" w:type="dxa"/>
          </w:tcPr>
          <w:p w14:paraId="0205A59B"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Etravirina (ETR)</w:t>
            </w:r>
          </w:p>
        </w:tc>
        <w:tc>
          <w:tcPr>
            <w:tcW w:w="3265" w:type="dxa"/>
          </w:tcPr>
          <w:p w14:paraId="2DAEEB26" w14:textId="77777777" w:rsidR="00A45913" w:rsidRPr="003F3B0A" w:rsidRDefault="00A45913" w:rsidP="005476CD">
            <w:pPr>
              <w:rPr>
                <w:rFonts w:ascii="Calibri" w:hAnsi="Calibri"/>
                <w:sz w:val="20"/>
                <w:szCs w:val="20"/>
              </w:rPr>
            </w:pPr>
            <w:r w:rsidRPr="003F3B0A">
              <w:rPr>
                <w:rFonts w:ascii="Calibri" w:hAnsi="Calibri"/>
                <w:sz w:val="20"/>
                <w:szCs w:val="20"/>
              </w:rPr>
              <w:t>200 mg/12</w:t>
            </w:r>
            <w:r>
              <w:rPr>
                <w:rFonts w:ascii="Calibri" w:hAnsi="Calibri"/>
                <w:sz w:val="20"/>
                <w:szCs w:val="20"/>
              </w:rPr>
              <w:t xml:space="preserve"> </w:t>
            </w:r>
            <w:r w:rsidRPr="003F3B0A">
              <w:rPr>
                <w:rFonts w:ascii="Calibri" w:hAnsi="Calibri"/>
                <w:sz w:val="20"/>
                <w:szCs w:val="20"/>
              </w:rPr>
              <w:t>h o 400 mg/24</w:t>
            </w:r>
            <w:r>
              <w:rPr>
                <w:rFonts w:ascii="Calibri" w:hAnsi="Calibri"/>
                <w:sz w:val="20"/>
                <w:szCs w:val="20"/>
              </w:rPr>
              <w:t xml:space="preserve"> </w:t>
            </w:r>
            <w:r w:rsidRPr="003F3B0A">
              <w:rPr>
                <w:rFonts w:ascii="Calibri" w:hAnsi="Calibri"/>
                <w:sz w:val="20"/>
                <w:szCs w:val="20"/>
              </w:rPr>
              <w:t>h</w:t>
            </w:r>
          </w:p>
        </w:tc>
        <w:tc>
          <w:tcPr>
            <w:tcW w:w="3271" w:type="dxa"/>
            <w:gridSpan w:val="3"/>
          </w:tcPr>
          <w:p w14:paraId="2A7FE15B"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3311" w:type="dxa"/>
            <w:gridSpan w:val="3"/>
          </w:tcPr>
          <w:p w14:paraId="06F534A8" w14:textId="77777777" w:rsidR="00A45913" w:rsidRPr="003F3B0A" w:rsidRDefault="00A45913" w:rsidP="005476CD">
            <w:pPr>
              <w:rPr>
                <w:rFonts w:ascii="Calibri" w:hAnsi="Calibri"/>
                <w:sz w:val="20"/>
                <w:szCs w:val="20"/>
              </w:rPr>
            </w:pPr>
            <w:r w:rsidRPr="003F3B0A">
              <w:rPr>
                <w:rFonts w:ascii="Calibri" w:hAnsi="Calibri"/>
                <w:sz w:val="20"/>
                <w:szCs w:val="20"/>
              </w:rPr>
              <w:t>HD/CAPD: por su elevada unión a proteínas plasmáticas, no es de esperar que se elimine en las sesiones de HD/CAPD.</w:t>
            </w:r>
          </w:p>
          <w:p w14:paraId="07F1C748" w14:textId="77777777" w:rsidR="00A45913" w:rsidRPr="003F3B0A" w:rsidRDefault="00A45913" w:rsidP="005476CD">
            <w:pPr>
              <w:rPr>
                <w:rFonts w:ascii="Calibri" w:hAnsi="Calibri"/>
                <w:strike/>
                <w:sz w:val="20"/>
                <w:szCs w:val="20"/>
              </w:rPr>
            </w:pPr>
          </w:p>
        </w:tc>
      </w:tr>
      <w:tr w:rsidR="00A45913" w:rsidRPr="003F3B0A" w14:paraId="61F02775" w14:textId="77777777" w:rsidTr="005476CD">
        <w:trPr>
          <w:gridAfter w:val="1"/>
          <w:wAfter w:w="662" w:type="dxa"/>
          <w:cantSplit/>
          <w:trHeight w:val="1542"/>
        </w:trPr>
        <w:tc>
          <w:tcPr>
            <w:tcW w:w="1871" w:type="dxa"/>
          </w:tcPr>
          <w:p w14:paraId="27E71EE7" w14:textId="77777777" w:rsidR="00A45913" w:rsidRPr="003F3B0A" w:rsidRDefault="00A45913" w:rsidP="005476CD">
            <w:pPr>
              <w:spacing w:line="360" w:lineRule="auto"/>
              <w:rPr>
                <w:rFonts w:ascii="Calibri" w:hAnsi="Calibri"/>
                <w:sz w:val="20"/>
                <w:szCs w:val="20"/>
              </w:rPr>
            </w:pPr>
          </w:p>
        </w:tc>
        <w:tc>
          <w:tcPr>
            <w:tcW w:w="1858" w:type="dxa"/>
          </w:tcPr>
          <w:p w14:paraId="689939A4"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Nevirapina (NVP)</w:t>
            </w:r>
          </w:p>
        </w:tc>
        <w:tc>
          <w:tcPr>
            <w:tcW w:w="3333" w:type="dxa"/>
            <w:gridSpan w:val="2"/>
          </w:tcPr>
          <w:p w14:paraId="59452B7B"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200 mg/12</w:t>
            </w:r>
            <w:r>
              <w:rPr>
                <w:rFonts w:ascii="Calibri" w:hAnsi="Calibri"/>
                <w:sz w:val="20"/>
                <w:szCs w:val="20"/>
                <w:lang w:val="pt-BR"/>
              </w:rPr>
              <w:t xml:space="preserve"> </w:t>
            </w:r>
            <w:r w:rsidRPr="003F3B0A">
              <w:rPr>
                <w:rFonts w:ascii="Calibri" w:hAnsi="Calibri"/>
                <w:sz w:val="20"/>
                <w:szCs w:val="20"/>
                <w:lang w:val="pt-BR"/>
              </w:rPr>
              <w:t xml:space="preserve">h </w:t>
            </w:r>
          </w:p>
          <w:p w14:paraId="4DA204E5"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400 mg/24</w:t>
            </w:r>
            <w:r>
              <w:rPr>
                <w:rFonts w:ascii="Calibri" w:hAnsi="Calibri"/>
                <w:sz w:val="20"/>
                <w:szCs w:val="20"/>
                <w:lang w:val="pt-BR"/>
              </w:rPr>
              <w:t xml:space="preserve"> </w:t>
            </w:r>
            <w:r w:rsidRPr="003F3B0A">
              <w:rPr>
                <w:rFonts w:ascii="Calibri" w:hAnsi="Calibri"/>
                <w:sz w:val="20"/>
                <w:szCs w:val="20"/>
                <w:lang w:val="pt-BR"/>
              </w:rPr>
              <w:t>h (formulación XR)</w:t>
            </w:r>
          </w:p>
        </w:tc>
        <w:tc>
          <w:tcPr>
            <w:tcW w:w="3274" w:type="dxa"/>
            <w:gridSpan w:val="3"/>
          </w:tcPr>
          <w:p w14:paraId="5BA29EA8" w14:textId="77777777" w:rsidR="00A45913" w:rsidRPr="003F3B0A" w:rsidRDefault="00A45913" w:rsidP="005476CD">
            <w:pPr>
              <w:rPr>
                <w:rFonts w:ascii="Calibri" w:hAnsi="Calibri"/>
                <w:sz w:val="20"/>
                <w:szCs w:val="20"/>
                <w:lang w:val="pt-BR"/>
              </w:rPr>
            </w:pPr>
          </w:p>
          <w:p w14:paraId="08AD683A"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2578" w:type="dxa"/>
          </w:tcPr>
          <w:p w14:paraId="7F8440B3" w14:textId="77777777" w:rsidR="00A45913" w:rsidRPr="003F3B0A" w:rsidRDefault="00A45913" w:rsidP="005476CD">
            <w:pPr>
              <w:rPr>
                <w:rFonts w:ascii="Calibri" w:hAnsi="Calibri"/>
                <w:sz w:val="20"/>
                <w:szCs w:val="20"/>
              </w:rPr>
            </w:pPr>
          </w:p>
          <w:p w14:paraId="0FB305BF"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los días de HD, se recomienda administrar la dosis después de la HD o un suplemento de 200 mg post-hemodiálisis. </w:t>
            </w:r>
          </w:p>
        </w:tc>
      </w:tr>
      <w:tr w:rsidR="00A45913" w:rsidRPr="003F3B0A" w14:paraId="7096C094" w14:textId="77777777" w:rsidTr="005476CD">
        <w:trPr>
          <w:gridAfter w:val="1"/>
          <w:wAfter w:w="662" w:type="dxa"/>
          <w:cantSplit/>
          <w:trHeight w:val="2076"/>
        </w:trPr>
        <w:tc>
          <w:tcPr>
            <w:tcW w:w="1871" w:type="dxa"/>
          </w:tcPr>
          <w:p w14:paraId="5526A0C0" w14:textId="77777777" w:rsidR="00A45913" w:rsidRPr="003F3B0A" w:rsidRDefault="00A45913" w:rsidP="005476CD">
            <w:pPr>
              <w:spacing w:line="360" w:lineRule="auto"/>
              <w:rPr>
                <w:rFonts w:ascii="Calibri" w:hAnsi="Calibri"/>
                <w:sz w:val="20"/>
                <w:szCs w:val="20"/>
              </w:rPr>
            </w:pPr>
          </w:p>
        </w:tc>
        <w:tc>
          <w:tcPr>
            <w:tcW w:w="1858" w:type="dxa"/>
          </w:tcPr>
          <w:p w14:paraId="45F1B925"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Rilpivirina</w:t>
            </w:r>
          </w:p>
        </w:tc>
        <w:tc>
          <w:tcPr>
            <w:tcW w:w="3333" w:type="dxa"/>
            <w:gridSpan w:val="2"/>
          </w:tcPr>
          <w:p w14:paraId="6558A0A6" w14:textId="77777777" w:rsidR="00A45913" w:rsidRPr="003F3B0A" w:rsidRDefault="00A45913" w:rsidP="005476CD">
            <w:pPr>
              <w:rPr>
                <w:rFonts w:ascii="Calibri" w:hAnsi="Calibri"/>
                <w:sz w:val="20"/>
                <w:szCs w:val="20"/>
              </w:rPr>
            </w:pPr>
            <w:r w:rsidRPr="003F3B0A">
              <w:rPr>
                <w:rFonts w:ascii="Calibri" w:hAnsi="Calibri"/>
                <w:sz w:val="20"/>
                <w:szCs w:val="20"/>
              </w:rPr>
              <w:t>25 mg/24</w:t>
            </w:r>
            <w:r>
              <w:rPr>
                <w:rFonts w:ascii="Calibri" w:hAnsi="Calibri"/>
                <w:sz w:val="20"/>
                <w:szCs w:val="20"/>
              </w:rPr>
              <w:t xml:space="preserve"> </w:t>
            </w:r>
            <w:r w:rsidRPr="003F3B0A">
              <w:rPr>
                <w:rFonts w:ascii="Calibri" w:hAnsi="Calibri"/>
                <w:sz w:val="20"/>
                <w:szCs w:val="20"/>
              </w:rPr>
              <w:t>h</w:t>
            </w:r>
          </w:p>
        </w:tc>
        <w:tc>
          <w:tcPr>
            <w:tcW w:w="2404" w:type="dxa"/>
          </w:tcPr>
          <w:p w14:paraId="1417E2D7" w14:textId="77777777" w:rsidR="00A45913" w:rsidRPr="003F3B0A" w:rsidRDefault="00A45913" w:rsidP="005476CD">
            <w:pPr>
              <w:rPr>
                <w:rFonts w:ascii="Calibri" w:hAnsi="Calibri"/>
                <w:sz w:val="20"/>
                <w:szCs w:val="20"/>
              </w:rPr>
            </w:pPr>
            <w:r w:rsidRPr="003F3B0A">
              <w:rPr>
                <w:rFonts w:ascii="Calibri" w:hAnsi="Calibri"/>
                <w:sz w:val="20"/>
                <w:szCs w:val="20"/>
              </w:rPr>
              <w:t>IR leve-moderada: no requiere ajuste de dosis.</w:t>
            </w:r>
          </w:p>
          <w:p w14:paraId="7366001C" w14:textId="77777777" w:rsidR="00A45913" w:rsidRPr="003F3B0A" w:rsidRDefault="00A45913" w:rsidP="005476CD">
            <w:pPr>
              <w:rPr>
                <w:rFonts w:ascii="Calibri" w:hAnsi="Calibri"/>
                <w:sz w:val="20"/>
                <w:szCs w:val="20"/>
              </w:rPr>
            </w:pPr>
            <w:r w:rsidRPr="003F3B0A">
              <w:rPr>
                <w:rFonts w:ascii="Calibri" w:hAnsi="Calibri"/>
                <w:sz w:val="20"/>
                <w:szCs w:val="20"/>
              </w:rPr>
              <w:t>IR grave: no hay datos. Emplear con precaución. La combinación de rilpivirina con un inhibidor potente del CYP3A4 como ritonavir o cobicistat únicamente se debe usar en estos pacientes si el beneficio supera el riesgo.</w:t>
            </w:r>
          </w:p>
        </w:tc>
        <w:tc>
          <w:tcPr>
            <w:tcW w:w="3448" w:type="dxa"/>
            <w:gridSpan w:val="3"/>
          </w:tcPr>
          <w:p w14:paraId="2B1F203E" w14:textId="77777777" w:rsidR="00A45913" w:rsidRPr="003F3B0A" w:rsidRDefault="00A45913" w:rsidP="005476CD">
            <w:pPr>
              <w:ind w:left="880"/>
              <w:rPr>
                <w:rFonts w:ascii="Calibri" w:hAnsi="Calibri"/>
                <w:sz w:val="20"/>
                <w:szCs w:val="20"/>
              </w:rPr>
            </w:pPr>
            <w:r w:rsidRPr="003F3B0A">
              <w:rPr>
                <w:rFonts w:ascii="Calibri" w:hAnsi="Calibri"/>
                <w:sz w:val="20"/>
                <w:szCs w:val="20"/>
              </w:rPr>
              <w:t xml:space="preserve">HD/CAPD: por su elevada </w:t>
            </w:r>
            <w:r>
              <w:rPr>
                <w:rFonts w:ascii="Calibri" w:hAnsi="Calibri"/>
                <w:sz w:val="20"/>
                <w:szCs w:val="20"/>
              </w:rPr>
              <w:t xml:space="preserve">            </w:t>
            </w:r>
            <w:r w:rsidRPr="003F3B0A">
              <w:rPr>
                <w:rFonts w:ascii="Calibri" w:hAnsi="Calibri"/>
                <w:sz w:val="20"/>
                <w:szCs w:val="20"/>
              </w:rPr>
              <w:t>unión a proteínas plasmáticas, no es de esperar que se elimine en las sesiones de HD/CAPD.</w:t>
            </w:r>
          </w:p>
          <w:p w14:paraId="6424BDEB" w14:textId="77777777" w:rsidR="00A45913" w:rsidRPr="003F3B0A" w:rsidRDefault="00A45913" w:rsidP="005476CD">
            <w:pPr>
              <w:rPr>
                <w:rFonts w:ascii="Calibri" w:hAnsi="Calibri"/>
                <w:sz w:val="20"/>
                <w:szCs w:val="20"/>
              </w:rPr>
            </w:pPr>
          </w:p>
        </w:tc>
      </w:tr>
    </w:tbl>
    <w:p w14:paraId="6266D04B" w14:textId="77777777" w:rsidR="00A45913" w:rsidRPr="003F3B0A" w:rsidRDefault="00A45913" w:rsidP="00A45913">
      <w:pPr>
        <w:rPr>
          <w:rFonts w:ascii="Calibri" w:hAnsi="Calibri"/>
          <w:sz w:val="20"/>
          <w:szCs w:val="20"/>
        </w:rPr>
      </w:pPr>
    </w:p>
    <w:p w14:paraId="1D51C80E" w14:textId="77777777" w:rsidR="00A45913" w:rsidRPr="003F3B0A" w:rsidRDefault="00A45913" w:rsidP="00A45913">
      <w:pPr>
        <w:rPr>
          <w:rFonts w:ascii="Calibri" w:hAnsi="Calibri"/>
          <w:sz w:val="20"/>
          <w:szCs w:val="20"/>
        </w:rPr>
      </w:pP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913"/>
        <w:gridCol w:w="1913"/>
        <w:gridCol w:w="2481"/>
        <w:gridCol w:w="2694"/>
        <w:gridCol w:w="4252"/>
        <w:gridCol w:w="71"/>
      </w:tblGrid>
      <w:tr w:rsidR="00A45913" w:rsidRPr="003F3B0A" w14:paraId="42A67D5B" w14:textId="77777777" w:rsidTr="005476CD">
        <w:trPr>
          <w:cantSplit/>
          <w:trHeight w:val="645"/>
        </w:trPr>
        <w:tc>
          <w:tcPr>
            <w:tcW w:w="1913" w:type="dxa"/>
            <w:tcBorders>
              <w:right w:val="nil"/>
            </w:tcBorders>
            <w:shd w:val="clear" w:color="auto" w:fill="FDE9D9"/>
            <w:vAlign w:val="center"/>
          </w:tcPr>
          <w:p w14:paraId="65748FC2"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Familia</w:t>
            </w:r>
          </w:p>
        </w:tc>
        <w:tc>
          <w:tcPr>
            <w:tcW w:w="1913" w:type="dxa"/>
            <w:tcBorders>
              <w:right w:val="nil"/>
            </w:tcBorders>
            <w:shd w:val="clear" w:color="auto" w:fill="FDE9D9"/>
            <w:vAlign w:val="center"/>
          </w:tcPr>
          <w:p w14:paraId="43BBFB0A"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2481" w:type="dxa"/>
            <w:tcBorders>
              <w:right w:val="nil"/>
            </w:tcBorders>
            <w:shd w:val="clear" w:color="auto" w:fill="FDE9D9"/>
            <w:vAlign w:val="center"/>
          </w:tcPr>
          <w:p w14:paraId="1D9A8840"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2694" w:type="dxa"/>
            <w:tcBorders>
              <w:left w:val="nil"/>
              <w:right w:val="nil"/>
            </w:tcBorders>
            <w:shd w:val="clear" w:color="auto" w:fill="FDE9D9"/>
            <w:vAlign w:val="center"/>
          </w:tcPr>
          <w:p w14:paraId="4C69BC04"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4323" w:type="dxa"/>
            <w:gridSpan w:val="2"/>
            <w:tcBorders>
              <w:left w:val="nil"/>
              <w:right w:val="nil"/>
            </w:tcBorders>
            <w:shd w:val="clear" w:color="auto" w:fill="FDE9D9"/>
            <w:vAlign w:val="center"/>
          </w:tcPr>
          <w:p w14:paraId="0F5ECB36"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6B5A1AB4" w14:textId="77777777" w:rsidTr="005476CD">
        <w:trPr>
          <w:cantSplit/>
          <w:trHeight w:val="418"/>
        </w:trPr>
        <w:tc>
          <w:tcPr>
            <w:tcW w:w="1913" w:type="dxa"/>
          </w:tcPr>
          <w:p w14:paraId="0823E261" w14:textId="77777777" w:rsidR="00A45913" w:rsidRPr="003F3B0A" w:rsidRDefault="00A45913" w:rsidP="005476CD">
            <w:pPr>
              <w:rPr>
                <w:rFonts w:ascii="Calibri" w:hAnsi="Calibri"/>
                <w:b/>
                <w:sz w:val="20"/>
                <w:szCs w:val="20"/>
              </w:rPr>
            </w:pPr>
            <w:r w:rsidRPr="003F3B0A">
              <w:rPr>
                <w:rFonts w:ascii="Calibri" w:hAnsi="Calibri"/>
                <w:b/>
                <w:sz w:val="20"/>
                <w:szCs w:val="20"/>
              </w:rPr>
              <w:t xml:space="preserve">Inhibidores de la proteasa </w:t>
            </w:r>
          </w:p>
        </w:tc>
        <w:tc>
          <w:tcPr>
            <w:tcW w:w="1913" w:type="dxa"/>
          </w:tcPr>
          <w:p w14:paraId="63B0604E" w14:textId="77777777" w:rsidR="00A45913" w:rsidRPr="003F3B0A" w:rsidRDefault="00A45913" w:rsidP="005476CD">
            <w:pPr>
              <w:rPr>
                <w:rFonts w:ascii="Calibri" w:hAnsi="Calibri"/>
                <w:sz w:val="20"/>
                <w:szCs w:val="20"/>
              </w:rPr>
            </w:pPr>
            <w:r w:rsidRPr="003F3B0A">
              <w:rPr>
                <w:rFonts w:ascii="Calibri" w:hAnsi="Calibri"/>
                <w:sz w:val="20"/>
                <w:szCs w:val="20"/>
              </w:rPr>
              <w:t>Atazanavir (ATV)</w:t>
            </w:r>
          </w:p>
        </w:tc>
        <w:tc>
          <w:tcPr>
            <w:tcW w:w="2481" w:type="dxa"/>
          </w:tcPr>
          <w:p w14:paraId="006B6B9A"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300 mg/24</w:t>
            </w:r>
            <w:r>
              <w:rPr>
                <w:rFonts w:ascii="Calibri" w:hAnsi="Calibri"/>
                <w:sz w:val="20"/>
                <w:szCs w:val="20"/>
                <w:lang w:val="pt-BR"/>
              </w:rPr>
              <w:t xml:space="preserve"> </w:t>
            </w:r>
            <w:r w:rsidRPr="003F3B0A">
              <w:rPr>
                <w:rFonts w:ascii="Calibri" w:hAnsi="Calibri"/>
                <w:sz w:val="20"/>
                <w:szCs w:val="20"/>
                <w:lang w:val="pt-BR"/>
              </w:rPr>
              <w:t>h (con 100 mg/24</w:t>
            </w:r>
            <w:r>
              <w:rPr>
                <w:rFonts w:ascii="Calibri" w:hAnsi="Calibri"/>
                <w:sz w:val="20"/>
                <w:szCs w:val="20"/>
                <w:lang w:val="pt-BR"/>
              </w:rPr>
              <w:t xml:space="preserve"> </w:t>
            </w:r>
            <w:r w:rsidRPr="003F3B0A">
              <w:rPr>
                <w:rFonts w:ascii="Calibri" w:hAnsi="Calibri"/>
                <w:sz w:val="20"/>
                <w:szCs w:val="20"/>
                <w:lang w:val="pt-BR"/>
              </w:rPr>
              <w:t>h de RTV)</w:t>
            </w:r>
          </w:p>
          <w:p w14:paraId="340BAF90" w14:textId="77777777" w:rsidR="00A45913" w:rsidRPr="003F3B0A" w:rsidRDefault="00A45913" w:rsidP="005476CD">
            <w:pPr>
              <w:rPr>
                <w:rFonts w:ascii="Calibri" w:hAnsi="Calibri"/>
                <w:sz w:val="20"/>
                <w:szCs w:val="20"/>
              </w:rPr>
            </w:pPr>
            <w:r w:rsidRPr="003F3B0A">
              <w:rPr>
                <w:rFonts w:ascii="Calibri" w:hAnsi="Calibri"/>
                <w:sz w:val="20"/>
                <w:szCs w:val="20"/>
              </w:rPr>
              <w:t>400 mg/24</w:t>
            </w:r>
            <w:r>
              <w:rPr>
                <w:rFonts w:ascii="Calibri" w:hAnsi="Calibri"/>
                <w:sz w:val="20"/>
                <w:szCs w:val="20"/>
              </w:rPr>
              <w:t xml:space="preserve"> </w:t>
            </w:r>
            <w:r w:rsidRPr="003F3B0A">
              <w:rPr>
                <w:rFonts w:ascii="Calibri" w:hAnsi="Calibri"/>
                <w:sz w:val="20"/>
                <w:szCs w:val="20"/>
              </w:rPr>
              <w:t>h (sin RTV)</w:t>
            </w:r>
          </w:p>
          <w:p w14:paraId="3F5AFF21" w14:textId="77777777" w:rsidR="00A45913" w:rsidRPr="003F3B0A" w:rsidRDefault="00A45913" w:rsidP="005476CD">
            <w:pPr>
              <w:rPr>
                <w:rFonts w:ascii="Calibri" w:hAnsi="Calibri"/>
                <w:sz w:val="20"/>
                <w:szCs w:val="20"/>
              </w:rPr>
            </w:pPr>
          </w:p>
          <w:p w14:paraId="20FA75D6" w14:textId="77777777" w:rsidR="00A45913" w:rsidRPr="003F3B0A" w:rsidRDefault="00A45913" w:rsidP="005476CD">
            <w:pPr>
              <w:rPr>
                <w:rFonts w:ascii="Calibri" w:hAnsi="Calibri"/>
                <w:sz w:val="20"/>
                <w:szCs w:val="20"/>
              </w:rPr>
            </w:pPr>
            <w:r w:rsidRPr="003F3B0A">
              <w:rPr>
                <w:rFonts w:ascii="Calibri" w:hAnsi="Calibri"/>
                <w:sz w:val="20"/>
                <w:szCs w:val="20"/>
              </w:rPr>
              <w:t>En combinación con cobicistat y TDF, se recomienda no usar con FGe &lt; 70 ml/min</w:t>
            </w:r>
          </w:p>
        </w:tc>
        <w:tc>
          <w:tcPr>
            <w:tcW w:w="2694" w:type="dxa"/>
          </w:tcPr>
          <w:p w14:paraId="438750A2"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4323" w:type="dxa"/>
            <w:gridSpan w:val="2"/>
          </w:tcPr>
          <w:p w14:paraId="392D320A" w14:textId="77777777" w:rsidR="00A45913" w:rsidRPr="003F3B0A" w:rsidRDefault="00A45913" w:rsidP="005476CD">
            <w:pPr>
              <w:rPr>
                <w:rFonts w:ascii="Calibri" w:hAnsi="Calibri"/>
                <w:sz w:val="20"/>
                <w:szCs w:val="20"/>
              </w:rPr>
            </w:pPr>
            <w:r w:rsidRPr="003F3B0A">
              <w:rPr>
                <w:rFonts w:ascii="Calibri" w:hAnsi="Calibri"/>
                <w:sz w:val="20"/>
                <w:szCs w:val="20"/>
              </w:rPr>
              <w:t>HD/CAPD: por su elevada unión a proteínas plasmáticas, no es de esperar que se elimine en las sesiones de HD/CAPD.</w:t>
            </w:r>
          </w:p>
          <w:p w14:paraId="15E585A6" w14:textId="77777777" w:rsidR="00A45913" w:rsidRPr="003F3B0A" w:rsidRDefault="00A45913" w:rsidP="005476CD">
            <w:pPr>
              <w:rPr>
                <w:rFonts w:ascii="Calibri" w:hAnsi="Calibri"/>
                <w:sz w:val="20"/>
                <w:szCs w:val="20"/>
              </w:rPr>
            </w:pPr>
          </w:p>
          <w:p w14:paraId="2144E6E1"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se recomienda su uso potenciado (ATV/r 300/100) para compensar el descenso de concentración de ATV (reducción del 28% en el AUC de ATV los días sin HD y del 42% los días de HD; la eliminación a través de la HD es de sólo el 2%). Monitorizar niveles plasmáticos cuando sea posible. </w:t>
            </w:r>
          </w:p>
        </w:tc>
      </w:tr>
      <w:tr w:rsidR="00A45913" w:rsidRPr="003F3B0A" w14:paraId="76B62AB4" w14:textId="77777777" w:rsidTr="005476CD">
        <w:trPr>
          <w:gridAfter w:val="1"/>
          <w:wAfter w:w="71" w:type="dxa"/>
          <w:cantSplit/>
          <w:trHeight w:val="419"/>
        </w:trPr>
        <w:tc>
          <w:tcPr>
            <w:tcW w:w="1913" w:type="dxa"/>
          </w:tcPr>
          <w:p w14:paraId="7ABF6AD7" w14:textId="77777777" w:rsidR="00A45913" w:rsidRPr="003F3B0A" w:rsidRDefault="00A45913" w:rsidP="005476CD">
            <w:pPr>
              <w:rPr>
                <w:rFonts w:ascii="Calibri" w:hAnsi="Calibri"/>
                <w:sz w:val="20"/>
                <w:szCs w:val="20"/>
              </w:rPr>
            </w:pPr>
            <w:r w:rsidRPr="003F3B0A">
              <w:br w:type="page"/>
            </w:r>
          </w:p>
        </w:tc>
        <w:tc>
          <w:tcPr>
            <w:tcW w:w="1913" w:type="dxa"/>
          </w:tcPr>
          <w:p w14:paraId="1C72B943" w14:textId="77777777" w:rsidR="00A45913" w:rsidRPr="003F3B0A" w:rsidRDefault="00A45913" w:rsidP="005476CD">
            <w:pPr>
              <w:rPr>
                <w:rFonts w:ascii="Calibri" w:hAnsi="Calibri"/>
                <w:sz w:val="20"/>
                <w:szCs w:val="20"/>
              </w:rPr>
            </w:pPr>
            <w:r w:rsidRPr="003F3B0A">
              <w:rPr>
                <w:rFonts w:ascii="Calibri" w:hAnsi="Calibri"/>
                <w:sz w:val="20"/>
                <w:szCs w:val="20"/>
              </w:rPr>
              <w:t>Darunavir (DRV)</w:t>
            </w:r>
          </w:p>
        </w:tc>
        <w:tc>
          <w:tcPr>
            <w:tcW w:w="2481" w:type="dxa"/>
          </w:tcPr>
          <w:p w14:paraId="7839FC41"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800 mg/24</w:t>
            </w:r>
            <w:r>
              <w:rPr>
                <w:rFonts w:ascii="Calibri" w:hAnsi="Calibri"/>
                <w:sz w:val="20"/>
                <w:szCs w:val="20"/>
                <w:lang w:val="pt-BR"/>
              </w:rPr>
              <w:t xml:space="preserve"> </w:t>
            </w:r>
            <w:r w:rsidRPr="003F3B0A">
              <w:rPr>
                <w:rFonts w:ascii="Calibri" w:hAnsi="Calibri"/>
                <w:sz w:val="20"/>
                <w:szCs w:val="20"/>
                <w:lang w:val="pt-BR"/>
              </w:rPr>
              <w:t>h (con 100 mg/24</w:t>
            </w:r>
            <w:r>
              <w:rPr>
                <w:rFonts w:ascii="Calibri" w:hAnsi="Calibri"/>
                <w:sz w:val="20"/>
                <w:szCs w:val="20"/>
                <w:lang w:val="pt-BR"/>
              </w:rPr>
              <w:t xml:space="preserve"> </w:t>
            </w:r>
            <w:r w:rsidRPr="003F3B0A">
              <w:rPr>
                <w:rFonts w:ascii="Calibri" w:hAnsi="Calibri"/>
                <w:sz w:val="20"/>
                <w:szCs w:val="20"/>
                <w:lang w:val="pt-BR"/>
              </w:rPr>
              <w:t>h de RTV)</w:t>
            </w:r>
          </w:p>
          <w:p w14:paraId="638F3D4D" w14:textId="77777777" w:rsidR="00A45913" w:rsidRPr="003F3B0A" w:rsidRDefault="00A45913" w:rsidP="005476CD">
            <w:pPr>
              <w:rPr>
                <w:rFonts w:ascii="Calibri" w:hAnsi="Calibri"/>
                <w:sz w:val="20"/>
                <w:szCs w:val="20"/>
                <w:lang w:val="pt-BR"/>
              </w:rPr>
            </w:pPr>
          </w:p>
        </w:tc>
        <w:tc>
          <w:tcPr>
            <w:tcW w:w="2694" w:type="dxa"/>
          </w:tcPr>
          <w:p w14:paraId="092F9E33" w14:textId="77777777" w:rsidR="00A45913" w:rsidRPr="003F3B0A" w:rsidRDefault="00A45913" w:rsidP="005476CD">
            <w:pPr>
              <w:rPr>
                <w:rFonts w:ascii="Calibri" w:hAnsi="Calibri"/>
                <w:sz w:val="20"/>
                <w:szCs w:val="20"/>
              </w:rPr>
            </w:pPr>
            <w:r w:rsidRPr="003F3B0A">
              <w:rPr>
                <w:rFonts w:ascii="Calibri" w:hAnsi="Calibri"/>
                <w:sz w:val="20"/>
                <w:szCs w:val="20"/>
              </w:rPr>
              <w:t>IR leve, moderada o grave: no requiere ajuste de dosis</w:t>
            </w:r>
          </w:p>
          <w:p w14:paraId="02D4BB3C" w14:textId="77777777" w:rsidR="00A45913" w:rsidRPr="003F3B0A" w:rsidRDefault="00A45913" w:rsidP="005476CD">
            <w:pPr>
              <w:rPr>
                <w:rFonts w:ascii="Calibri" w:hAnsi="Calibri"/>
                <w:sz w:val="20"/>
                <w:szCs w:val="20"/>
              </w:rPr>
            </w:pPr>
            <w:r w:rsidRPr="003F3B0A">
              <w:rPr>
                <w:rFonts w:ascii="Calibri" w:hAnsi="Calibri"/>
                <w:sz w:val="20"/>
                <w:szCs w:val="20"/>
              </w:rPr>
              <w:t>En combinación con cobicistat y TDF, se recomienda no usar con FGe &lt; 70 ml/min</w:t>
            </w:r>
          </w:p>
        </w:tc>
        <w:tc>
          <w:tcPr>
            <w:tcW w:w="4252" w:type="dxa"/>
          </w:tcPr>
          <w:p w14:paraId="361FA2D2" w14:textId="77777777" w:rsidR="00A45913" w:rsidRPr="003F3B0A" w:rsidRDefault="00A45913" w:rsidP="005476CD">
            <w:pPr>
              <w:rPr>
                <w:rFonts w:ascii="Calibri" w:hAnsi="Calibri"/>
                <w:sz w:val="20"/>
                <w:szCs w:val="20"/>
              </w:rPr>
            </w:pPr>
            <w:r w:rsidRPr="003F3B0A">
              <w:rPr>
                <w:rFonts w:ascii="Calibri" w:hAnsi="Calibri"/>
                <w:sz w:val="20"/>
                <w:szCs w:val="20"/>
              </w:rPr>
              <w:t>HD/CAPD: debido a la elevada unión a proteínas plasmáticas, no es de esperar que se elimine en las sesiones de HD/CAPD.</w:t>
            </w:r>
          </w:p>
        </w:tc>
      </w:tr>
      <w:tr w:rsidR="00A45913" w:rsidRPr="003F3B0A" w14:paraId="1A83A355" w14:textId="77777777" w:rsidTr="005476CD">
        <w:trPr>
          <w:gridAfter w:val="1"/>
          <w:wAfter w:w="71" w:type="dxa"/>
          <w:cantSplit/>
          <w:trHeight w:val="419"/>
        </w:trPr>
        <w:tc>
          <w:tcPr>
            <w:tcW w:w="1913" w:type="dxa"/>
          </w:tcPr>
          <w:p w14:paraId="4591391F" w14:textId="77777777" w:rsidR="00A45913" w:rsidRPr="003F3B0A" w:rsidRDefault="00A45913" w:rsidP="005476CD">
            <w:pPr>
              <w:rPr>
                <w:rFonts w:ascii="Calibri" w:hAnsi="Calibri"/>
                <w:sz w:val="20"/>
                <w:szCs w:val="20"/>
              </w:rPr>
            </w:pPr>
          </w:p>
        </w:tc>
        <w:tc>
          <w:tcPr>
            <w:tcW w:w="1913" w:type="dxa"/>
          </w:tcPr>
          <w:p w14:paraId="6F492C4E" w14:textId="77777777" w:rsidR="00A45913" w:rsidRPr="003F3B0A" w:rsidRDefault="00A45913" w:rsidP="005476CD">
            <w:pPr>
              <w:rPr>
                <w:rFonts w:ascii="Calibri" w:hAnsi="Calibri"/>
                <w:sz w:val="20"/>
                <w:szCs w:val="20"/>
              </w:rPr>
            </w:pPr>
            <w:r w:rsidRPr="003F3B0A">
              <w:rPr>
                <w:rFonts w:ascii="Calibri" w:hAnsi="Calibri"/>
                <w:sz w:val="20"/>
                <w:szCs w:val="20"/>
              </w:rPr>
              <w:t>Fosamprenavir (FPV)</w:t>
            </w:r>
          </w:p>
        </w:tc>
        <w:tc>
          <w:tcPr>
            <w:tcW w:w="2481" w:type="dxa"/>
          </w:tcPr>
          <w:p w14:paraId="6535A891"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700 mg/12</w:t>
            </w:r>
            <w:r>
              <w:rPr>
                <w:rFonts w:ascii="Calibri" w:hAnsi="Calibri"/>
                <w:sz w:val="20"/>
                <w:szCs w:val="20"/>
                <w:lang w:val="pt-BR"/>
              </w:rPr>
              <w:t xml:space="preserve"> </w:t>
            </w:r>
            <w:r w:rsidRPr="003F3B0A">
              <w:rPr>
                <w:rFonts w:ascii="Calibri" w:hAnsi="Calibri"/>
                <w:sz w:val="20"/>
                <w:szCs w:val="20"/>
                <w:lang w:val="pt-BR"/>
              </w:rPr>
              <w:t>h (con 100 mg/12</w:t>
            </w:r>
            <w:r>
              <w:rPr>
                <w:rFonts w:ascii="Calibri" w:hAnsi="Calibri"/>
                <w:sz w:val="20"/>
                <w:szCs w:val="20"/>
                <w:lang w:val="pt-BR"/>
              </w:rPr>
              <w:t xml:space="preserve"> </w:t>
            </w:r>
            <w:r w:rsidRPr="003F3B0A">
              <w:rPr>
                <w:rFonts w:ascii="Calibri" w:hAnsi="Calibri"/>
                <w:sz w:val="20"/>
                <w:szCs w:val="20"/>
                <w:lang w:val="pt-BR"/>
              </w:rPr>
              <w:t>h de RTV)</w:t>
            </w:r>
          </w:p>
        </w:tc>
        <w:tc>
          <w:tcPr>
            <w:tcW w:w="2694" w:type="dxa"/>
          </w:tcPr>
          <w:p w14:paraId="5690A2CF"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4252" w:type="dxa"/>
          </w:tcPr>
          <w:p w14:paraId="05C2BAC4" w14:textId="77777777" w:rsidR="00A45913" w:rsidRPr="003F3B0A" w:rsidRDefault="00A45913" w:rsidP="005476CD">
            <w:pPr>
              <w:rPr>
                <w:rFonts w:ascii="Calibri" w:hAnsi="Calibri"/>
                <w:sz w:val="20"/>
                <w:szCs w:val="20"/>
              </w:rPr>
            </w:pPr>
            <w:r w:rsidRPr="003F3B0A">
              <w:rPr>
                <w:rFonts w:ascii="Calibri" w:hAnsi="Calibri"/>
                <w:sz w:val="20"/>
                <w:szCs w:val="20"/>
              </w:rPr>
              <w:t>HD/CAPD: debido a su elevada unión a proteínas plasmáticas, no es de esperar que se elimine en las sesiones de HD/CAPD.</w:t>
            </w:r>
          </w:p>
        </w:tc>
      </w:tr>
      <w:tr w:rsidR="00A45913" w:rsidRPr="003F3B0A" w14:paraId="14745012" w14:textId="77777777" w:rsidTr="005476CD">
        <w:trPr>
          <w:gridAfter w:val="1"/>
          <w:wAfter w:w="71" w:type="dxa"/>
          <w:cantSplit/>
          <w:trHeight w:val="419"/>
        </w:trPr>
        <w:tc>
          <w:tcPr>
            <w:tcW w:w="1913" w:type="dxa"/>
          </w:tcPr>
          <w:p w14:paraId="471DBB36" w14:textId="77777777" w:rsidR="00A45913" w:rsidRPr="003F3B0A" w:rsidRDefault="00A45913" w:rsidP="005476CD">
            <w:pPr>
              <w:spacing w:line="360" w:lineRule="auto"/>
              <w:rPr>
                <w:rFonts w:ascii="Calibri" w:hAnsi="Calibri"/>
                <w:sz w:val="20"/>
                <w:szCs w:val="20"/>
              </w:rPr>
            </w:pPr>
          </w:p>
        </w:tc>
        <w:tc>
          <w:tcPr>
            <w:tcW w:w="1913" w:type="dxa"/>
          </w:tcPr>
          <w:p w14:paraId="5AA3DD75"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 xml:space="preserve">Indinavir </w:t>
            </w:r>
          </w:p>
        </w:tc>
        <w:tc>
          <w:tcPr>
            <w:tcW w:w="2481" w:type="dxa"/>
          </w:tcPr>
          <w:p w14:paraId="5B73BF59"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800 mg/12</w:t>
            </w:r>
            <w:r>
              <w:rPr>
                <w:rFonts w:ascii="Calibri" w:hAnsi="Calibri"/>
                <w:sz w:val="20"/>
                <w:szCs w:val="20"/>
                <w:lang w:val="pt-BR"/>
              </w:rPr>
              <w:t xml:space="preserve"> </w:t>
            </w:r>
            <w:r w:rsidRPr="003F3B0A">
              <w:rPr>
                <w:rFonts w:ascii="Calibri" w:hAnsi="Calibri"/>
                <w:sz w:val="20"/>
                <w:szCs w:val="20"/>
                <w:lang w:val="pt-BR"/>
              </w:rPr>
              <w:t>h (con 100 mg/12</w:t>
            </w:r>
            <w:r>
              <w:rPr>
                <w:rFonts w:ascii="Calibri" w:hAnsi="Calibri"/>
                <w:sz w:val="20"/>
                <w:szCs w:val="20"/>
                <w:lang w:val="pt-BR"/>
              </w:rPr>
              <w:t xml:space="preserve"> </w:t>
            </w:r>
            <w:r w:rsidRPr="003F3B0A">
              <w:rPr>
                <w:rFonts w:ascii="Calibri" w:hAnsi="Calibri"/>
                <w:sz w:val="20"/>
                <w:szCs w:val="20"/>
                <w:lang w:val="pt-BR"/>
              </w:rPr>
              <w:t>h de RTV)</w:t>
            </w:r>
          </w:p>
          <w:p w14:paraId="02809E1D" w14:textId="77777777" w:rsidR="00A45913" w:rsidRPr="003F3B0A" w:rsidRDefault="00A45913" w:rsidP="005476CD">
            <w:pPr>
              <w:rPr>
                <w:rFonts w:ascii="Calibri" w:hAnsi="Calibri"/>
                <w:sz w:val="20"/>
                <w:szCs w:val="20"/>
              </w:rPr>
            </w:pPr>
            <w:r w:rsidRPr="003F3B0A">
              <w:rPr>
                <w:rFonts w:ascii="Calibri" w:hAnsi="Calibri"/>
                <w:sz w:val="20"/>
                <w:szCs w:val="20"/>
              </w:rPr>
              <w:t>800 mg/8</w:t>
            </w:r>
            <w:r>
              <w:rPr>
                <w:rFonts w:ascii="Calibri" w:hAnsi="Calibri"/>
                <w:sz w:val="20"/>
                <w:szCs w:val="20"/>
              </w:rPr>
              <w:t xml:space="preserve"> </w:t>
            </w:r>
            <w:r w:rsidRPr="003F3B0A">
              <w:rPr>
                <w:rFonts w:ascii="Calibri" w:hAnsi="Calibri"/>
                <w:sz w:val="20"/>
                <w:szCs w:val="20"/>
              </w:rPr>
              <w:t>h (sin RTV)</w:t>
            </w:r>
          </w:p>
        </w:tc>
        <w:tc>
          <w:tcPr>
            <w:tcW w:w="2694" w:type="dxa"/>
          </w:tcPr>
          <w:p w14:paraId="1B3E7DC7"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4252" w:type="dxa"/>
          </w:tcPr>
          <w:p w14:paraId="476BFA76" w14:textId="77777777" w:rsidR="00A45913" w:rsidRPr="003F3B0A" w:rsidRDefault="00A45913" w:rsidP="005476CD">
            <w:pPr>
              <w:rPr>
                <w:rFonts w:ascii="Calibri" w:hAnsi="Calibri"/>
                <w:sz w:val="20"/>
                <w:szCs w:val="20"/>
              </w:rPr>
            </w:pPr>
            <w:r w:rsidRPr="003F3B0A">
              <w:rPr>
                <w:rFonts w:ascii="Calibri" w:hAnsi="Calibri"/>
                <w:sz w:val="20"/>
                <w:szCs w:val="20"/>
              </w:rPr>
              <w:t>HD: probablemente no requiera ajuste de dosis si función hepática conservada (datos de un solo paciente). Se elimina mínimamente a través de la HD.</w:t>
            </w:r>
          </w:p>
        </w:tc>
      </w:tr>
    </w:tbl>
    <w:p w14:paraId="4D3075CA" w14:textId="77777777" w:rsidR="00A45913" w:rsidRPr="003F3B0A" w:rsidRDefault="00A45913" w:rsidP="00A45913">
      <w:r w:rsidRPr="003F3B0A">
        <w:br w:type="page"/>
      </w: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913"/>
        <w:gridCol w:w="1913"/>
        <w:gridCol w:w="2481"/>
        <w:gridCol w:w="356"/>
        <w:gridCol w:w="2621"/>
        <w:gridCol w:w="3900"/>
        <w:gridCol w:w="69"/>
        <w:gridCol w:w="71"/>
      </w:tblGrid>
      <w:tr w:rsidR="00A45913" w:rsidRPr="003F3B0A" w14:paraId="24478E2D" w14:textId="77777777" w:rsidTr="005476CD">
        <w:trPr>
          <w:gridAfter w:val="1"/>
          <w:wAfter w:w="71" w:type="dxa"/>
          <w:cantSplit/>
          <w:trHeight w:val="558"/>
        </w:trPr>
        <w:tc>
          <w:tcPr>
            <w:tcW w:w="1913" w:type="dxa"/>
            <w:tcBorders>
              <w:right w:val="nil"/>
            </w:tcBorders>
            <w:shd w:val="clear" w:color="auto" w:fill="FDE9D9"/>
            <w:vAlign w:val="center"/>
          </w:tcPr>
          <w:p w14:paraId="5723A983"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lastRenderedPageBreak/>
              <w:t>Familia</w:t>
            </w:r>
          </w:p>
        </w:tc>
        <w:tc>
          <w:tcPr>
            <w:tcW w:w="1913" w:type="dxa"/>
            <w:tcBorders>
              <w:left w:val="nil"/>
              <w:right w:val="nil"/>
            </w:tcBorders>
            <w:shd w:val="clear" w:color="auto" w:fill="FDE9D9"/>
            <w:vAlign w:val="center"/>
          </w:tcPr>
          <w:p w14:paraId="0E2AEC59"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2481" w:type="dxa"/>
            <w:tcBorders>
              <w:left w:val="nil"/>
              <w:right w:val="nil"/>
            </w:tcBorders>
            <w:shd w:val="clear" w:color="auto" w:fill="FDE9D9"/>
            <w:vAlign w:val="center"/>
          </w:tcPr>
          <w:p w14:paraId="1FB9B912"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2977" w:type="dxa"/>
            <w:gridSpan w:val="2"/>
            <w:tcBorders>
              <w:left w:val="nil"/>
              <w:right w:val="nil"/>
            </w:tcBorders>
            <w:shd w:val="clear" w:color="auto" w:fill="FDE9D9"/>
            <w:vAlign w:val="center"/>
          </w:tcPr>
          <w:p w14:paraId="32FDBDDC"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3969" w:type="dxa"/>
            <w:gridSpan w:val="2"/>
            <w:tcBorders>
              <w:left w:val="nil"/>
              <w:right w:val="nil"/>
            </w:tcBorders>
            <w:shd w:val="clear" w:color="auto" w:fill="FDE9D9"/>
            <w:vAlign w:val="center"/>
          </w:tcPr>
          <w:p w14:paraId="4B695DFD"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697C8BA9" w14:textId="77777777" w:rsidTr="005476CD">
        <w:trPr>
          <w:gridAfter w:val="1"/>
          <w:wAfter w:w="71" w:type="dxa"/>
          <w:cantSplit/>
          <w:trHeight w:val="419"/>
        </w:trPr>
        <w:tc>
          <w:tcPr>
            <w:tcW w:w="1913" w:type="dxa"/>
          </w:tcPr>
          <w:p w14:paraId="682610F6" w14:textId="77777777" w:rsidR="00A45913" w:rsidRPr="003F3B0A" w:rsidRDefault="00A45913" w:rsidP="005476CD">
            <w:pPr>
              <w:rPr>
                <w:rFonts w:ascii="Calibri" w:hAnsi="Calibri"/>
                <w:sz w:val="20"/>
                <w:szCs w:val="20"/>
              </w:rPr>
            </w:pPr>
          </w:p>
        </w:tc>
        <w:tc>
          <w:tcPr>
            <w:tcW w:w="1913" w:type="dxa"/>
          </w:tcPr>
          <w:p w14:paraId="1765AB8D" w14:textId="77777777" w:rsidR="00A45913" w:rsidRPr="003F3B0A" w:rsidRDefault="00A45913" w:rsidP="005476CD">
            <w:pPr>
              <w:rPr>
                <w:rFonts w:ascii="Calibri" w:hAnsi="Calibri"/>
                <w:sz w:val="20"/>
                <w:szCs w:val="20"/>
              </w:rPr>
            </w:pPr>
            <w:r w:rsidRPr="003F3B0A">
              <w:rPr>
                <w:rFonts w:ascii="Calibri" w:hAnsi="Calibri"/>
                <w:sz w:val="20"/>
                <w:szCs w:val="20"/>
              </w:rPr>
              <w:t>Lopinavir (LPV/r)</w:t>
            </w:r>
          </w:p>
        </w:tc>
        <w:tc>
          <w:tcPr>
            <w:tcW w:w="2481" w:type="dxa"/>
          </w:tcPr>
          <w:p w14:paraId="3272EF34" w14:textId="77777777" w:rsidR="00A45913" w:rsidRPr="003F3B0A" w:rsidRDefault="00A45913" w:rsidP="005476CD">
            <w:pPr>
              <w:rPr>
                <w:rFonts w:ascii="Calibri" w:hAnsi="Calibri"/>
                <w:sz w:val="20"/>
                <w:szCs w:val="20"/>
              </w:rPr>
            </w:pPr>
            <w:r w:rsidRPr="003F3B0A">
              <w:rPr>
                <w:rFonts w:ascii="Calibri" w:hAnsi="Calibri"/>
                <w:sz w:val="20"/>
                <w:szCs w:val="20"/>
              </w:rPr>
              <w:t>400/100 mg/12</w:t>
            </w:r>
            <w:r>
              <w:rPr>
                <w:rFonts w:ascii="Calibri" w:hAnsi="Calibri"/>
                <w:sz w:val="20"/>
                <w:szCs w:val="20"/>
              </w:rPr>
              <w:t xml:space="preserve"> </w:t>
            </w:r>
            <w:r w:rsidRPr="003F3B0A">
              <w:rPr>
                <w:rFonts w:ascii="Calibri" w:hAnsi="Calibri"/>
                <w:sz w:val="20"/>
                <w:szCs w:val="20"/>
              </w:rPr>
              <w:t>h</w:t>
            </w:r>
          </w:p>
        </w:tc>
        <w:tc>
          <w:tcPr>
            <w:tcW w:w="2977" w:type="dxa"/>
            <w:gridSpan w:val="2"/>
          </w:tcPr>
          <w:p w14:paraId="7E4F7375"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3969" w:type="dxa"/>
            <w:gridSpan w:val="2"/>
          </w:tcPr>
          <w:p w14:paraId="490D39FA"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El AUC de LPV/r en 13 pacientes en HD fue equivalente a la de pacientes con función renal normal. No ajuste de dosis. </w:t>
            </w:r>
          </w:p>
          <w:p w14:paraId="1B760A02" w14:textId="77777777" w:rsidR="00A45913" w:rsidRPr="003F3B0A" w:rsidRDefault="00A45913" w:rsidP="005476CD">
            <w:pPr>
              <w:rPr>
                <w:rFonts w:ascii="Calibri" w:hAnsi="Calibri"/>
                <w:sz w:val="20"/>
                <w:szCs w:val="20"/>
              </w:rPr>
            </w:pPr>
          </w:p>
          <w:p w14:paraId="1A6AAE91" w14:textId="77777777" w:rsidR="00A45913" w:rsidRPr="003F3B0A" w:rsidRDefault="00A45913" w:rsidP="005476CD">
            <w:pPr>
              <w:rPr>
                <w:rFonts w:ascii="Calibri" w:hAnsi="Calibri"/>
                <w:sz w:val="20"/>
                <w:szCs w:val="20"/>
              </w:rPr>
            </w:pPr>
            <w:r w:rsidRPr="003F3B0A">
              <w:rPr>
                <w:rFonts w:ascii="Calibri" w:hAnsi="Calibri"/>
                <w:sz w:val="20"/>
                <w:szCs w:val="20"/>
              </w:rPr>
              <w:t>CAPD: no hay datos. Debido a la elevada unión a proteínas plasmáticas de lopinavir y ritonavir, no es de esperar que se elimine en las sesiones de CAPD.</w:t>
            </w:r>
          </w:p>
          <w:p w14:paraId="09B7C13A" w14:textId="77777777" w:rsidR="00A45913" w:rsidRPr="003F3B0A" w:rsidRDefault="00A45913" w:rsidP="005476CD">
            <w:pPr>
              <w:rPr>
                <w:rFonts w:ascii="Calibri" w:hAnsi="Calibri"/>
                <w:sz w:val="20"/>
                <w:szCs w:val="20"/>
              </w:rPr>
            </w:pPr>
          </w:p>
        </w:tc>
      </w:tr>
      <w:tr w:rsidR="00A45913" w:rsidRPr="003F3B0A" w14:paraId="1795F612" w14:textId="77777777" w:rsidTr="005476CD">
        <w:trPr>
          <w:cantSplit/>
          <w:trHeight w:val="553"/>
        </w:trPr>
        <w:tc>
          <w:tcPr>
            <w:tcW w:w="1913" w:type="dxa"/>
          </w:tcPr>
          <w:p w14:paraId="6A06B812"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br w:type="page"/>
            </w:r>
          </w:p>
        </w:tc>
        <w:tc>
          <w:tcPr>
            <w:tcW w:w="1913" w:type="dxa"/>
          </w:tcPr>
          <w:p w14:paraId="1ED0770A" w14:textId="77777777" w:rsidR="00A45913" w:rsidRPr="003F3B0A" w:rsidRDefault="00A45913" w:rsidP="005476CD">
            <w:pPr>
              <w:spacing w:line="360" w:lineRule="auto"/>
              <w:rPr>
                <w:rFonts w:ascii="Calibri" w:hAnsi="Calibri"/>
                <w:sz w:val="20"/>
                <w:szCs w:val="20"/>
              </w:rPr>
            </w:pPr>
            <w:r w:rsidRPr="003F3B0A">
              <w:rPr>
                <w:rFonts w:ascii="Calibri" w:hAnsi="Calibri"/>
                <w:sz w:val="20"/>
                <w:szCs w:val="20"/>
              </w:rPr>
              <w:t>Ritonavir (RTV)</w:t>
            </w:r>
          </w:p>
        </w:tc>
        <w:tc>
          <w:tcPr>
            <w:tcW w:w="2481" w:type="dxa"/>
          </w:tcPr>
          <w:p w14:paraId="3E736EB5" w14:textId="77777777" w:rsidR="00A45913" w:rsidRPr="003F3B0A" w:rsidRDefault="00A45913" w:rsidP="005476CD">
            <w:pPr>
              <w:rPr>
                <w:rFonts w:ascii="Calibri" w:hAnsi="Calibri"/>
                <w:sz w:val="20"/>
                <w:szCs w:val="20"/>
              </w:rPr>
            </w:pPr>
            <w:r w:rsidRPr="003F3B0A">
              <w:rPr>
                <w:rFonts w:ascii="Calibri" w:hAnsi="Calibri"/>
                <w:sz w:val="20"/>
                <w:szCs w:val="20"/>
              </w:rPr>
              <w:t>Potenciador farmacocinético: dosis variable en función del IP al que acompaña.</w:t>
            </w:r>
          </w:p>
        </w:tc>
        <w:tc>
          <w:tcPr>
            <w:tcW w:w="2977" w:type="dxa"/>
            <w:gridSpan w:val="2"/>
          </w:tcPr>
          <w:p w14:paraId="6D6AF8CF"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p w14:paraId="3BD7FBFC" w14:textId="77777777" w:rsidR="00A45913" w:rsidRPr="003F3B0A" w:rsidRDefault="00A45913" w:rsidP="005476CD">
            <w:pPr>
              <w:rPr>
                <w:rFonts w:ascii="Calibri" w:hAnsi="Calibri"/>
                <w:sz w:val="20"/>
                <w:szCs w:val="20"/>
              </w:rPr>
            </w:pPr>
          </w:p>
        </w:tc>
        <w:tc>
          <w:tcPr>
            <w:tcW w:w="4040" w:type="dxa"/>
            <w:gridSpan w:val="3"/>
          </w:tcPr>
          <w:p w14:paraId="67EAC3D8" w14:textId="77777777" w:rsidR="00A45913" w:rsidRPr="003F3B0A" w:rsidRDefault="00A45913" w:rsidP="005476CD">
            <w:pPr>
              <w:rPr>
                <w:rFonts w:ascii="Calibri" w:hAnsi="Calibri"/>
                <w:sz w:val="20"/>
                <w:szCs w:val="20"/>
              </w:rPr>
            </w:pPr>
            <w:r w:rsidRPr="003F3B0A">
              <w:rPr>
                <w:rFonts w:ascii="Calibri" w:hAnsi="Calibri"/>
                <w:sz w:val="20"/>
                <w:szCs w:val="20"/>
              </w:rPr>
              <w:t>HD/CAPD: debido a la elevada unión a proteínas plasmáticas de ritonavir, no es de esperar que se elimine en las sesiones de HD/CAPD</w:t>
            </w:r>
          </w:p>
          <w:p w14:paraId="34681262" w14:textId="77777777" w:rsidR="00A45913" w:rsidRPr="003F3B0A" w:rsidRDefault="00A45913" w:rsidP="005476CD">
            <w:pPr>
              <w:rPr>
                <w:rFonts w:ascii="Calibri" w:hAnsi="Calibri"/>
                <w:sz w:val="20"/>
                <w:szCs w:val="20"/>
              </w:rPr>
            </w:pPr>
          </w:p>
        </w:tc>
      </w:tr>
      <w:tr w:rsidR="00A45913" w:rsidRPr="003F3B0A" w14:paraId="6A304819" w14:textId="77777777" w:rsidTr="005476CD">
        <w:trPr>
          <w:gridAfter w:val="2"/>
          <w:wAfter w:w="140" w:type="dxa"/>
          <w:cantSplit/>
          <w:trHeight w:val="553"/>
        </w:trPr>
        <w:tc>
          <w:tcPr>
            <w:tcW w:w="1913" w:type="dxa"/>
          </w:tcPr>
          <w:p w14:paraId="6F0DDA6A" w14:textId="77777777" w:rsidR="00A45913" w:rsidRPr="003F3B0A" w:rsidRDefault="00A45913" w:rsidP="005476CD">
            <w:pPr>
              <w:rPr>
                <w:rFonts w:ascii="Calibri" w:hAnsi="Calibri"/>
                <w:sz w:val="20"/>
                <w:szCs w:val="20"/>
              </w:rPr>
            </w:pPr>
          </w:p>
        </w:tc>
        <w:tc>
          <w:tcPr>
            <w:tcW w:w="1913" w:type="dxa"/>
          </w:tcPr>
          <w:p w14:paraId="01811876" w14:textId="77777777" w:rsidR="00A45913" w:rsidRPr="003F3B0A" w:rsidRDefault="00A45913" w:rsidP="005476CD">
            <w:pPr>
              <w:rPr>
                <w:rFonts w:ascii="Calibri" w:hAnsi="Calibri"/>
                <w:sz w:val="20"/>
                <w:szCs w:val="20"/>
              </w:rPr>
            </w:pPr>
            <w:r w:rsidRPr="003F3B0A">
              <w:rPr>
                <w:rFonts w:ascii="Calibri" w:hAnsi="Calibri"/>
                <w:sz w:val="20"/>
                <w:szCs w:val="20"/>
              </w:rPr>
              <w:t>Saquinavir (SQV)</w:t>
            </w:r>
          </w:p>
        </w:tc>
        <w:tc>
          <w:tcPr>
            <w:tcW w:w="2837" w:type="dxa"/>
            <w:gridSpan w:val="2"/>
          </w:tcPr>
          <w:p w14:paraId="50941566"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1000 mg/12</w:t>
            </w:r>
            <w:r>
              <w:rPr>
                <w:rFonts w:ascii="Calibri" w:hAnsi="Calibri"/>
                <w:sz w:val="20"/>
                <w:szCs w:val="20"/>
                <w:lang w:val="pt-BR"/>
              </w:rPr>
              <w:t xml:space="preserve"> </w:t>
            </w:r>
            <w:r w:rsidRPr="003F3B0A">
              <w:rPr>
                <w:rFonts w:ascii="Calibri" w:hAnsi="Calibri"/>
                <w:sz w:val="20"/>
                <w:szCs w:val="20"/>
                <w:lang w:val="pt-BR"/>
              </w:rPr>
              <w:t>h (con 100 mg/12</w:t>
            </w:r>
            <w:r>
              <w:rPr>
                <w:rFonts w:ascii="Calibri" w:hAnsi="Calibri"/>
                <w:sz w:val="20"/>
                <w:szCs w:val="20"/>
                <w:lang w:val="pt-BR"/>
              </w:rPr>
              <w:t xml:space="preserve"> </w:t>
            </w:r>
            <w:r w:rsidRPr="003F3B0A">
              <w:rPr>
                <w:rFonts w:ascii="Calibri" w:hAnsi="Calibri"/>
                <w:sz w:val="20"/>
                <w:szCs w:val="20"/>
                <w:lang w:val="pt-BR"/>
              </w:rPr>
              <w:t>h de RTV)</w:t>
            </w:r>
          </w:p>
        </w:tc>
        <w:tc>
          <w:tcPr>
            <w:tcW w:w="2621" w:type="dxa"/>
          </w:tcPr>
          <w:p w14:paraId="5C05BC2D" w14:textId="77777777" w:rsidR="00A45913" w:rsidRPr="003F3B0A" w:rsidRDefault="00A45913" w:rsidP="005476CD">
            <w:pPr>
              <w:rPr>
                <w:rFonts w:ascii="Calibri" w:hAnsi="Calibri"/>
                <w:sz w:val="20"/>
                <w:szCs w:val="20"/>
              </w:rPr>
            </w:pPr>
            <w:r w:rsidRPr="003F3B0A">
              <w:rPr>
                <w:rFonts w:ascii="Calibri" w:hAnsi="Calibri"/>
                <w:sz w:val="20"/>
                <w:szCs w:val="20"/>
              </w:rPr>
              <w:t xml:space="preserve">No requiere ajuste de dosis. </w:t>
            </w:r>
          </w:p>
          <w:p w14:paraId="6310F2A5" w14:textId="77777777" w:rsidR="00A45913" w:rsidRPr="003F3B0A" w:rsidRDefault="00A45913" w:rsidP="005476CD">
            <w:pPr>
              <w:rPr>
                <w:rFonts w:ascii="Calibri" w:hAnsi="Calibri"/>
                <w:sz w:val="20"/>
                <w:szCs w:val="20"/>
              </w:rPr>
            </w:pPr>
          </w:p>
          <w:p w14:paraId="1C399E27" w14:textId="77777777" w:rsidR="00A45913" w:rsidRPr="003F3B0A" w:rsidRDefault="00A45913" w:rsidP="005476CD">
            <w:pPr>
              <w:rPr>
                <w:rFonts w:ascii="Calibri" w:hAnsi="Calibri"/>
                <w:sz w:val="20"/>
                <w:szCs w:val="20"/>
              </w:rPr>
            </w:pPr>
          </w:p>
        </w:tc>
        <w:tc>
          <w:tcPr>
            <w:tcW w:w="3900" w:type="dxa"/>
          </w:tcPr>
          <w:p w14:paraId="6974FB75" w14:textId="77777777" w:rsidR="00A45913" w:rsidRPr="003F3B0A" w:rsidRDefault="00A45913" w:rsidP="005476CD">
            <w:pPr>
              <w:rPr>
                <w:rFonts w:ascii="Calibri" w:hAnsi="Calibri"/>
                <w:sz w:val="20"/>
                <w:szCs w:val="20"/>
              </w:rPr>
            </w:pPr>
            <w:r w:rsidRPr="003F3B0A">
              <w:rPr>
                <w:rFonts w:ascii="Calibri" w:hAnsi="Calibri"/>
                <w:sz w:val="20"/>
                <w:szCs w:val="20"/>
              </w:rPr>
              <w:t>HD/CAPD: debido a la elevada unión a proteínas plasmáticas de ritonavir, no es de esperar que se elimine en las sesiones de HD/CAPD. Datos de un paciente indican escasa eliminación a través de HD.</w:t>
            </w:r>
          </w:p>
          <w:p w14:paraId="47DFA7AC" w14:textId="77777777" w:rsidR="00A45913" w:rsidRPr="003F3B0A" w:rsidRDefault="00A45913" w:rsidP="005476CD">
            <w:pPr>
              <w:rPr>
                <w:rFonts w:ascii="Calibri" w:hAnsi="Calibri"/>
                <w:sz w:val="20"/>
                <w:szCs w:val="20"/>
              </w:rPr>
            </w:pPr>
          </w:p>
        </w:tc>
      </w:tr>
      <w:tr w:rsidR="00A45913" w:rsidRPr="003F3B0A" w14:paraId="5005CC64" w14:textId="77777777" w:rsidTr="005476CD">
        <w:trPr>
          <w:gridAfter w:val="2"/>
          <w:wAfter w:w="140" w:type="dxa"/>
          <w:cantSplit/>
          <w:trHeight w:val="268"/>
        </w:trPr>
        <w:tc>
          <w:tcPr>
            <w:tcW w:w="1913" w:type="dxa"/>
          </w:tcPr>
          <w:p w14:paraId="594AE662" w14:textId="77777777" w:rsidR="00A45913" w:rsidRPr="003F3B0A" w:rsidRDefault="00A45913" w:rsidP="005476CD">
            <w:pPr>
              <w:rPr>
                <w:rFonts w:ascii="Calibri" w:hAnsi="Calibri"/>
                <w:sz w:val="20"/>
                <w:szCs w:val="20"/>
              </w:rPr>
            </w:pPr>
          </w:p>
        </w:tc>
        <w:tc>
          <w:tcPr>
            <w:tcW w:w="1913" w:type="dxa"/>
          </w:tcPr>
          <w:p w14:paraId="29752EBF" w14:textId="77777777" w:rsidR="00A45913" w:rsidRPr="003F3B0A" w:rsidRDefault="00A45913" w:rsidP="005476CD">
            <w:pPr>
              <w:rPr>
                <w:rFonts w:ascii="Calibri" w:hAnsi="Calibri"/>
                <w:sz w:val="20"/>
                <w:szCs w:val="20"/>
              </w:rPr>
            </w:pPr>
            <w:r w:rsidRPr="003F3B0A">
              <w:rPr>
                <w:rFonts w:ascii="Calibri" w:hAnsi="Calibri"/>
                <w:sz w:val="20"/>
                <w:szCs w:val="20"/>
              </w:rPr>
              <w:t>Tipranavir (TPV)</w:t>
            </w:r>
          </w:p>
        </w:tc>
        <w:tc>
          <w:tcPr>
            <w:tcW w:w="2837" w:type="dxa"/>
            <w:gridSpan w:val="2"/>
          </w:tcPr>
          <w:p w14:paraId="0F8F1381" w14:textId="77777777" w:rsidR="00A45913" w:rsidRPr="003F3B0A" w:rsidRDefault="00A45913" w:rsidP="005476CD">
            <w:pPr>
              <w:rPr>
                <w:rFonts w:ascii="Calibri" w:hAnsi="Calibri"/>
                <w:sz w:val="20"/>
                <w:szCs w:val="20"/>
                <w:lang w:val="pt-BR"/>
              </w:rPr>
            </w:pPr>
            <w:r w:rsidRPr="003F3B0A">
              <w:rPr>
                <w:rFonts w:ascii="Calibri" w:hAnsi="Calibri"/>
                <w:sz w:val="20"/>
                <w:szCs w:val="20"/>
                <w:lang w:val="pt-BR"/>
              </w:rPr>
              <w:t>500 mg/12h (con 200 mg/12</w:t>
            </w:r>
            <w:r>
              <w:rPr>
                <w:rFonts w:ascii="Calibri" w:hAnsi="Calibri"/>
                <w:sz w:val="20"/>
                <w:szCs w:val="20"/>
                <w:lang w:val="pt-BR"/>
              </w:rPr>
              <w:t xml:space="preserve"> </w:t>
            </w:r>
            <w:r w:rsidRPr="003F3B0A">
              <w:rPr>
                <w:rFonts w:ascii="Calibri" w:hAnsi="Calibri"/>
                <w:sz w:val="20"/>
                <w:szCs w:val="20"/>
                <w:lang w:val="pt-BR"/>
              </w:rPr>
              <w:t>h de RTV)</w:t>
            </w:r>
          </w:p>
        </w:tc>
        <w:tc>
          <w:tcPr>
            <w:tcW w:w="2621" w:type="dxa"/>
          </w:tcPr>
          <w:p w14:paraId="7EEC0597"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3900" w:type="dxa"/>
          </w:tcPr>
          <w:p w14:paraId="3F9F67DE" w14:textId="77777777" w:rsidR="00A45913" w:rsidRPr="003F3B0A" w:rsidRDefault="00A45913" w:rsidP="005476CD">
            <w:pPr>
              <w:rPr>
                <w:rFonts w:ascii="Calibri" w:hAnsi="Calibri"/>
                <w:sz w:val="20"/>
                <w:szCs w:val="20"/>
              </w:rPr>
            </w:pPr>
            <w:r w:rsidRPr="003F3B0A">
              <w:rPr>
                <w:rFonts w:ascii="Calibri" w:hAnsi="Calibri"/>
                <w:sz w:val="20"/>
                <w:szCs w:val="20"/>
              </w:rPr>
              <w:t>HD/CAPD: debido a la elevada unión a proteínas plasmáticas de TPV/RTV, no es de esperar que se eliminen en las sesiones de HD/CAPD.</w:t>
            </w:r>
          </w:p>
          <w:p w14:paraId="61608CC8" w14:textId="77777777" w:rsidR="00A45913" w:rsidRPr="003F3B0A" w:rsidRDefault="00A45913" w:rsidP="005476CD">
            <w:pPr>
              <w:rPr>
                <w:rFonts w:ascii="Calibri" w:hAnsi="Calibri"/>
                <w:sz w:val="20"/>
                <w:szCs w:val="20"/>
              </w:rPr>
            </w:pPr>
          </w:p>
        </w:tc>
      </w:tr>
      <w:tr w:rsidR="00A45913" w:rsidRPr="003F3B0A" w14:paraId="4B7AC047" w14:textId="77777777" w:rsidTr="005476CD">
        <w:trPr>
          <w:gridAfter w:val="2"/>
          <w:wAfter w:w="140" w:type="dxa"/>
          <w:cantSplit/>
        </w:trPr>
        <w:tc>
          <w:tcPr>
            <w:tcW w:w="1913" w:type="dxa"/>
          </w:tcPr>
          <w:p w14:paraId="097EFC36" w14:textId="77777777" w:rsidR="00A45913" w:rsidRPr="003F3B0A" w:rsidRDefault="00A45913" w:rsidP="005476CD">
            <w:pPr>
              <w:rPr>
                <w:rFonts w:ascii="Calibri" w:hAnsi="Calibri"/>
                <w:b/>
                <w:sz w:val="20"/>
                <w:szCs w:val="20"/>
              </w:rPr>
            </w:pPr>
            <w:r w:rsidRPr="003F3B0A">
              <w:rPr>
                <w:rFonts w:ascii="Calibri" w:hAnsi="Calibri"/>
                <w:b/>
                <w:sz w:val="20"/>
                <w:szCs w:val="20"/>
              </w:rPr>
              <w:t>Inhibidores de la fusión</w:t>
            </w:r>
          </w:p>
        </w:tc>
        <w:tc>
          <w:tcPr>
            <w:tcW w:w="1913" w:type="dxa"/>
          </w:tcPr>
          <w:p w14:paraId="679E5BF6" w14:textId="77777777" w:rsidR="00A45913" w:rsidRPr="003F3B0A" w:rsidRDefault="00A45913" w:rsidP="005476CD">
            <w:pPr>
              <w:rPr>
                <w:rFonts w:ascii="Calibri" w:hAnsi="Calibri"/>
                <w:sz w:val="20"/>
                <w:szCs w:val="20"/>
              </w:rPr>
            </w:pPr>
            <w:r w:rsidRPr="003F3B0A">
              <w:rPr>
                <w:rFonts w:ascii="Calibri" w:hAnsi="Calibri"/>
                <w:sz w:val="20"/>
                <w:szCs w:val="20"/>
              </w:rPr>
              <w:t>Enfuvirtida (T-20)</w:t>
            </w:r>
          </w:p>
        </w:tc>
        <w:tc>
          <w:tcPr>
            <w:tcW w:w="2837" w:type="dxa"/>
            <w:gridSpan w:val="2"/>
          </w:tcPr>
          <w:p w14:paraId="413ADCFC" w14:textId="77777777" w:rsidR="00A45913" w:rsidRPr="003F3B0A" w:rsidRDefault="00A45913" w:rsidP="005476CD">
            <w:pPr>
              <w:rPr>
                <w:rFonts w:ascii="Calibri" w:hAnsi="Calibri"/>
                <w:sz w:val="20"/>
                <w:szCs w:val="20"/>
              </w:rPr>
            </w:pPr>
            <w:r w:rsidRPr="003F3B0A">
              <w:rPr>
                <w:rFonts w:ascii="Calibri" w:hAnsi="Calibri"/>
                <w:sz w:val="20"/>
                <w:szCs w:val="20"/>
              </w:rPr>
              <w:t>90 mg/12</w:t>
            </w:r>
            <w:r>
              <w:rPr>
                <w:rFonts w:ascii="Calibri" w:hAnsi="Calibri"/>
                <w:sz w:val="20"/>
                <w:szCs w:val="20"/>
              </w:rPr>
              <w:t xml:space="preserve"> </w:t>
            </w:r>
            <w:r w:rsidRPr="003F3B0A">
              <w:rPr>
                <w:rFonts w:ascii="Calibri" w:hAnsi="Calibri"/>
                <w:sz w:val="20"/>
                <w:szCs w:val="20"/>
              </w:rPr>
              <w:t>h (vía s.c.)</w:t>
            </w:r>
          </w:p>
        </w:tc>
        <w:tc>
          <w:tcPr>
            <w:tcW w:w="2621" w:type="dxa"/>
          </w:tcPr>
          <w:p w14:paraId="0A3C899D" w14:textId="77777777" w:rsidR="00A45913" w:rsidRPr="003F3B0A" w:rsidRDefault="00A45913" w:rsidP="005476CD">
            <w:pPr>
              <w:rPr>
                <w:rFonts w:ascii="Calibri" w:hAnsi="Calibri"/>
                <w:sz w:val="20"/>
                <w:szCs w:val="20"/>
              </w:rPr>
            </w:pPr>
            <w:r w:rsidRPr="003F3B0A">
              <w:rPr>
                <w:rFonts w:ascii="Calibri" w:hAnsi="Calibri"/>
                <w:sz w:val="20"/>
                <w:szCs w:val="20"/>
              </w:rPr>
              <w:t>No requiere ajuste de dosis.</w:t>
            </w:r>
          </w:p>
        </w:tc>
        <w:tc>
          <w:tcPr>
            <w:tcW w:w="3900" w:type="dxa"/>
          </w:tcPr>
          <w:p w14:paraId="4F780C40"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w:t>
            </w:r>
            <w:r>
              <w:rPr>
                <w:rFonts w:ascii="Calibri" w:hAnsi="Calibri"/>
                <w:sz w:val="20"/>
                <w:szCs w:val="20"/>
              </w:rPr>
              <w:t>n</w:t>
            </w:r>
            <w:r w:rsidRPr="003F3B0A">
              <w:rPr>
                <w:rFonts w:ascii="Calibri" w:hAnsi="Calibri"/>
                <w:sz w:val="20"/>
                <w:szCs w:val="20"/>
              </w:rPr>
              <w:t>o requiere ajuste de dosis</w:t>
            </w:r>
          </w:p>
        </w:tc>
      </w:tr>
    </w:tbl>
    <w:p w14:paraId="3F2F3324" w14:textId="77777777" w:rsidR="00A45913" w:rsidRPr="003F3B0A" w:rsidRDefault="00A45913" w:rsidP="00A45913">
      <w:r w:rsidRPr="003F3B0A">
        <w:br w:type="page"/>
      </w:r>
    </w:p>
    <w:tbl>
      <w:tblPr>
        <w:tblW w:w="0" w:type="auto"/>
        <w:tblInd w:w="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913"/>
        <w:gridCol w:w="1913"/>
        <w:gridCol w:w="1631"/>
        <w:gridCol w:w="1346"/>
        <w:gridCol w:w="2977"/>
        <w:gridCol w:w="3544"/>
      </w:tblGrid>
      <w:tr w:rsidR="00A45913" w:rsidRPr="003F3B0A" w14:paraId="07549772" w14:textId="77777777" w:rsidTr="005476CD">
        <w:trPr>
          <w:cantSplit/>
        </w:trPr>
        <w:tc>
          <w:tcPr>
            <w:tcW w:w="1913" w:type="dxa"/>
            <w:tcBorders>
              <w:right w:val="nil"/>
            </w:tcBorders>
            <w:shd w:val="clear" w:color="auto" w:fill="FDE9D9"/>
            <w:vAlign w:val="center"/>
          </w:tcPr>
          <w:p w14:paraId="10C9D3A2"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lastRenderedPageBreak/>
              <w:t>Familia</w:t>
            </w:r>
          </w:p>
        </w:tc>
        <w:tc>
          <w:tcPr>
            <w:tcW w:w="1913" w:type="dxa"/>
            <w:tcBorders>
              <w:left w:val="nil"/>
              <w:right w:val="nil"/>
            </w:tcBorders>
            <w:shd w:val="clear" w:color="auto" w:fill="FDE9D9"/>
            <w:vAlign w:val="center"/>
          </w:tcPr>
          <w:p w14:paraId="29C8A261"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2977" w:type="dxa"/>
            <w:gridSpan w:val="2"/>
            <w:tcBorders>
              <w:left w:val="nil"/>
              <w:right w:val="nil"/>
            </w:tcBorders>
            <w:shd w:val="clear" w:color="auto" w:fill="FDE9D9"/>
            <w:vAlign w:val="center"/>
          </w:tcPr>
          <w:p w14:paraId="110A2361"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2977" w:type="dxa"/>
            <w:tcBorders>
              <w:left w:val="nil"/>
              <w:right w:val="nil"/>
            </w:tcBorders>
            <w:shd w:val="clear" w:color="auto" w:fill="FDE9D9"/>
            <w:vAlign w:val="center"/>
          </w:tcPr>
          <w:p w14:paraId="4CFC064C"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3544" w:type="dxa"/>
            <w:tcBorders>
              <w:left w:val="nil"/>
              <w:right w:val="nil"/>
            </w:tcBorders>
            <w:shd w:val="clear" w:color="auto" w:fill="FDE9D9"/>
            <w:vAlign w:val="center"/>
          </w:tcPr>
          <w:p w14:paraId="7B8A6514"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16F8D317" w14:textId="77777777" w:rsidTr="005476CD">
        <w:trPr>
          <w:cantSplit/>
        </w:trPr>
        <w:tc>
          <w:tcPr>
            <w:tcW w:w="1913" w:type="dxa"/>
          </w:tcPr>
          <w:p w14:paraId="5342A889" w14:textId="77777777" w:rsidR="00A45913" w:rsidRPr="003F3B0A" w:rsidRDefault="00A45913" w:rsidP="005476CD">
            <w:pPr>
              <w:rPr>
                <w:rFonts w:ascii="Calibri" w:hAnsi="Calibri"/>
                <w:b/>
                <w:sz w:val="20"/>
                <w:szCs w:val="20"/>
              </w:rPr>
            </w:pPr>
            <w:r w:rsidRPr="003F3B0A">
              <w:rPr>
                <w:rFonts w:ascii="Calibri" w:hAnsi="Calibri"/>
                <w:b/>
                <w:sz w:val="20"/>
                <w:szCs w:val="20"/>
              </w:rPr>
              <w:t>Inhibidores de la integrasa</w:t>
            </w:r>
          </w:p>
        </w:tc>
        <w:tc>
          <w:tcPr>
            <w:tcW w:w="1913" w:type="dxa"/>
          </w:tcPr>
          <w:p w14:paraId="3F486B7B" w14:textId="77777777" w:rsidR="00A45913" w:rsidRPr="003F3B0A" w:rsidRDefault="00A45913" w:rsidP="005476CD">
            <w:pPr>
              <w:rPr>
                <w:rFonts w:ascii="Calibri" w:hAnsi="Calibri"/>
                <w:sz w:val="20"/>
                <w:szCs w:val="20"/>
              </w:rPr>
            </w:pPr>
            <w:r w:rsidRPr="003F3B0A">
              <w:rPr>
                <w:rFonts w:ascii="Calibri" w:hAnsi="Calibri"/>
                <w:sz w:val="20"/>
                <w:szCs w:val="20"/>
              </w:rPr>
              <w:t xml:space="preserve"> Raltegravir (RAL)</w:t>
            </w:r>
          </w:p>
        </w:tc>
        <w:tc>
          <w:tcPr>
            <w:tcW w:w="2977" w:type="dxa"/>
            <w:gridSpan w:val="2"/>
          </w:tcPr>
          <w:p w14:paraId="5850341C" w14:textId="77777777" w:rsidR="00A45913" w:rsidRPr="003F3B0A" w:rsidRDefault="00A45913" w:rsidP="005476CD">
            <w:pPr>
              <w:rPr>
                <w:rFonts w:ascii="Calibri" w:hAnsi="Calibri"/>
                <w:sz w:val="20"/>
                <w:szCs w:val="20"/>
              </w:rPr>
            </w:pPr>
            <w:r>
              <w:rPr>
                <w:rFonts w:ascii="Calibri" w:hAnsi="Calibri"/>
                <w:sz w:val="20"/>
                <w:szCs w:val="20"/>
              </w:rPr>
              <w:t xml:space="preserve">             </w:t>
            </w:r>
            <w:r w:rsidRPr="003F3B0A">
              <w:rPr>
                <w:rFonts w:ascii="Calibri" w:hAnsi="Calibri"/>
                <w:sz w:val="20"/>
                <w:szCs w:val="20"/>
              </w:rPr>
              <w:t>400 mg/12h</w:t>
            </w:r>
          </w:p>
        </w:tc>
        <w:tc>
          <w:tcPr>
            <w:tcW w:w="2977" w:type="dxa"/>
          </w:tcPr>
          <w:p w14:paraId="17EBFBA1" w14:textId="77777777" w:rsidR="00A45913" w:rsidRPr="003F3B0A" w:rsidRDefault="00A45913" w:rsidP="005476CD">
            <w:pPr>
              <w:rPr>
                <w:rFonts w:ascii="Calibri" w:hAnsi="Calibri"/>
                <w:sz w:val="20"/>
                <w:szCs w:val="20"/>
              </w:rPr>
            </w:pPr>
            <w:r w:rsidRPr="003F3B0A">
              <w:rPr>
                <w:rFonts w:ascii="Calibri" w:hAnsi="Calibri"/>
                <w:sz w:val="20"/>
                <w:szCs w:val="20"/>
              </w:rPr>
              <w:t xml:space="preserve">No requiere ajuste de dosis </w:t>
            </w:r>
          </w:p>
        </w:tc>
        <w:tc>
          <w:tcPr>
            <w:tcW w:w="3544" w:type="dxa"/>
          </w:tcPr>
          <w:p w14:paraId="532100B7"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no es probable que RAL se elimine significativamente a través de la HD. Datos de dos pacientes con ERCA mostraron la ausencia de eliminación de RAL durante una sesión de HD de 4 horas. </w:t>
            </w:r>
          </w:p>
          <w:p w14:paraId="34255348" w14:textId="77777777" w:rsidR="00A45913" w:rsidRPr="003F3B0A" w:rsidRDefault="00A45913" w:rsidP="005476CD">
            <w:pPr>
              <w:rPr>
                <w:rFonts w:ascii="Calibri" w:hAnsi="Calibri"/>
                <w:sz w:val="20"/>
                <w:szCs w:val="20"/>
              </w:rPr>
            </w:pPr>
          </w:p>
        </w:tc>
      </w:tr>
      <w:tr w:rsidR="00A45913" w:rsidRPr="003F3B0A" w14:paraId="7B25B735" w14:textId="77777777" w:rsidTr="005476CD">
        <w:trPr>
          <w:cantSplit/>
        </w:trPr>
        <w:tc>
          <w:tcPr>
            <w:tcW w:w="1913" w:type="dxa"/>
            <w:tcBorders>
              <w:bottom w:val="nil"/>
            </w:tcBorders>
          </w:tcPr>
          <w:p w14:paraId="62C6DC57" w14:textId="77777777" w:rsidR="00A45913" w:rsidRPr="003F3B0A" w:rsidRDefault="00A45913" w:rsidP="005476CD">
            <w:pPr>
              <w:rPr>
                <w:rFonts w:ascii="Calibri" w:hAnsi="Calibri"/>
                <w:b/>
                <w:sz w:val="20"/>
                <w:szCs w:val="20"/>
              </w:rPr>
            </w:pPr>
          </w:p>
        </w:tc>
        <w:tc>
          <w:tcPr>
            <w:tcW w:w="1913" w:type="dxa"/>
          </w:tcPr>
          <w:p w14:paraId="01FFDE49" w14:textId="77777777" w:rsidR="00A45913" w:rsidRPr="003F3B0A" w:rsidRDefault="00A45913" w:rsidP="005476CD">
            <w:pPr>
              <w:rPr>
                <w:rFonts w:ascii="Calibri" w:hAnsi="Calibri"/>
                <w:sz w:val="20"/>
                <w:szCs w:val="20"/>
              </w:rPr>
            </w:pPr>
            <w:r w:rsidRPr="003F3B0A">
              <w:rPr>
                <w:rFonts w:ascii="Calibri" w:hAnsi="Calibri"/>
                <w:sz w:val="20"/>
                <w:szCs w:val="20"/>
              </w:rPr>
              <w:t>Dolutegravir (DTG)</w:t>
            </w:r>
          </w:p>
          <w:p w14:paraId="4FFF407B" w14:textId="77777777" w:rsidR="00A45913" w:rsidRPr="003F3B0A" w:rsidRDefault="00A45913" w:rsidP="005476CD">
            <w:pPr>
              <w:rPr>
                <w:rFonts w:ascii="Calibri" w:hAnsi="Calibri"/>
                <w:sz w:val="20"/>
                <w:szCs w:val="20"/>
              </w:rPr>
            </w:pPr>
          </w:p>
        </w:tc>
        <w:tc>
          <w:tcPr>
            <w:tcW w:w="1631" w:type="dxa"/>
          </w:tcPr>
          <w:p w14:paraId="0E597DBD" w14:textId="77777777" w:rsidR="00A45913" w:rsidRPr="003F3B0A" w:rsidRDefault="00A45913" w:rsidP="005476CD">
            <w:pPr>
              <w:rPr>
                <w:rFonts w:ascii="Calibri" w:hAnsi="Calibri"/>
                <w:sz w:val="20"/>
                <w:szCs w:val="20"/>
              </w:rPr>
            </w:pPr>
            <w:r>
              <w:rPr>
                <w:rFonts w:ascii="Calibri" w:hAnsi="Calibri"/>
                <w:sz w:val="20"/>
                <w:szCs w:val="20"/>
              </w:rPr>
              <w:t xml:space="preserve">           </w:t>
            </w:r>
            <w:r w:rsidRPr="003F3B0A">
              <w:rPr>
                <w:rFonts w:ascii="Calibri" w:hAnsi="Calibri"/>
                <w:sz w:val="20"/>
                <w:szCs w:val="20"/>
              </w:rPr>
              <w:t>50 mg/24h</w:t>
            </w:r>
          </w:p>
        </w:tc>
        <w:tc>
          <w:tcPr>
            <w:tcW w:w="4323" w:type="dxa"/>
            <w:gridSpan w:val="2"/>
          </w:tcPr>
          <w:p w14:paraId="1A3977FB" w14:textId="77777777" w:rsidR="00A45913" w:rsidRPr="003F3B0A" w:rsidRDefault="00A45913" w:rsidP="005476CD">
            <w:pPr>
              <w:rPr>
                <w:rFonts w:ascii="Calibri" w:hAnsi="Calibri"/>
                <w:sz w:val="20"/>
                <w:szCs w:val="20"/>
              </w:rPr>
            </w:pPr>
            <w:r w:rsidRPr="003F3B0A">
              <w:rPr>
                <w:rFonts w:ascii="Calibri" w:hAnsi="Calibri"/>
                <w:sz w:val="20"/>
                <w:szCs w:val="20"/>
              </w:rPr>
              <w:t>No se requiere ajuste de dosis. Se realizó un estud</w:t>
            </w:r>
            <w:r>
              <w:rPr>
                <w:rFonts w:ascii="Calibri" w:hAnsi="Calibri"/>
                <w:sz w:val="20"/>
                <w:szCs w:val="20"/>
              </w:rPr>
              <w:t xml:space="preserve">io sobre la farmacocinética de DTG </w:t>
            </w:r>
            <w:r w:rsidRPr="003F3B0A">
              <w:rPr>
                <w:rFonts w:ascii="Calibri" w:hAnsi="Calibri"/>
                <w:sz w:val="20"/>
                <w:szCs w:val="20"/>
              </w:rPr>
              <w:t xml:space="preserve">en sujetos con insuficiencia renal grave (Cl&lt;30 ml/min) emparejados con controles sanos. La exposición a </w:t>
            </w:r>
            <w:r>
              <w:rPr>
                <w:rFonts w:ascii="Calibri" w:hAnsi="Calibri"/>
                <w:sz w:val="20"/>
                <w:szCs w:val="20"/>
              </w:rPr>
              <w:t>DTG</w:t>
            </w:r>
            <w:r w:rsidRPr="003F3B0A">
              <w:rPr>
                <w:rFonts w:ascii="Calibri" w:hAnsi="Calibri"/>
                <w:sz w:val="20"/>
                <w:szCs w:val="20"/>
              </w:rPr>
              <w:t xml:space="preserve"> disminuyó aproximadamente un </w:t>
            </w:r>
          </w:p>
          <w:p w14:paraId="29BC9421" w14:textId="77777777" w:rsidR="00A45913" w:rsidRPr="003F3B0A" w:rsidRDefault="00A45913" w:rsidP="005476CD">
            <w:pPr>
              <w:rPr>
                <w:rFonts w:ascii="Calibri" w:hAnsi="Calibri"/>
                <w:sz w:val="20"/>
                <w:szCs w:val="20"/>
              </w:rPr>
            </w:pPr>
            <w:r w:rsidRPr="003F3B0A">
              <w:rPr>
                <w:rFonts w:ascii="Calibri" w:hAnsi="Calibri"/>
                <w:sz w:val="20"/>
                <w:szCs w:val="20"/>
              </w:rPr>
              <w:t xml:space="preserve">40% en sujetos con insuficiencia renal grave. Se desconoce el mecanismo. No  se considera necesario ningún ajuste de dosis, pero se recomienda precaución en pacientes con IR avanzada y experiencia previa a INI que presenten mutaciones o sospecha de resistencia a estos fármacos. In vitro, </w:t>
            </w:r>
            <w:r>
              <w:rPr>
                <w:rFonts w:ascii="Calibri" w:hAnsi="Calibri"/>
                <w:sz w:val="20"/>
                <w:szCs w:val="20"/>
              </w:rPr>
              <w:t>DTG</w:t>
            </w:r>
            <w:r w:rsidRPr="003F3B0A">
              <w:rPr>
                <w:rFonts w:ascii="Calibri" w:hAnsi="Calibri"/>
                <w:sz w:val="20"/>
                <w:szCs w:val="20"/>
              </w:rPr>
              <w:t xml:space="preserve"> inhibe los transportadores renales  OCT2 y MATE 1.  Aunque in vitro se ha observado inhibición de OAT1B1 y OAT1B3, no parece que in vivo  tenga repercusión clínica.</w:t>
            </w:r>
            <w:r w:rsidRPr="003F3B0A">
              <w:rPr>
                <w:rFonts w:ascii="Calibri" w:hAnsi="Calibri"/>
                <w:sz w:val="20"/>
                <w:szCs w:val="20"/>
                <w:vertAlign w:val="superscript"/>
              </w:rPr>
              <w:t xml:space="preserve"># </w:t>
            </w:r>
            <w:r w:rsidRPr="003F3B0A">
              <w:rPr>
                <w:rFonts w:ascii="Calibri" w:hAnsi="Calibri"/>
                <w:sz w:val="20"/>
                <w:szCs w:val="20"/>
              </w:rPr>
              <w:t>Los transportadores OCT2 y MATE1 intervienen en la secreción renal de creatinina, por lo que se ha observado una  disminución del aclaramiento de creatinina durante las primeras 4 semanas del 10-14%, sin que ello esté relacionado con un empeoramiento del filtrado glomerular</w:t>
            </w:r>
          </w:p>
        </w:tc>
        <w:tc>
          <w:tcPr>
            <w:tcW w:w="3544" w:type="dxa"/>
          </w:tcPr>
          <w:p w14:paraId="428B7574" w14:textId="77777777" w:rsidR="00A45913" w:rsidRPr="003F3B0A" w:rsidRDefault="00A45913" w:rsidP="005476CD">
            <w:pPr>
              <w:rPr>
                <w:rFonts w:ascii="Calibri" w:hAnsi="Calibri"/>
                <w:sz w:val="20"/>
                <w:szCs w:val="20"/>
              </w:rPr>
            </w:pPr>
            <w:r w:rsidRPr="003F3B0A">
              <w:rPr>
                <w:rFonts w:ascii="Calibri" w:hAnsi="Calibri"/>
                <w:sz w:val="20"/>
                <w:szCs w:val="20"/>
              </w:rPr>
              <w:t>No se dispone de datos, aunque no se esperan diferencias farmacocinéticas en esta población.</w:t>
            </w:r>
          </w:p>
        </w:tc>
      </w:tr>
    </w:tbl>
    <w:p w14:paraId="70F264D0" w14:textId="77777777" w:rsidR="00A45913" w:rsidRPr="003F3B0A" w:rsidRDefault="00A45913" w:rsidP="00A45913"/>
    <w:p w14:paraId="1E126372" w14:textId="77777777" w:rsidR="00A45913" w:rsidRPr="003F3B0A" w:rsidRDefault="00A45913" w:rsidP="00A4591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913"/>
        <w:gridCol w:w="1631"/>
        <w:gridCol w:w="4323"/>
        <w:gridCol w:w="3544"/>
      </w:tblGrid>
      <w:tr w:rsidR="00A45913" w:rsidRPr="003F3B0A" w14:paraId="2E5094AC" w14:textId="77777777" w:rsidTr="005476CD">
        <w:trPr>
          <w:cantSplit/>
        </w:trPr>
        <w:tc>
          <w:tcPr>
            <w:tcW w:w="1913" w:type="dxa"/>
            <w:tcBorders>
              <w:right w:val="nil"/>
            </w:tcBorders>
            <w:shd w:val="clear" w:color="auto" w:fill="FDE9D9"/>
          </w:tcPr>
          <w:p w14:paraId="427DC4D6"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lastRenderedPageBreak/>
              <w:t>Familia</w:t>
            </w:r>
          </w:p>
        </w:tc>
        <w:tc>
          <w:tcPr>
            <w:tcW w:w="1913" w:type="dxa"/>
            <w:tcBorders>
              <w:left w:val="nil"/>
              <w:right w:val="nil"/>
            </w:tcBorders>
            <w:shd w:val="clear" w:color="auto" w:fill="FDE9D9"/>
          </w:tcPr>
          <w:p w14:paraId="6DF516F6"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1631" w:type="dxa"/>
            <w:tcBorders>
              <w:left w:val="nil"/>
              <w:right w:val="nil"/>
            </w:tcBorders>
            <w:shd w:val="clear" w:color="auto" w:fill="FDE9D9"/>
          </w:tcPr>
          <w:p w14:paraId="6E7ED7AC"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4323" w:type="dxa"/>
            <w:tcBorders>
              <w:left w:val="nil"/>
              <w:right w:val="nil"/>
            </w:tcBorders>
            <w:shd w:val="clear" w:color="auto" w:fill="FDE9D9"/>
          </w:tcPr>
          <w:p w14:paraId="1324C884"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3544" w:type="dxa"/>
            <w:tcBorders>
              <w:left w:val="nil"/>
            </w:tcBorders>
            <w:shd w:val="clear" w:color="auto" w:fill="FDE9D9"/>
          </w:tcPr>
          <w:p w14:paraId="052D1A24"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1EDDDDE1" w14:textId="77777777" w:rsidTr="005476CD">
        <w:trPr>
          <w:cantSplit/>
          <w:trHeight w:val="2872"/>
        </w:trPr>
        <w:tc>
          <w:tcPr>
            <w:tcW w:w="1913" w:type="dxa"/>
            <w:tcBorders>
              <w:left w:val="nil"/>
              <w:bottom w:val="nil"/>
              <w:right w:val="nil"/>
            </w:tcBorders>
          </w:tcPr>
          <w:p w14:paraId="646449CC" w14:textId="77777777" w:rsidR="00A45913" w:rsidRPr="003F3B0A" w:rsidRDefault="00A45913" w:rsidP="005476CD">
            <w:pPr>
              <w:rPr>
                <w:rFonts w:ascii="Calibri" w:hAnsi="Calibri"/>
                <w:color w:val="000000"/>
                <w:sz w:val="20"/>
                <w:szCs w:val="20"/>
              </w:rPr>
            </w:pPr>
          </w:p>
        </w:tc>
        <w:tc>
          <w:tcPr>
            <w:tcW w:w="1913" w:type="dxa"/>
            <w:tcBorders>
              <w:left w:val="nil"/>
              <w:right w:val="nil"/>
            </w:tcBorders>
          </w:tcPr>
          <w:p w14:paraId="7670039A" w14:textId="77777777" w:rsidR="00A45913" w:rsidRPr="003F3B0A" w:rsidRDefault="00A45913" w:rsidP="005476CD">
            <w:pPr>
              <w:rPr>
                <w:rFonts w:ascii="Calibri" w:hAnsi="Calibri"/>
                <w:color w:val="000000"/>
                <w:sz w:val="20"/>
                <w:szCs w:val="20"/>
                <w:lang w:val="en-US"/>
              </w:rPr>
            </w:pPr>
            <w:r w:rsidRPr="003F3B0A">
              <w:rPr>
                <w:rFonts w:ascii="Calibri" w:hAnsi="Calibri"/>
                <w:color w:val="000000"/>
                <w:sz w:val="20"/>
                <w:szCs w:val="20"/>
                <w:lang w:val="en-US"/>
              </w:rPr>
              <w:t xml:space="preserve">Elvitegravir (EVG)/cobicistat /TDF/FTC </w:t>
            </w:r>
          </w:p>
        </w:tc>
        <w:tc>
          <w:tcPr>
            <w:tcW w:w="1631" w:type="dxa"/>
            <w:tcBorders>
              <w:left w:val="nil"/>
              <w:right w:val="nil"/>
            </w:tcBorders>
          </w:tcPr>
          <w:p w14:paraId="42472BBF" w14:textId="77777777" w:rsidR="00A45913" w:rsidRPr="003F3B0A" w:rsidRDefault="00A45913" w:rsidP="005476CD">
            <w:pPr>
              <w:rPr>
                <w:rFonts w:ascii="Calibri" w:hAnsi="Calibri"/>
                <w:color w:val="000000"/>
                <w:sz w:val="20"/>
                <w:szCs w:val="20"/>
              </w:rPr>
            </w:pPr>
            <w:r w:rsidRPr="003F3B0A">
              <w:rPr>
                <w:rFonts w:ascii="Calibri" w:hAnsi="Calibri"/>
                <w:color w:val="000000"/>
                <w:sz w:val="20"/>
                <w:szCs w:val="20"/>
              </w:rPr>
              <w:t>150/150/200/245 mg</w:t>
            </w:r>
          </w:p>
        </w:tc>
        <w:tc>
          <w:tcPr>
            <w:tcW w:w="4323" w:type="dxa"/>
            <w:tcBorders>
              <w:left w:val="nil"/>
              <w:right w:val="nil"/>
            </w:tcBorders>
          </w:tcPr>
          <w:p w14:paraId="3F662184" w14:textId="77777777" w:rsidR="00A45913" w:rsidRPr="003F3B0A" w:rsidRDefault="00A45913" w:rsidP="005476CD">
            <w:pPr>
              <w:rPr>
                <w:rFonts w:ascii="Calibri" w:hAnsi="Calibri"/>
                <w:color w:val="000000"/>
                <w:sz w:val="20"/>
                <w:szCs w:val="20"/>
              </w:rPr>
            </w:pPr>
            <w:r w:rsidRPr="003F3B0A">
              <w:rPr>
                <w:rFonts w:ascii="Calibri" w:hAnsi="Calibri"/>
                <w:color w:val="000000"/>
                <w:sz w:val="20"/>
                <w:szCs w:val="20"/>
              </w:rPr>
              <w:t>Cobicistat reduce levemente el filtrado glomerular renal estimado de creatinina (aunque no altera el filtrado glomerular real), debido a la inhibición de la secreción tubular de creatinina.</w:t>
            </w:r>
          </w:p>
          <w:p w14:paraId="4C20AAB5" w14:textId="77777777" w:rsidR="00A45913" w:rsidRPr="003F3B0A" w:rsidRDefault="00A45913" w:rsidP="005476CD">
            <w:pPr>
              <w:rPr>
                <w:rFonts w:ascii="Calibri" w:hAnsi="Calibri"/>
                <w:color w:val="000000"/>
                <w:sz w:val="20"/>
                <w:szCs w:val="20"/>
              </w:rPr>
            </w:pPr>
            <w:r w:rsidRPr="003F3B0A">
              <w:rPr>
                <w:rFonts w:ascii="Calibri" w:hAnsi="Calibri"/>
                <w:color w:val="000000"/>
                <w:sz w:val="20"/>
                <w:szCs w:val="20"/>
              </w:rPr>
              <w:t>La combinación EVG/c/TDF/FTC no debe iniciarse en pacientes con Cl &lt;70 ml/min. Si el Cl durante el tratamiento se reduce a Cl &lt;70 ml/min monitorizar estrechamente la función renal (ver ficha técnica de Stribild</w:t>
            </w:r>
            <w:r w:rsidRPr="003F3B0A">
              <w:rPr>
                <w:rFonts w:ascii="Calibri" w:hAnsi="Calibri"/>
                <w:sz w:val="20"/>
                <w:szCs w:val="20"/>
                <w:vertAlign w:val="superscript"/>
              </w:rPr>
              <w:t>©</w:t>
            </w:r>
            <w:r w:rsidRPr="003F3B0A">
              <w:rPr>
                <w:rFonts w:ascii="Calibri" w:hAnsi="Calibri"/>
                <w:color w:val="000000"/>
                <w:sz w:val="20"/>
                <w:szCs w:val="20"/>
              </w:rPr>
              <w:t>), si se reduce a Cl&lt;50 ml/min debe suspenderse, dado que no se puede realizar el ajuste de dosis adecuado para FDF/FTC.</w:t>
            </w:r>
          </w:p>
        </w:tc>
        <w:tc>
          <w:tcPr>
            <w:tcW w:w="3544" w:type="dxa"/>
            <w:tcBorders>
              <w:left w:val="nil"/>
              <w:right w:val="nil"/>
            </w:tcBorders>
          </w:tcPr>
          <w:p w14:paraId="1C41AEDC" w14:textId="77777777" w:rsidR="00A45913" w:rsidRPr="003F3B0A" w:rsidRDefault="00A45913" w:rsidP="005476CD">
            <w:pPr>
              <w:rPr>
                <w:rFonts w:ascii="Calibri" w:hAnsi="Calibri"/>
                <w:color w:val="FF0000"/>
                <w:sz w:val="20"/>
                <w:szCs w:val="20"/>
              </w:rPr>
            </w:pPr>
            <w:r w:rsidRPr="003F3B0A">
              <w:rPr>
                <w:rFonts w:ascii="Calibri" w:hAnsi="Calibri"/>
                <w:sz w:val="20"/>
                <w:szCs w:val="20"/>
              </w:rPr>
              <w:t xml:space="preserve">La combinación </w:t>
            </w:r>
            <w:r>
              <w:rPr>
                <w:rFonts w:ascii="Calibri" w:hAnsi="Calibri"/>
                <w:color w:val="000000"/>
                <w:sz w:val="20"/>
                <w:szCs w:val="20"/>
              </w:rPr>
              <w:t>EVG/c/</w:t>
            </w:r>
            <w:r w:rsidRPr="003F3B0A">
              <w:rPr>
                <w:rFonts w:ascii="Calibri" w:hAnsi="Calibri"/>
                <w:color w:val="000000"/>
                <w:sz w:val="20"/>
                <w:szCs w:val="20"/>
              </w:rPr>
              <w:t>TDF/FTC</w:t>
            </w:r>
            <w:r w:rsidRPr="003F3B0A">
              <w:rPr>
                <w:rFonts w:ascii="Calibri" w:hAnsi="Calibri"/>
                <w:sz w:val="20"/>
                <w:szCs w:val="20"/>
              </w:rPr>
              <w:t xml:space="preserve"> no debe emplearse si Cl &lt;50 ml/min.</w:t>
            </w:r>
          </w:p>
        </w:tc>
      </w:tr>
      <w:tr w:rsidR="00A45913" w:rsidRPr="003F3B0A" w14:paraId="1BD16564" w14:textId="77777777" w:rsidTr="005476CD">
        <w:trPr>
          <w:cantSplit/>
          <w:trHeight w:val="1833"/>
        </w:trPr>
        <w:tc>
          <w:tcPr>
            <w:tcW w:w="1913" w:type="dxa"/>
            <w:tcBorders>
              <w:top w:val="nil"/>
              <w:left w:val="nil"/>
              <w:right w:val="nil"/>
            </w:tcBorders>
          </w:tcPr>
          <w:p w14:paraId="4095BDCE" w14:textId="77777777" w:rsidR="00A45913" w:rsidRPr="003F3B0A" w:rsidRDefault="00A45913" w:rsidP="005476CD">
            <w:pPr>
              <w:rPr>
                <w:rFonts w:ascii="Calibri" w:hAnsi="Calibri"/>
                <w:color w:val="000000"/>
                <w:sz w:val="20"/>
                <w:szCs w:val="20"/>
              </w:rPr>
            </w:pPr>
          </w:p>
        </w:tc>
        <w:tc>
          <w:tcPr>
            <w:tcW w:w="1913" w:type="dxa"/>
            <w:tcBorders>
              <w:left w:val="nil"/>
              <w:right w:val="nil"/>
            </w:tcBorders>
          </w:tcPr>
          <w:p w14:paraId="4B9F6319" w14:textId="77777777" w:rsidR="00A45913" w:rsidRPr="003F3B0A" w:rsidRDefault="00A45913" w:rsidP="005476CD">
            <w:pPr>
              <w:rPr>
                <w:rFonts w:ascii="Calibri" w:hAnsi="Calibri"/>
                <w:color w:val="000000"/>
                <w:sz w:val="20"/>
                <w:szCs w:val="20"/>
                <w:lang w:val="en-US"/>
              </w:rPr>
            </w:pPr>
            <w:r w:rsidRPr="003F3B0A">
              <w:rPr>
                <w:rFonts w:ascii="Calibri" w:hAnsi="Calibri"/>
                <w:color w:val="000000"/>
                <w:sz w:val="20"/>
                <w:szCs w:val="20"/>
                <w:lang w:val="en-US"/>
              </w:rPr>
              <w:t>Elvitegravir (EVG)/cobicistat /TAF/FTC</w:t>
            </w:r>
          </w:p>
        </w:tc>
        <w:tc>
          <w:tcPr>
            <w:tcW w:w="1631" w:type="dxa"/>
            <w:tcBorders>
              <w:left w:val="nil"/>
              <w:right w:val="nil"/>
            </w:tcBorders>
          </w:tcPr>
          <w:p w14:paraId="3CA99910" w14:textId="77777777" w:rsidR="00A45913" w:rsidRPr="003F3B0A" w:rsidRDefault="00A45913" w:rsidP="005476CD">
            <w:pPr>
              <w:rPr>
                <w:rFonts w:ascii="Calibri" w:hAnsi="Calibri"/>
                <w:color w:val="000000"/>
                <w:sz w:val="20"/>
                <w:szCs w:val="20"/>
              </w:rPr>
            </w:pPr>
            <w:r w:rsidRPr="003F3B0A">
              <w:rPr>
                <w:rFonts w:ascii="Calibri" w:hAnsi="Calibri"/>
                <w:color w:val="000000"/>
                <w:sz w:val="20"/>
                <w:szCs w:val="20"/>
              </w:rPr>
              <w:t>150/150/10/200</w:t>
            </w:r>
          </w:p>
        </w:tc>
        <w:tc>
          <w:tcPr>
            <w:tcW w:w="4323" w:type="dxa"/>
            <w:tcBorders>
              <w:left w:val="nil"/>
              <w:right w:val="nil"/>
            </w:tcBorders>
          </w:tcPr>
          <w:p w14:paraId="5161D2A1" w14:textId="77777777" w:rsidR="00A45913" w:rsidRPr="003F3B0A" w:rsidRDefault="00A45913" w:rsidP="005476CD">
            <w:pPr>
              <w:rPr>
                <w:rFonts w:ascii="Calibri" w:hAnsi="Calibri"/>
                <w:sz w:val="20"/>
                <w:szCs w:val="20"/>
              </w:rPr>
            </w:pPr>
            <w:r w:rsidRPr="003F3B0A">
              <w:rPr>
                <w:rFonts w:ascii="Calibri" w:hAnsi="Calibri"/>
                <w:sz w:val="20"/>
                <w:szCs w:val="20"/>
              </w:rPr>
              <w:t>Cobicistat reduce levemente el filtrado glomerular renal estimado de creatinina (aunque no altera el filtrado glomerular real), debido a la inhibición de la secreción tubular de creatinina.</w:t>
            </w:r>
          </w:p>
          <w:p w14:paraId="30DA3FD5" w14:textId="77777777" w:rsidR="00A45913" w:rsidRPr="003F3B0A" w:rsidRDefault="00A45913" w:rsidP="005476CD">
            <w:pPr>
              <w:rPr>
                <w:rFonts w:ascii="Calibri" w:hAnsi="Calibri"/>
                <w:sz w:val="20"/>
                <w:szCs w:val="20"/>
              </w:rPr>
            </w:pPr>
            <w:r w:rsidRPr="003F3B0A">
              <w:rPr>
                <w:rFonts w:ascii="Calibri" w:hAnsi="Calibri"/>
                <w:sz w:val="20"/>
                <w:szCs w:val="20"/>
              </w:rPr>
              <w:t>La combinación EVG/c/TAF/FTC es segura en pacientes con Cl &gt;30 ml/min sin producirse cambios en la tasa de Cl o la proteinuria</w:t>
            </w:r>
          </w:p>
        </w:tc>
        <w:tc>
          <w:tcPr>
            <w:tcW w:w="3544" w:type="dxa"/>
            <w:tcBorders>
              <w:left w:val="nil"/>
              <w:right w:val="nil"/>
            </w:tcBorders>
          </w:tcPr>
          <w:p w14:paraId="3FCFA3F3" w14:textId="77777777" w:rsidR="00A45913" w:rsidRPr="003F3B0A" w:rsidRDefault="00A45913" w:rsidP="005476CD">
            <w:pPr>
              <w:rPr>
                <w:rFonts w:ascii="Calibri" w:hAnsi="Calibri"/>
                <w:sz w:val="20"/>
                <w:szCs w:val="20"/>
              </w:rPr>
            </w:pPr>
            <w:r w:rsidRPr="003F3B0A">
              <w:rPr>
                <w:rFonts w:ascii="Calibri" w:hAnsi="Calibri"/>
                <w:sz w:val="20"/>
                <w:szCs w:val="20"/>
              </w:rPr>
              <w:t>No hay recomendaciones disponibles sobre aj</w:t>
            </w:r>
            <w:r>
              <w:rPr>
                <w:rFonts w:ascii="Calibri" w:hAnsi="Calibri"/>
                <w:sz w:val="20"/>
                <w:szCs w:val="20"/>
              </w:rPr>
              <w:t>uste de dosis para pacientes en HD o CAPD.</w:t>
            </w:r>
          </w:p>
        </w:tc>
      </w:tr>
    </w:tbl>
    <w:p w14:paraId="4B2B6513" w14:textId="77777777" w:rsidR="00A45913" w:rsidRPr="003F3B0A" w:rsidRDefault="00A45913" w:rsidP="00A45913"/>
    <w:p w14:paraId="5AD16923" w14:textId="77777777" w:rsidR="00A45913" w:rsidRPr="003F3B0A" w:rsidRDefault="00A45913" w:rsidP="00A45913"/>
    <w:p w14:paraId="2EBB3863" w14:textId="77777777" w:rsidR="00A45913" w:rsidRPr="003F3B0A" w:rsidRDefault="00A45913" w:rsidP="00A45913"/>
    <w:p w14:paraId="5F6EEB2E" w14:textId="77777777" w:rsidR="00A45913" w:rsidRPr="003F3B0A" w:rsidRDefault="00A45913" w:rsidP="00A45913"/>
    <w:p w14:paraId="3D412CE9" w14:textId="77777777" w:rsidR="00A45913" w:rsidRPr="003F3B0A" w:rsidRDefault="00A45913" w:rsidP="00A45913"/>
    <w:p w14:paraId="0864C163" w14:textId="77777777" w:rsidR="00A45913" w:rsidRPr="003F3B0A" w:rsidRDefault="00A45913" w:rsidP="00A45913"/>
    <w:p w14:paraId="1C5BA52B" w14:textId="77777777" w:rsidR="00A45913" w:rsidRPr="003F3B0A" w:rsidRDefault="00A45913" w:rsidP="00A45913"/>
    <w:p w14:paraId="02DC30ED" w14:textId="77777777" w:rsidR="00A45913" w:rsidRPr="003F3B0A" w:rsidRDefault="00A45913" w:rsidP="00A45913"/>
    <w:p w14:paraId="544DA074" w14:textId="77777777" w:rsidR="00A45913" w:rsidRPr="003F3B0A" w:rsidRDefault="00A45913" w:rsidP="00A45913"/>
    <w:p w14:paraId="4111705D" w14:textId="77777777" w:rsidR="00A45913" w:rsidRPr="003F3B0A" w:rsidRDefault="00A45913" w:rsidP="00A45913"/>
    <w:p w14:paraId="551071AE" w14:textId="77777777" w:rsidR="00A45913" w:rsidRPr="003F3B0A" w:rsidRDefault="00A45913" w:rsidP="00A4591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913"/>
        <w:gridCol w:w="2977"/>
        <w:gridCol w:w="2977"/>
        <w:gridCol w:w="425"/>
        <w:gridCol w:w="3119"/>
      </w:tblGrid>
      <w:tr w:rsidR="00A45913" w:rsidRPr="003F3B0A" w14:paraId="085C12BF" w14:textId="77777777" w:rsidTr="005476CD">
        <w:trPr>
          <w:cantSplit/>
          <w:trHeight w:val="737"/>
        </w:trPr>
        <w:tc>
          <w:tcPr>
            <w:tcW w:w="1913" w:type="dxa"/>
            <w:shd w:val="clear" w:color="auto" w:fill="FDE9D9"/>
            <w:vAlign w:val="center"/>
          </w:tcPr>
          <w:p w14:paraId="72E60E81"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lastRenderedPageBreak/>
              <w:t>Familia</w:t>
            </w:r>
          </w:p>
        </w:tc>
        <w:tc>
          <w:tcPr>
            <w:tcW w:w="1913" w:type="dxa"/>
            <w:shd w:val="clear" w:color="auto" w:fill="FDE9D9"/>
            <w:vAlign w:val="center"/>
          </w:tcPr>
          <w:p w14:paraId="7EC75316"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Fármacos</w:t>
            </w:r>
          </w:p>
        </w:tc>
        <w:tc>
          <w:tcPr>
            <w:tcW w:w="2977" w:type="dxa"/>
            <w:shd w:val="clear" w:color="auto" w:fill="FDE9D9"/>
            <w:vAlign w:val="center"/>
          </w:tcPr>
          <w:p w14:paraId="3FCB664F"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habituales</w:t>
            </w:r>
          </w:p>
        </w:tc>
        <w:tc>
          <w:tcPr>
            <w:tcW w:w="2977" w:type="dxa"/>
            <w:shd w:val="clear" w:color="auto" w:fill="FDE9D9"/>
            <w:vAlign w:val="center"/>
          </w:tcPr>
          <w:p w14:paraId="7920AD27"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insuficiencia renal</w:t>
            </w:r>
          </w:p>
        </w:tc>
        <w:tc>
          <w:tcPr>
            <w:tcW w:w="3544" w:type="dxa"/>
            <w:gridSpan w:val="2"/>
            <w:shd w:val="clear" w:color="auto" w:fill="FDE9D9"/>
            <w:vAlign w:val="center"/>
          </w:tcPr>
          <w:p w14:paraId="759FA3CE" w14:textId="77777777" w:rsidR="00A45913" w:rsidRPr="003F3B0A" w:rsidRDefault="00A45913" w:rsidP="005476CD">
            <w:pPr>
              <w:spacing w:before="120"/>
              <w:jc w:val="center"/>
              <w:rPr>
                <w:rFonts w:ascii="Calibri" w:hAnsi="Calibri"/>
                <w:b/>
                <w:color w:val="AE1C1F"/>
              </w:rPr>
            </w:pPr>
            <w:r w:rsidRPr="003F3B0A">
              <w:rPr>
                <w:rFonts w:ascii="Calibri" w:hAnsi="Calibri"/>
                <w:b/>
                <w:color w:val="AE1C1F"/>
                <w:sz w:val="22"/>
                <w:szCs w:val="22"/>
              </w:rPr>
              <w:t>Dosis en Hemodiálisis/diálisis peritoneal</w:t>
            </w:r>
          </w:p>
        </w:tc>
      </w:tr>
      <w:tr w:rsidR="00A45913" w:rsidRPr="003F3B0A" w14:paraId="3D6A263A" w14:textId="77777777" w:rsidTr="005476CD">
        <w:trPr>
          <w:cantSplit/>
        </w:trPr>
        <w:tc>
          <w:tcPr>
            <w:tcW w:w="1913" w:type="dxa"/>
            <w:tcBorders>
              <w:left w:val="nil"/>
              <w:right w:val="nil"/>
            </w:tcBorders>
          </w:tcPr>
          <w:p w14:paraId="4F47D512" w14:textId="77777777" w:rsidR="00A45913" w:rsidRPr="003F3B0A" w:rsidRDefault="00A45913" w:rsidP="005476CD">
            <w:pPr>
              <w:rPr>
                <w:rFonts w:ascii="Calibri" w:hAnsi="Calibri"/>
                <w:b/>
                <w:sz w:val="20"/>
                <w:szCs w:val="20"/>
              </w:rPr>
            </w:pPr>
            <w:r w:rsidRPr="003F3B0A">
              <w:rPr>
                <w:rFonts w:ascii="Calibri" w:hAnsi="Calibri"/>
                <w:b/>
                <w:sz w:val="20"/>
                <w:szCs w:val="20"/>
              </w:rPr>
              <w:t>Antagonistas del correceptor CCR5</w:t>
            </w:r>
          </w:p>
        </w:tc>
        <w:tc>
          <w:tcPr>
            <w:tcW w:w="1913" w:type="dxa"/>
            <w:tcBorders>
              <w:left w:val="nil"/>
              <w:right w:val="nil"/>
            </w:tcBorders>
          </w:tcPr>
          <w:p w14:paraId="11C5E969" w14:textId="77777777" w:rsidR="00A45913" w:rsidRPr="003F3B0A" w:rsidRDefault="00A45913" w:rsidP="005476CD">
            <w:pPr>
              <w:rPr>
                <w:rFonts w:ascii="Calibri" w:hAnsi="Calibri"/>
                <w:sz w:val="20"/>
                <w:szCs w:val="20"/>
              </w:rPr>
            </w:pPr>
            <w:r w:rsidRPr="003F3B0A">
              <w:rPr>
                <w:rFonts w:ascii="Calibri" w:hAnsi="Calibri"/>
                <w:sz w:val="20"/>
                <w:szCs w:val="20"/>
              </w:rPr>
              <w:t>MVR (maraviroc)</w:t>
            </w:r>
          </w:p>
        </w:tc>
        <w:tc>
          <w:tcPr>
            <w:tcW w:w="2977" w:type="dxa"/>
            <w:tcBorders>
              <w:left w:val="nil"/>
              <w:right w:val="nil"/>
            </w:tcBorders>
          </w:tcPr>
          <w:p w14:paraId="70981AC3"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 xml:space="preserve">Dosis variable en función de los antirretrovirales asociados, consultar ficha técnica. </w:t>
            </w:r>
          </w:p>
          <w:p w14:paraId="16479ED5" w14:textId="77777777" w:rsidR="00A45913" w:rsidRPr="003F3B0A" w:rsidRDefault="00A45913" w:rsidP="005476CD">
            <w:pPr>
              <w:tabs>
                <w:tab w:val="center" w:pos="4252"/>
                <w:tab w:val="right" w:pos="8504"/>
              </w:tabs>
              <w:rPr>
                <w:rFonts w:ascii="Calibri" w:hAnsi="Calibri"/>
                <w:sz w:val="20"/>
                <w:szCs w:val="20"/>
              </w:rPr>
            </w:pPr>
            <w:r>
              <w:rPr>
                <w:rFonts w:ascii="Calibri" w:hAnsi="Calibri"/>
                <w:sz w:val="20"/>
                <w:szCs w:val="20"/>
              </w:rPr>
              <w:t>En general:</w:t>
            </w:r>
          </w:p>
          <w:p w14:paraId="54A50BBF"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150 mg/12</w:t>
            </w:r>
            <w:r>
              <w:rPr>
                <w:rFonts w:ascii="Calibri" w:hAnsi="Calibri"/>
                <w:sz w:val="20"/>
                <w:szCs w:val="20"/>
              </w:rPr>
              <w:t xml:space="preserve"> </w:t>
            </w:r>
            <w:r w:rsidRPr="003F3B0A">
              <w:rPr>
                <w:rFonts w:ascii="Calibri" w:hAnsi="Calibri"/>
                <w:sz w:val="20"/>
                <w:szCs w:val="20"/>
              </w:rPr>
              <w:t>h siempre que estén presentes inhibidores potentes del CYP3A4 como los IP/p (excepto TPV/r).</w:t>
            </w:r>
          </w:p>
          <w:p w14:paraId="5AC08B55"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300 mg/12</w:t>
            </w:r>
            <w:r>
              <w:rPr>
                <w:rFonts w:ascii="Calibri" w:hAnsi="Calibri"/>
                <w:sz w:val="20"/>
                <w:szCs w:val="20"/>
              </w:rPr>
              <w:t xml:space="preserve"> </w:t>
            </w:r>
            <w:r w:rsidRPr="003F3B0A">
              <w:rPr>
                <w:rFonts w:ascii="Calibri" w:hAnsi="Calibri"/>
                <w:sz w:val="20"/>
                <w:szCs w:val="20"/>
              </w:rPr>
              <w:t>h junto con TPV/r, ITIAN, NVP y RAL</w:t>
            </w:r>
          </w:p>
          <w:p w14:paraId="27AE19C4"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600 mg/12</w:t>
            </w:r>
            <w:r>
              <w:rPr>
                <w:rFonts w:ascii="Calibri" w:hAnsi="Calibri"/>
                <w:sz w:val="20"/>
                <w:szCs w:val="20"/>
              </w:rPr>
              <w:t xml:space="preserve"> </w:t>
            </w:r>
            <w:r w:rsidRPr="003F3B0A">
              <w:rPr>
                <w:rFonts w:ascii="Calibri" w:hAnsi="Calibri"/>
                <w:sz w:val="20"/>
                <w:szCs w:val="20"/>
              </w:rPr>
              <w:t>h junto con induct</w:t>
            </w:r>
            <w:r>
              <w:rPr>
                <w:rFonts w:ascii="Calibri" w:hAnsi="Calibri"/>
                <w:sz w:val="20"/>
                <w:szCs w:val="20"/>
              </w:rPr>
              <w:t>ores importantes del CYP3A4como</w:t>
            </w:r>
            <w:r w:rsidRPr="003F3B0A">
              <w:rPr>
                <w:rFonts w:ascii="Calibri" w:hAnsi="Calibri"/>
                <w:sz w:val="20"/>
                <w:szCs w:val="20"/>
              </w:rPr>
              <w:t xml:space="preserve"> EFV </w:t>
            </w:r>
          </w:p>
        </w:tc>
        <w:tc>
          <w:tcPr>
            <w:tcW w:w="3402" w:type="dxa"/>
            <w:gridSpan w:val="2"/>
            <w:tcBorders>
              <w:left w:val="nil"/>
              <w:right w:val="nil"/>
            </w:tcBorders>
          </w:tcPr>
          <w:p w14:paraId="5D1F3E88"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En ausencia de inhibidores potentes del CYP3A4 no requiere ajuste de dosis.</w:t>
            </w:r>
          </w:p>
          <w:p w14:paraId="12AEC871"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Sólo se recomienda un ajuste de dosis en pacientes con Cl &lt;80 ml/min y que están recibiendo inhibidores potentes del CYP3A4, como los IP/p  (excepto TPV/r), cobicistat,  ketoconazol, itraconazol, voriconazol,  claritromicina,  telitromicina, boceprevir o telaprevir: en estos casos administrar 150 mg c/24</w:t>
            </w:r>
            <w:r>
              <w:rPr>
                <w:rFonts w:ascii="Calibri" w:hAnsi="Calibri"/>
                <w:sz w:val="20"/>
                <w:szCs w:val="20"/>
              </w:rPr>
              <w:t xml:space="preserve"> </w:t>
            </w:r>
            <w:r w:rsidRPr="003F3B0A">
              <w:rPr>
                <w:rFonts w:ascii="Calibri" w:hAnsi="Calibri"/>
                <w:sz w:val="20"/>
                <w:szCs w:val="20"/>
              </w:rPr>
              <w:t>h. Si el Cl es &lt;30 ml/min se recomienda mucha precaución debido al aumento de riesgo de hipotensión postural.</w:t>
            </w:r>
          </w:p>
          <w:p w14:paraId="564C5324"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Con Cl &lt;80 ml/min y en combinación con FPV/r administrar 150 mg c/12</w:t>
            </w:r>
            <w:r>
              <w:rPr>
                <w:rFonts w:ascii="Calibri" w:hAnsi="Calibri"/>
                <w:sz w:val="20"/>
                <w:szCs w:val="20"/>
              </w:rPr>
              <w:t xml:space="preserve"> </w:t>
            </w:r>
            <w:r w:rsidRPr="003F3B0A">
              <w:rPr>
                <w:rFonts w:ascii="Calibri" w:hAnsi="Calibri"/>
                <w:sz w:val="20"/>
                <w:szCs w:val="20"/>
              </w:rPr>
              <w:t>h.</w:t>
            </w:r>
          </w:p>
          <w:p w14:paraId="491E7FD8"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 xml:space="preserve">Con Cl &lt;80 ml/min y en combinación con TPV/r no se requiere ajuste de dosis  </w:t>
            </w:r>
            <w:r w:rsidRPr="003F3B0A">
              <w:rPr>
                <w:rFonts w:ascii="Calibri" w:hAnsi="Calibri"/>
                <w:color w:val="000000"/>
                <w:sz w:val="20"/>
                <w:szCs w:val="20"/>
              </w:rPr>
              <w:t>(300 mg c/12</w:t>
            </w:r>
            <w:r>
              <w:rPr>
                <w:rFonts w:ascii="Calibri" w:hAnsi="Calibri"/>
                <w:color w:val="000000"/>
                <w:sz w:val="20"/>
                <w:szCs w:val="20"/>
              </w:rPr>
              <w:t xml:space="preserve"> </w:t>
            </w:r>
            <w:r w:rsidRPr="003F3B0A">
              <w:rPr>
                <w:rFonts w:ascii="Calibri" w:hAnsi="Calibri"/>
                <w:color w:val="000000"/>
                <w:sz w:val="20"/>
                <w:szCs w:val="20"/>
              </w:rPr>
              <w:t>h)</w:t>
            </w:r>
            <w:r w:rsidRPr="003F3B0A">
              <w:rPr>
                <w:rFonts w:ascii="Calibri" w:hAnsi="Calibri"/>
                <w:sz w:val="20"/>
                <w:szCs w:val="20"/>
              </w:rPr>
              <w:t>.</w:t>
            </w:r>
          </w:p>
          <w:p w14:paraId="321B4D4C" w14:textId="77777777" w:rsidR="00A45913" w:rsidRPr="003F3B0A" w:rsidRDefault="00A45913" w:rsidP="005476CD">
            <w:pPr>
              <w:tabs>
                <w:tab w:val="center" w:pos="4252"/>
                <w:tab w:val="right" w:pos="8504"/>
              </w:tabs>
              <w:rPr>
                <w:rFonts w:ascii="Calibri" w:hAnsi="Calibri"/>
                <w:sz w:val="20"/>
                <w:szCs w:val="20"/>
              </w:rPr>
            </w:pPr>
            <w:r w:rsidRPr="003F3B0A">
              <w:rPr>
                <w:rFonts w:ascii="Calibri" w:hAnsi="Calibri"/>
                <w:sz w:val="20"/>
                <w:szCs w:val="20"/>
              </w:rPr>
              <w:t>(Estos ajustes de dosis se recomiendan basándose en los datos de un estudio en insuficiencia renal y simulaciones farmacocinéticas, sin que su seguridad y eficacia hayan sido evaluadas clínicamente, por lo que se recomienda una estrecha monitorización).</w:t>
            </w:r>
          </w:p>
        </w:tc>
        <w:tc>
          <w:tcPr>
            <w:tcW w:w="3119" w:type="dxa"/>
            <w:tcBorders>
              <w:left w:val="nil"/>
              <w:right w:val="nil"/>
            </w:tcBorders>
          </w:tcPr>
          <w:p w14:paraId="5C712F8E" w14:textId="77777777" w:rsidR="00A45913" w:rsidRPr="003F3B0A" w:rsidRDefault="00A45913" w:rsidP="005476CD">
            <w:pPr>
              <w:rPr>
                <w:rFonts w:ascii="Calibri" w:hAnsi="Calibri"/>
                <w:sz w:val="20"/>
                <w:szCs w:val="20"/>
              </w:rPr>
            </w:pPr>
            <w:r w:rsidRPr="003F3B0A">
              <w:rPr>
                <w:rFonts w:ascii="Calibri" w:hAnsi="Calibri"/>
                <w:sz w:val="20"/>
                <w:szCs w:val="20"/>
              </w:rPr>
              <w:t xml:space="preserve">HD: en ausencia de inhibidores potentes del CYP3A4 no se requiere ajuste de dosis. En presencia de los mismos, dosificar igual que para Cl &lt;80 ml/min (datos limitados) </w:t>
            </w:r>
          </w:p>
          <w:p w14:paraId="7D3A3758" w14:textId="77777777" w:rsidR="00A45913" w:rsidRPr="003F3B0A" w:rsidRDefault="00A45913" w:rsidP="005476CD">
            <w:pPr>
              <w:rPr>
                <w:rFonts w:ascii="Calibri" w:hAnsi="Calibri"/>
                <w:sz w:val="20"/>
                <w:szCs w:val="20"/>
              </w:rPr>
            </w:pPr>
            <w:r w:rsidRPr="003F3B0A">
              <w:rPr>
                <w:rFonts w:ascii="Calibri" w:hAnsi="Calibri"/>
                <w:color w:val="000000"/>
                <w:sz w:val="20"/>
                <w:szCs w:val="20"/>
              </w:rPr>
              <w:t>Escasa eliminación a través de la HD.</w:t>
            </w:r>
          </w:p>
        </w:tc>
      </w:tr>
    </w:tbl>
    <w:p w14:paraId="2C495145" w14:textId="77777777" w:rsidR="00A45913" w:rsidRPr="003F3B0A" w:rsidRDefault="00A45913" w:rsidP="00A45913">
      <w:pPr>
        <w:jc w:val="both"/>
        <w:rPr>
          <w:rFonts w:ascii="Calibri" w:hAnsi="Calibri"/>
          <w:sz w:val="18"/>
          <w:szCs w:val="18"/>
        </w:rPr>
      </w:pPr>
      <w:r w:rsidRPr="003F3B0A">
        <w:rPr>
          <w:rFonts w:ascii="Calibri" w:hAnsi="Calibri"/>
          <w:sz w:val="18"/>
          <w:szCs w:val="20"/>
          <w:vertAlign w:val="superscript"/>
        </w:rPr>
        <w:t>#</w:t>
      </w:r>
      <w:r w:rsidRPr="003F3B0A">
        <w:rPr>
          <w:rFonts w:ascii="Calibri" w:hAnsi="Calibri"/>
          <w:sz w:val="18"/>
          <w:szCs w:val="18"/>
        </w:rPr>
        <w:t xml:space="preserve">Datos procedentes de la ficha técnica americana de Tivicay® Revisada 12/5/2014. Disponible en </w:t>
      </w:r>
      <w:hyperlink r:id="rId110" w:history="1">
        <w:r w:rsidRPr="003F3B0A">
          <w:rPr>
            <w:rFonts w:ascii="Calibri" w:hAnsi="Calibri"/>
            <w:color w:val="0000FF"/>
            <w:sz w:val="18"/>
            <w:szCs w:val="18"/>
            <w:u w:val="single"/>
          </w:rPr>
          <w:t>http://www.accessdata.fda.gov/drugsatfda_docs/label/2014/204790s001lbl.pdf</w:t>
        </w:r>
      </w:hyperlink>
      <w:r w:rsidRPr="003F3B0A">
        <w:rPr>
          <w:rFonts w:ascii="Calibri" w:hAnsi="Calibri"/>
          <w:sz w:val="18"/>
          <w:szCs w:val="18"/>
        </w:rPr>
        <w:t xml:space="preserve"> </w:t>
      </w:r>
    </w:p>
    <w:p w14:paraId="13BF8183" w14:textId="77777777" w:rsidR="00A45913" w:rsidRPr="003F3B0A" w:rsidRDefault="00A45913" w:rsidP="00A45913">
      <w:pPr>
        <w:jc w:val="both"/>
        <w:rPr>
          <w:rFonts w:ascii="Calibri" w:hAnsi="Calibri"/>
          <w:sz w:val="18"/>
          <w:szCs w:val="18"/>
        </w:rPr>
      </w:pPr>
      <w:r w:rsidRPr="003F3B0A">
        <w:rPr>
          <w:rFonts w:ascii="Calibri" w:hAnsi="Calibri"/>
          <w:sz w:val="18"/>
          <w:szCs w:val="18"/>
        </w:rPr>
        <w:t>*Las cápsulas y la solución oral de emtricitabina tienen diferente biodisponibilidad, de forma que con 240 mg de la solución oral (24 ml) se alcanzan unas concentraciones plasmáticas similares a las alcanzadas con 200 mg en cápsulas.</w:t>
      </w:r>
    </w:p>
    <w:p w14:paraId="34D82FF8" w14:textId="77777777" w:rsidR="00A45913" w:rsidRPr="003F3B0A" w:rsidRDefault="00A45913" w:rsidP="00A45913">
      <w:pPr>
        <w:jc w:val="both"/>
      </w:pPr>
      <w:r w:rsidRPr="003F3B0A">
        <w:rPr>
          <w:rFonts w:ascii="Calibri" w:hAnsi="Calibri"/>
          <w:sz w:val="18"/>
          <w:szCs w:val="18"/>
        </w:rPr>
        <w:t xml:space="preserve"> CH: cirrosis hepática; Cl: aclaramiento de creatinina en ml/min; </w:t>
      </w:r>
      <w:r>
        <w:rPr>
          <w:rFonts w:ascii="Calibri" w:hAnsi="Calibri"/>
          <w:sz w:val="18"/>
          <w:szCs w:val="18"/>
        </w:rPr>
        <w:t xml:space="preserve">CAPD: diálisis peritoneal crónica ambulatoria; </w:t>
      </w:r>
      <w:r w:rsidRPr="003F3B0A">
        <w:rPr>
          <w:rFonts w:ascii="Calibri" w:hAnsi="Calibri"/>
          <w:sz w:val="18"/>
          <w:szCs w:val="18"/>
        </w:rPr>
        <w:t>ERCA: enfermedad renal crónica avanzada, HD: hemodiálisis; IH: insuficiencia hepática; IR: insuficiencia renal; MATE1: transportador de expulsión de toxinas y multifármacos 1; OAT1 y 3: transportadores de aniones orgánicos 1 y 3; OCT2: transportador de cationes orgánicos 2</w:t>
      </w:r>
    </w:p>
    <w:p w14:paraId="792DB840" w14:textId="77777777" w:rsidR="00A45913" w:rsidRDefault="00A45913">
      <w:pPr>
        <w:rPr>
          <w:rFonts w:ascii="Arial" w:hAnsi="Arial" w:cs="Arial"/>
          <w:b/>
          <w:color w:val="AE1C1F"/>
          <w:szCs w:val="22"/>
          <w:lang w:eastAsia="en-US"/>
        </w:rPr>
      </w:pPr>
      <w:r>
        <w:rPr>
          <w:rFonts w:ascii="Arial" w:hAnsi="Arial" w:cs="Arial"/>
          <w:b/>
          <w:color w:val="AE1C1F"/>
          <w:szCs w:val="22"/>
          <w:lang w:eastAsia="en-US"/>
        </w:rPr>
        <w:br w:type="page"/>
      </w:r>
    </w:p>
    <w:p w14:paraId="264B4518" w14:textId="04B7062C" w:rsidR="004D4E46" w:rsidRPr="003F3B0A" w:rsidRDefault="004D4E46" w:rsidP="00C56B40">
      <w:pPr>
        <w:rPr>
          <w:rFonts w:ascii="Arial" w:hAnsi="Arial" w:cs="Arial"/>
          <w:b/>
          <w:color w:val="AE1C1F"/>
          <w:szCs w:val="22"/>
          <w:lang w:eastAsia="en-US"/>
        </w:rPr>
      </w:pPr>
      <w:r w:rsidRPr="003F3B0A">
        <w:rPr>
          <w:rFonts w:ascii="Arial" w:hAnsi="Arial" w:cs="Arial"/>
          <w:b/>
          <w:color w:val="AE1C1F"/>
          <w:szCs w:val="22"/>
          <w:lang w:eastAsia="en-US"/>
        </w:rPr>
        <w:lastRenderedPageBreak/>
        <w:t>Tabla 13. Indicación de cada FAR según la fibrosis hepática</w:t>
      </w:r>
    </w:p>
    <w:tbl>
      <w:tblPr>
        <w:tblpPr w:leftFromText="141" w:rightFromText="141"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701"/>
        <w:gridCol w:w="1843"/>
        <w:gridCol w:w="1735"/>
      </w:tblGrid>
      <w:tr w:rsidR="00C56B40" w:rsidRPr="003F3B0A" w14:paraId="0B9494C9" w14:textId="77777777" w:rsidTr="00C56B40">
        <w:trPr>
          <w:trHeight w:val="20"/>
        </w:trPr>
        <w:tc>
          <w:tcPr>
            <w:tcW w:w="1595" w:type="dxa"/>
            <w:shd w:val="clear" w:color="auto" w:fill="FBE4D5"/>
            <w:vAlign w:val="bottom"/>
          </w:tcPr>
          <w:p w14:paraId="35AC2B23" w14:textId="77777777" w:rsidR="00C56B40" w:rsidRPr="003F3B0A" w:rsidRDefault="00C56B40" w:rsidP="00C56B40">
            <w:pPr>
              <w:jc w:val="center"/>
              <w:rPr>
                <w:rFonts w:ascii="Arial" w:hAnsi="Arial" w:cs="Arial"/>
                <w:b/>
                <w:bCs/>
                <w:color w:val="AE1C1F"/>
                <w:lang w:eastAsia="en-US"/>
              </w:rPr>
            </w:pPr>
            <w:r w:rsidRPr="003F3B0A">
              <w:rPr>
                <w:rFonts w:ascii="Arial" w:hAnsi="Arial" w:cs="Arial"/>
                <w:b/>
                <w:bCs/>
                <w:color w:val="AE1C1F"/>
                <w:sz w:val="22"/>
                <w:szCs w:val="22"/>
                <w:lang w:eastAsia="en-US"/>
              </w:rPr>
              <w:t>TAR</w:t>
            </w:r>
          </w:p>
        </w:tc>
        <w:tc>
          <w:tcPr>
            <w:tcW w:w="1701" w:type="dxa"/>
            <w:shd w:val="clear" w:color="auto" w:fill="FBE4D5"/>
            <w:vAlign w:val="bottom"/>
          </w:tcPr>
          <w:p w14:paraId="28FFACFE" w14:textId="77777777" w:rsidR="00C56B40" w:rsidRPr="003F3B0A" w:rsidRDefault="00C56B40" w:rsidP="00C56B40">
            <w:pPr>
              <w:jc w:val="center"/>
              <w:rPr>
                <w:rFonts w:ascii="Arial" w:hAnsi="Arial" w:cs="Arial"/>
                <w:b/>
                <w:bCs/>
                <w:color w:val="AE1C1F"/>
                <w:lang w:eastAsia="en-US"/>
              </w:rPr>
            </w:pPr>
            <w:r w:rsidRPr="003F3B0A">
              <w:rPr>
                <w:rFonts w:ascii="Arial" w:hAnsi="Arial" w:cs="Arial"/>
                <w:b/>
                <w:bCs/>
                <w:color w:val="AE1C1F"/>
                <w:sz w:val="22"/>
                <w:szCs w:val="22"/>
                <w:lang w:eastAsia="en-US"/>
              </w:rPr>
              <w:t>Child-Pugh A</w:t>
            </w:r>
          </w:p>
        </w:tc>
        <w:tc>
          <w:tcPr>
            <w:tcW w:w="1843" w:type="dxa"/>
            <w:shd w:val="clear" w:color="auto" w:fill="FBE4D5"/>
            <w:vAlign w:val="bottom"/>
          </w:tcPr>
          <w:p w14:paraId="739C467D" w14:textId="77777777" w:rsidR="00C56B40" w:rsidRPr="003F3B0A" w:rsidRDefault="00C56B40" w:rsidP="00C56B40">
            <w:pPr>
              <w:jc w:val="center"/>
              <w:rPr>
                <w:rFonts w:ascii="Arial" w:hAnsi="Arial" w:cs="Arial"/>
                <w:b/>
                <w:bCs/>
                <w:color w:val="AE1C1F"/>
                <w:lang w:eastAsia="en-US"/>
              </w:rPr>
            </w:pPr>
            <w:r w:rsidRPr="003F3B0A">
              <w:rPr>
                <w:rFonts w:ascii="Arial" w:hAnsi="Arial" w:cs="Arial"/>
                <w:b/>
                <w:bCs/>
                <w:color w:val="AE1C1F"/>
                <w:sz w:val="22"/>
                <w:szCs w:val="22"/>
                <w:lang w:eastAsia="en-US"/>
              </w:rPr>
              <w:t>Child-Pugh B</w:t>
            </w:r>
          </w:p>
        </w:tc>
        <w:tc>
          <w:tcPr>
            <w:tcW w:w="1735" w:type="dxa"/>
            <w:shd w:val="clear" w:color="auto" w:fill="FBE4D5"/>
            <w:vAlign w:val="bottom"/>
          </w:tcPr>
          <w:p w14:paraId="4D492EC8" w14:textId="77777777" w:rsidR="00C56B40" w:rsidRPr="003F3B0A" w:rsidRDefault="00C56B40" w:rsidP="00C56B40">
            <w:pPr>
              <w:jc w:val="center"/>
              <w:rPr>
                <w:rFonts w:ascii="Arial" w:hAnsi="Arial" w:cs="Arial"/>
                <w:b/>
                <w:bCs/>
                <w:color w:val="AE1C1F"/>
                <w:lang w:eastAsia="en-US"/>
              </w:rPr>
            </w:pPr>
            <w:r w:rsidRPr="003F3B0A">
              <w:rPr>
                <w:rFonts w:ascii="Arial" w:hAnsi="Arial" w:cs="Arial"/>
                <w:b/>
                <w:bCs/>
                <w:color w:val="AE1C1F"/>
                <w:sz w:val="22"/>
                <w:szCs w:val="22"/>
                <w:lang w:eastAsia="en-US"/>
              </w:rPr>
              <w:t>Child-Pugh C</w:t>
            </w:r>
          </w:p>
        </w:tc>
      </w:tr>
      <w:tr w:rsidR="00C56B40" w:rsidRPr="003F3B0A" w14:paraId="10F0733D" w14:textId="77777777" w:rsidTr="00C56B40">
        <w:trPr>
          <w:trHeight w:val="20"/>
        </w:trPr>
        <w:tc>
          <w:tcPr>
            <w:tcW w:w="1595" w:type="dxa"/>
            <w:vAlign w:val="center"/>
          </w:tcPr>
          <w:p w14:paraId="5E1CAC99"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TDF</w:t>
            </w:r>
          </w:p>
        </w:tc>
        <w:tc>
          <w:tcPr>
            <w:tcW w:w="1701" w:type="dxa"/>
            <w:vAlign w:val="center"/>
          </w:tcPr>
          <w:p w14:paraId="0D1651A9"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2C477F56"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4DECCFE5"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r>
      <w:tr w:rsidR="00C56B40" w:rsidRPr="003F3B0A" w14:paraId="0B6CD916" w14:textId="77777777" w:rsidTr="00C56B40">
        <w:trPr>
          <w:trHeight w:val="20"/>
        </w:trPr>
        <w:tc>
          <w:tcPr>
            <w:tcW w:w="1595" w:type="dxa"/>
            <w:vAlign w:val="center"/>
          </w:tcPr>
          <w:p w14:paraId="7381A5FA"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TAF</w:t>
            </w:r>
          </w:p>
        </w:tc>
        <w:tc>
          <w:tcPr>
            <w:tcW w:w="1701" w:type="dxa"/>
            <w:vAlign w:val="center"/>
          </w:tcPr>
          <w:p w14:paraId="4FC95836"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7A49FB2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033460A9"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r>
      <w:tr w:rsidR="00C56B40" w:rsidRPr="003F3B0A" w14:paraId="668B9B2F" w14:textId="77777777" w:rsidTr="00C56B40">
        <w:trPr>
          <w:trHeight w:val="20"/>
        </w:trPr>
        <w:tc>
          <w:tcPr>
            <w:tcW w:w="1595" w:type="dxa"/>
            <w:vAlign w:val="center"/>
          </w:tcPr>
          <w:p w14:paraId="69D0E27B"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FTC</w:t>
            </w:r>
          </w:p>
        </w:tc>
        <w:tc>
          <w:tcPr>
            <w:tcW w:w="1701" w:type="dxa"/>
            <w:vAlign w:val="center"/>
          </w:tcPr>
          <w:p w14:paraId="0D8D7014"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06116CE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658CD31B"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r>
      <w:tr w:rsidR="00C56B40" w:rsidRPr="003F3B0A" w14:paraId="6429C688" w14:textId="77777777" w:rsidTr="00C56B40">
        <w:trPr>
          <w:trHeight w:val="467"/>
        </w:trPr>
        <w:tc>
          <w:tcPr>
            <w:tcW w:w="1595" w:type="dxa"/>
            <w:vAlign w:val="center"/>
          </w:tcPr>
          <w:p w14:paraId="14CD34E4"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3TC</w:t>
            </w:r>
          </w:p>
        </w:tc>
        <w:tc>
          <w:tcPr>
            <w:tcW w:w="1701" w:type="dxa"/>
            <w:vAlign w:val="center"/>
          </w:tcPr>
          <w:p w14:paraId="1F72C800"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116F722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7B7C21CE"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r>
      <w:tr w:rsidR="00C56B40" w:rsidRPr="003F3B0A" w14:paraId="43DB001D" w14:textId="77777777" w:rsidTr="00C56B40">
        <w:trPr>
          <w:trHeight w:val="20"/>
        </w:trPr>
        <w:tc>
          <w:tcPr>
            <w:tcW w:w="1595" w:type="dxa"/>
            <w:vAlign w:val="center"/>
          </w:tcPr>
          <w:p w14:paraId="31B2426C"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ABC</w:t>
            </w:r>
          </w:p>
        </w:tc>
        <w:tc>
          <w:tcPr>
            <w:tcW w:w="1701" w:type="dxa"/>
            <w:vAlign w:val="center"/>
          </w:tcPr>
          <w:p w14:paraId="1EAAFC1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20966D9B"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NR</w:t>
            </w:r>
          </w:p>
        </w:tc>
        <w:tc>
          <w:tcPr>
            <w:tcW w:w="1735" w:type="dxa"/>
            <w:vAlign w:val="center"/>
          </w:tcPr>
          <w:p w14:paraId="45F785F6"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NR</w:t>
            </w:r>
          </w:p>
        </w:tc>
      </w:tr>
      <w:tr w:rsidR="00C56B40" w:rsidRPr="003F3B0A" w14:paraId="070B402E" w14:textId="77777777" w:rsidTr="00C56B40">
        <w:trPr>
          <w:trHeight w:val="20"/>
        </w:trPr>
        <w:tc>
          <w:tcPr>
            <w:tcW w:w="1595" w:type="dxa"/>
            <w:vAlign w:val="center"/>
          </w:tcPr>
          <w:p w14:paraId="43A038E5"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DTG</w:t>
            </w:r>
          </w:p>
        </w:tc>
        <w:tc>
          <w:tcPr>
            <w:tcW w:w="1701" w:type="dxa"/>
            <w:vAlign w:val="center"/>
          </w:tcPr>
          <w:p w14:paraId="74B3734B"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235AF6BD"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73B8791D"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 precaución</w:t>
            </w:r>
          </w:p>
        </w:tc>
      </w:tr>
      <w:tr w:rsidR="00C56B40" w:rsidRPr="003F3B0A" w14:paraId="6056F985" w14:textId="77777777" w:rsidTr="00C56B40">
        <w:trPr>
          <w:trHeight w:val="20"/>
        </w:trPr>
        <w:tc>
          <w:tcPr>
            <w:tcW w:w="1595" w:type="dxa"/>
            <w:vAlign w:val="center"/>
          </w:tcPr>
          <w:p w14:paraId="55A9D4E4"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ABC-3TC-DTG</w:t>
            </w:r>
          </w:p>
        </w:tc>
        <w:tc>
          <w:tcPr>
            <w:tcW w:w="1701" w:type="dxa"/>
            <w:vAlign w:val="center"/>
          </w:tcPr>
          <w:p w14:paraId="6F5900C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4480875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NR</w:t>
            </w:r>
          </w:p>
        </w:tc>
        <w:tc>
          <w:tcPr>
            <w:tcW w:w="1735" w:type="dxa"/>
            <w:vAlign w:val="center"/>
          </w:tcPr>
          <w:p w14:paraId="11D62BB2"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NR</w:t>
            </w:r>
          </w:p>
        </w:tc>
      </w:tr>
      <w:tr w:rsidR="00C56B40" w:rsidRPr="003F3B0A" w14:paraId="49C9DF38" w14:textId="77777777" w:rsidTr="00C56B40">
        <w:trPr>
          <w:trHeight w:val="58"/>
        </w:trPr>
        <w:tc>
          <w:tcPr>
            <w:tcW w:w="1595" w:type="dxa"/>
            <w:vAlign w:val="center"/>
          </w:tcPr>
          <w:p w14:paraId="03AF4374"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RAL</w:t>
            </w:r>
          </w:p>
        </w:tc>
        <w:tc>
          <w:tcPr>
            <w:tcW w:w="1701" w:type="dxa"/>
            <w:vAlign w:val="center"/>
          </w:tcPr>
          <w:p w14:paraId="75BB6E56"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3284D819"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2D62FE7D"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PD; precaución</w:t>
            </w:r>
          </w:p>
        </w:tc>
      </w:tr>
      <w:tr w:rsidR="00C56B40" w:rsidRPr="003F3B0A" w14:paraId="2CEDA92B" w14:textId="77777777" w:rsidTr="00C56B40">
        <w:trPr>
          <w:trHeight w:val="20"/>
        </w:trPr>
        <w:tc>
          <w:tcPr>
            <w:tcW w:w="1595" w:type="dxa"/>
            <w:vAlign w:val="center"/>
          </w:tcPr>
          <w:p w14:paraId="60855111"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TDF-FTC-EVG</w:t>
            </w:r>
          </w:p>
        </w:tc>
        <w:tc>
          <w:tcPr>
            <w:tcW w:w="1701" w:type="dxa"/>
            <w:vAlign w:val="center"/>
          </w:tcPr>
          <w:p w14:paraId="7583DE5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5EF51E98"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7CA3A49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NR</w:t>
            </w:r>
          </w:p>
        </w:tc>
      </w:tr>
      <w:tr w:rsidR="00C56B40" w:rsidRPr="003F3B0A" w14:paraId="42422591" w14:textId="77777777" w:rsidTr="00C56B40">
        <w:trPr>
          <w:trHeight w:val="20"/>
        </w:trPr>
        <w:tc>
          <w:tcPr>
            <w:tcW w:w="1595" w:type="dxa"/>
            <w:vAlign w:val="center"/>
          </w:tcPr>
          <w:p w14:paraId="347FA393"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BIC</w:t>
            </w:r>
          </w:p>
        </w:tc>
        <w:tc>
          <w:tcPr>
            <w:tcW w:w="1701" w:type="dxa"/>
            <w:vAlign w:val="center"/>
          </w:tcPr>
          <w:p w14:paraId="1FB306C9"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32181254"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6083FB07"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w:t>
            </w:r>
          </w:p>
        </w:tc>
      </w:tr>
      <w:tr w:rsidR="00C56B40" w:rsidRPr="003F3B0A" w14:paraId="2B68966A" w14:textId="77777777" w:rsidTr="00C56B40">
        <w:trPr>
          <w:trHeight w:val="20"/>
        </w:trPr>
        <w:tc>
          <w:tcPr>
            <w:tcW w:w="1595" w:type="dxa"/>
            <w:vAlign w:val="center"/>
          </w:tcPr>
          <w:p w14:paraId="7EA80656"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RPV</w:t>
            </w:r>
          </w:p>
        </w:tc>
        <w:tc>
          <w:tcPr>
            <w:tcW w:w="1701" w:type="dxa"/>
            <w:vAlign w:val="center"/>
          </w:tcPr>
          <w:p w14:paraId="0F080935"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4255E26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73DAC947"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SD </w:t>
            </w:r>
          </w:p>
        </w:tc>
      </w:tr>
      <w:tr w:rsidR="00C56B40" w:rsidRPr="003F3B0A" w14:paraId="69409398" w14:textId="77777777" w:rsidTr="00C56B40">
        <w:trPr>
          <w:trHeight w:val="20"/>
        </w:trPr>
        <w:tc>
          <w:tcPr>
            <w:tcW w:w="1595" w:type="dxa"/>
            <w:vAlign w:val="center"/>
          </w:tcPr>
          <w:p w14:paraId="665F3074"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TDF-FTC-RPV</w:t>
            </w:r>
          </w:p>
        </w:tc>
        <w:tc>
          <w:tcPr>
            <w:tcW w:w="1701" w:type="dxa"/>
            <w:vAlign w:val="center"/>
          </w:tcPr>
          <w:p w14:paraId="6CD2CB1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6DC5782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w:t>
            </w:r>
          </w:p>
        </w:tc>
        <w:tc>
          <w:tcPr>
            <w:tcW w:w="1735" w:type="dxa"/>
            <w:vAlign w:val="center"/>
          </w:tcPr>
          <w:p w14:paraId="4BA08CA6"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w:t>
            </w:r>
          </w:p>
        </w:tc>
      </w:tr>
      <w:tr w:rsidR="00C56B40" w:rsidRPr="003F3B0A" w14:paraId="7F41A854" w14:textId="77777777" w:rsidTr="00C56B40">
        <w:trPr>
          <w:trHeight w:val="20"/>
        </w:trPr>
        <w:tc>
          <w:tcPr>
            <w:tcW w:w="1595" w:type="dxa"/>
            <w:vAlign w:val="center"/>
          </w:tcPr>
          <w:p w14:paraId="6D6B1F82"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EFV</w:t>
            </w:r>
          </w:p>
        </w:tc>
        <w:tc>
          <w:tcPr>
            <w:tcW w:w="1701" w:type="dxa"/>
            <w:vAlign w:val="center"/>
          </w:tcPr>
          <w:p w14:paraId="41A4B0A4"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w:t>
            </w:r>
          </w:p>
        </w:tc>
        <w:tc>
          <w:tcPr>
            <w:tcW w:w="1843" w:type="dxa"/>
            <w:vAlign w:val="center"/>
          </w:tcPr>
          <w:p w14:paraId="66196B80"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PD; NR</w:t>
            </w:r>
          </w:p>
        </w:tc>
        <w:tc>
          <w:tcPr>
            <w:tcW w:w="1735" w:type="dxa"/>
            <w:vAlign w:val="center"/>
          </w:tcPr>
          <w:p w14:paraId="783E0B3A"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Contraindicado</w:t>
            </w:r>
          </w:p>
        </w:tc>
      </w:tr>
      <w:tr w:rsidR="00C56B40" w:rsidRPr="003F3B0A" w14:paraId="0FC9014D" w14:textId="77777777" w:rsidTr="00C56B40">
        <w:trPr>
          <w:trHeight w:val="20"/>
        </w:trPr>
        <w:tc>
          <w:tcPr>
            <w:tcW w:w="1595" w:type="dxa"/>
            <w:vAlign w:val="center"/>
          </w:tcPr>
          <w:p w14:paraId="14E38CE3"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ETR</w:t>
            </w:r>
          </w:p>
        </w:tc>
        <w:tc>
          <w:tcPr>
            <w:tcW w:w="1701" w:type="dxa"/>
            <w:vAlign w:val="center"/>
          </w:tcPr>
          <w:p w14:paraId="78A0A95E"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468E713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w:t>
            </w:r>
          </w:p>
        </w:tc>
        <w:tc>
          <w:tcPr>
            <w:tcW w:w="1735" w:type="dxa"/>
            <w:vAlign w:val="center"/>
          </w:tcPr>
          <w:p w14:paraId="619AEED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w:t>
            </w:r>
          </w:p>
        </w:tc>
      </w:tr>
      <w:tr w:rsidR="00C56B40" w:rsidRPr="003F3B0A" w14:paraId="1D6CE12C" w14:textId="77777777" w:rsidTr="00C56B40">
        <w:trPr>
          <w:trHeight w:val="20"/>
        </w:trPr>
        <w:tc>
          <w:tcPr>
            <w:tcW w:w="1595" w:type="dxa"/>
            <w:vAlign w:val="center"/>
          </w:tcPr>
          <w:p w14:paraId="2D43A8FC"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DOR</w:t>
            </w:r>
          </w:p>
        </w:tc>
        <w:tc>
          <w:tcPr>
            <w:tcW w:w="1701" w:type="dxa"/>
            <w:vAlign w:val="center"/>
          </w:tcPr>
          <w:p w14:paraId="17B6A65D"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5518F6F4"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39C6DF2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w:t>
            </w:r>
          </w:p>
        </w:tc>
      </w:tr>
      <w:tr w:rsidR="00C56B40" w:rsidRPr="003F3B0A" w14:paraId="1ADD651A" w14:textId="77777777" w:rsidTr="00C56B40">
        <w:trPr>
          <w:trHeight w:val="20"/>
        </w:trPr>
        <w:tc>
          <w:tcPr>
            <w:tcW w:w="1595" w:type="dxa"/>
            <w:vAlign w:val="center"/>
          </w:tcPr>
          <w:p w14:paraId="75071951"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DRV/r/cob</w:t>
            </w:r>
          </w:p>
        </w:tc>
        <w:tc>
          <w:tcPr>
            <w:tcW w:w="1701" w:type="dxa"/>
            <w:vAlign w:val="center"/>
          </w:tcPr>
          <w:p w14:paraId="2C632B71"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738660FE"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0543F367"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NR</w:t>
            </w:r>
          </w:p>
        </w:tc>
      </w:tr>
      <w:tr w:rsidR="00C56B40" w:rsidRPr="003F3B0A" w14:paraId="5B306FFF" w14:textId="77777777" w:rsidTr="00C56B40">
        <w:trPr>
          <w:trHeight w:val="20"/>
        </w:trPr>
        <w:tc>
          <w:tcPr>
            <w:tcW w:w="1595" w:type="dxa"/>
            <w:vAlign w:val="center"/>
          </w:tcPr>
          <w:p w14:paraId="3A7C5024"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ATVr</w:t>
            </w:r>
          </w:p>
        </w:tc>
        <w:tc>
          <w:tcPr>
            <w:tcW w:w="1701" w:type="dxa"/>
            <w:vAlign w:val="center"/>
          </w:tcPr>
          <w:p w14:paraId="4E1B49A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w:t>
            </w:r>
          </w:p>
        </w:tc>
        <w:tc>
          <w:tcPr>
            <w:tcW w:w="1843" w:type="dxa"/>
            <w:vAlign w:val="center"/>
          </w:tcPr>
          <w:p w14:paraId="07E62819"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             300 mg sin RTV</w:t>
            </w:r>
          </w:p>
        </w:tc>
        <w:tc>
          <w:tcPr>
            <w:tcW w:w="1735" w:type="dxa"/>
            <w:vAlign w:val="center"/>
          </w:tcPr>
          <w:p w14:paraId="239D0E0B"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xml:space="preserve"> NR</w:t>
            </w:r>
          </w:p>
        </w:tc>
      </w:tr>
      <w:tr w:rsidR="00C56B40" w:rsidRPr="003F3B0A" w14:paraId="5319D85E" w14:textId="77777777" w:rsidTr="00C56B40">
        <w:trPr>
          <w:trHeight w:val="20"/>
        </w:trPr>
        <w:tc>
          <w:tcPr>
            <w:tcW w:w="1595" w:type="dxa"/>
            <w:vAlign w:val="center"/>
          </w:tcPr>
          <w:p w14:paraId="6C4565B9"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ATV/cob</w:t>
            </w:r>
          </w:p>
        </w:tc>
        <w:tc>
          <w:tcPr>
            <w:tcW w:w="1701" w:type="dxa"/>
            <w:vAlign w:val="center"/>
          </w:tcPr>
          <w:p w14:paraId="3D5C4D1D"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 (precaución)</w:t>
            </w:r>
          </w:p>
        </w:tc>
        <w:tc>
          <w:tcPr>
            <w:tcW w:w="1843" w:type="dxa"/>
            <w:vAlign w:val="center"/>
          </w:tcPr>
          <w:p w14:paraId="19072263"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NR</w:t>
            </w:r>
          </w:p>
        </w:tc>
        <w:tc>
          <w:tcPr>
            <w:tcW w:w="1735" w:type="dxa"/>
            <w:vAlign w:val="center"/>
          </w:tcPr>
          <w:p w14:paraId="41BEE311"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NR</w:t>
            </w:r>
          </w:p>
        </w:tc>
      </w:tr>
      <w:tr w:rsidR="00C56B40" w:rsidRPr="003F3B0A" w14:paraId="7E960D3F" w14:textId="77777777" w:rsidTr="00C56B40">
        <w:trPr>
          <w:trHeight w:val="20"/>
        </w:trPr>
        <w:tc>
          <w:tcPr>
            <w:tcW w:w="1595" w:type="dxa"/>
            <w:vAlign w:val="center"/>
          </w:tcPr>
          <w:p w14:paraId="218E7C25"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LPVr</w:t>
            </w:r>
          </w:p>
        </w:tc>
        <w:tc>
          <w:tcPr>
            <w:tcW w:w="1701" w:type="dxa"/>
            <w:vAlign w:val="center"/>
          </w:tcPr>
          <w:p w14:paraId="723D63CA"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382A401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47EA323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NR</w:t>
            </w:r>
          </w:p>
        </w:tc>
      </w:tr>
      <w:tr w:rsidR="00C56B40" w:rsidRPr="003F3B0A" w14:paraId="106FFFB0" w14:textId="77777777" w:rsidTr="00C56B40">
        <w:trPr>
          <w:trHeight w:val="20"/>
        </w:trPr>
        <w:tc>
          <w:tcPr>
            <w:tcW w:w="1595" w:type="dxa"/>
            <w:vAlign w:val="center"/>
          </w:tcPr>
          <w:p w14:paraId="5D8727D7"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FPVr</w:t>
            </w:r>
          </w:p>
        </w:tc>
        <w:tc>
          <w:tcPr>
            <w:tcW w:w="1701" w:type="dxa"/>
            <w:vAlign w:val="center"/>
          </w:tcPr>
          <w:p w14:paraId="251049F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700mg/100mg/12h</w:t>
            </w:r>
          </w:p>
        </w:tc>
        <w:tc>
          <w:tcPr>
            <w:tcW w:w="1843" w:type="dxa"/>
            <w:vAlign w:val="center"/>
          </w:tcPr>
          <w:p w14:paraId="7CF30B14"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450mg/12h 100mg/24h</w:t>
            </w:r>
          </w:p>
        </w:tc>
        <w:tc>
          <w:tcPr>
            <w:tcW w:w="1735" w:type="dxa"/>
            <w:vAlign w:val="center"/>
          </w:tcPr>
          <w:p w14:paraId="12FD09DC"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300mg/12h 100mg/24h</w:t>
            </w:r>
          </w:p>
        </w:tc>
      </w:tr>
      <w:tr w:rsidR="00C56B40" w:rsidRPr="003F3B0A" w14:paraId="4659BC59" w14:textId="77777777" w:rsidTr="00C56B40">
        <w:trPr>
          <w:trHeight w:val="20"/>
        </w:trPr>
        <w:tc>
          <w:tcPr>
            <w:tcW w:w="1595" w:type="dxa"/>
            <w:vAlign w:val="center"/>
          </w:tcPr>
          <w:p w14:paraId="33B0B058"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MVC</w:t>
            </w:r>
          </w:p>
        </w:tc>
        <w:tc>
          <w:tcPr>
            <w:tcW w:w="1701" w:type="dxa"/>
            <w:vAlign w:val="center"/>
          </w:tcPr>
          <w:p w14:paraId="1C69FCA8"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290E86F5"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precaución</w:t>
            </w:r>
          </w:p>
        </w:tc>
        <w:tc>
          <w:tcPr>
            <w:tcW w:w="1735" w:type="dxa"/>
            <w:vAlign w:val="center"/>
          </w:tcPr>
          <w:p w14:paraId="2D5C3B3F"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SD</w:t>
            </w:r>
          </w:p>
        </w:tc>
      </w:tr>
      <w:tr w:rsidR="00C56B40" w:rsidRPr="003F3B0A" w14:paraId="3F38A3ED" w14:textId="77777777" w:rsidTr="00C56B40">
        <w:trPr>
          <w:trHeight w:val="20"/>
        </w:trPr>
        <w:tc>
          <w:tcPr>
            <w:tcW w:w="1595" w:type="dxa"/>
            <w:vAlign w:val="center"/>
          </w:tcPr>
          <w:p w14:paraId="7B9B81B6" w14:textId="77777777" w:rsidR="00C56B40" w:rsidRPr="003F3B0A" w:rsidRDefault="00C56B40" w:rsidP="00C56B40">
            <w:pPr>
              <w:jc w:val="center"/>
              <w:rPr>
                <w:rFonts w:ascii="Arial" w:hAnsi="Arial" w:cs="Arial"/>
                <w:b/>
                <w:bCs/>
                <w:sz w:val="20"/>
                <w:szCs w:val="20"/>
                <w:lang w:eastAsia="en-US"/>
              </w:rPr>
            </w:pPr>
            <w:r w:rsidRPr="003F3B0A">
              <w:rPr>
                <w:rFonts w:ascii="Arial" w:hAnsi="Arial" w:cs="Arial"/>
                <w:b/>
                <w:bCs/>
                <w:sz w:val="20"/>
                <w:szCs w:val="20"/>
                <w:lang w:eastAsia="en-US"/>
              </w:rPr>
              <w:t>T20</w:t>
            </w:r>
          </w:p>
        </w:tc>
        <w:tc>
          <w:tcPr>
            <w:tcW w:w="1701" w:type="dxa"/>
            <w:vAlign w:val="center"/>
          </w:tcPr>
          <w:p w14:paraId="17CC2C17"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843" w:type="dxa"/>
            <w:vAlign w:val="center"/>
          </w:tcPr>
          <w:p w14:paraId="0EC42355"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c>
          <w:tcPr>
            <w:tcW w:w="1735" w:type="dxa"/>
            <w:vAlign w:val="center"/>
          </w:tcPr>
          <w:p w14:paraId="158C3778" w14:textId="77777777" w:rsidR="00C56B40" w:rsidRPr="003F3B0A" w:rsidRDefault="00C56B40" w:rsidP="00C56B40">
            <w:pPr>
              <w:jc w:val="center"/>
              <w:rPr>
                <w:rFonts w:ascii="Arial" w:hAnsi="Arial" w:cs="Arial"/>
                <w:color w:val="000000"/>
                <w:sz w:val="20"/>
                <w:szCs w:val="20"/>
                <w:lang w:eastAsia="en-US"/>
              </w:rPr>
            </w:pPr>
            <w:r w:rsidRPr="003F3B0A">
              <w:rPr>
                <w:rFonts w:ascii="Arial" w:hAnsi="Arial" w:cs="Arial"/>
                <w:color w:val="000000"/>
                <w:sz w:val="20"/>
                <w:szCs w:val="20"/>
                <w:lang w:eastAsia="en-US"/>
              </w:rPr>
              <w:t>+</w:t>
            </w:r>
          </w:p>
        </w:tc>
      </w:tr>
    </w:tbl>
    <w:p w14:paraId="30A6728D" w14:textId="77777777" w:rsidR="004D4E46" w:rsidRPr="003F3B0A" w:rsidRDefault="004D4E46" w:rsidP="004D4E46">
      <w:pPr>
        <w:spacing w:after="160" w:line="259" w:lineRule="auto"/>
        <w:jc w:val="center"/>
        <w:rPr>
          <w:rFonts w:ascii="Arial" w:hAnsi="Arial" w:cs="Arial"/>
          <w:b/>
          <w:color w:val="006600"/>
          <w:szCs w:val="22"/>
          <w:lang w:eastAsia="en-US"/>
        </w:rPr>
      </w:pPr>
    </w:p>
    <w:p w14:paraId="25FB6A09" w14:textId="77777777" w:rsidR="004D4E46" w:rsidRPr="003F3B0A" w:rsidRDefault="004D4E46" w:rsidP="00C56B40">
      <w:pPr>
        <w:spacing w:after="160" w:line="259" w:lineRule="auto"/>
        <w:rPr>
          <w:rFonts w:ascii="Calibri" w:hAnsi="Calibri"/>
          <w:sz w:val="18"/>
          <w:szCs w:val="22"/>
          <w:lang w:eastAsia="en-US"/>
        </w:rPr>
      </w:pPr>
    </w:p>
    <w:p w14:paraId="4D8AED66" w14:textId="77777777" w:rsidR="00C56B40" w:rsidRDefault="00C56B40" w:rsidP="00C56B40">
      <w:pPr>
        <w:rPr>
          <w:rFonts w:ascii="Arial" w:hAnsi="Arial" w:cs="Arial"/>
          <w:sz w:val="18"/>
          <w:szCs w:val="18"/>
          <w:lang w:eastAsia="en-US"/>
        </w:rPr>
      </w:pPr>
    </w:p>
    <w:p w14:paraId="69779B3B" w14:textId="77777777" w:rsidR="00C56B40" w:rsidRDefault="00C56B40" w:rsidP="00C56B40">
      <w:pPr>
        <w:rPr>
          <w:rFonts w:ascii="Arial" w:hAnsi="Arial" w:cs="Arial"/>
          <w:sz w:val="18"/>
          <w:szCs w:val="18"/>
          <w:lang w:eastAsia="en-US"/>
        </w:rPr>
      </w:pPr>
    </w:p>
    <w:p w14:paraId="6CAD228E" w14:textId="77777777" w:rsidR="00C56B40" w:rsidRDefault="00C56B40" w:rsidP="00C56B40">
      <w:pPr>
        <w:rPr>
          <w:rFonts w:ascii="Arial" w:hAnsi="Arial" w:cs="Arial"/>
          <w:sz w:val="18"/>
          <w:szCs w:val="18"/>
          <w:lang w:eastAsia="en-US"/>
        </w:rPr>
      </w:pPr>
    </w:p>
    <w:p w14:paraId="0EB750CA" w14:textId="77777777" w:rsidR="00C56B40" w:rsidRDefault="00C56B40" w:rsidP="00C56B40">
      <w:pPr>
        <w:rPr>
          <w:rFonts w:ascii="Arial" w:hAnsi="Arial" w:cs="Arial"/>
          <w:sz w:val="18"/>
          <w:szCs w:val="18"/>
          <w:lang w:eastAsia="en-US"/>
        </w:rPr>
      </w:pPr>
    </w:p>
    <w:p w14:paraId="6F1ECB83" w14:textId="77777777" w:rsidR="00C56B40" w:rsidRDefault="00C56B40" w:rsidP="00C56B40">
      <w:pPr>
        <w:rPr>
          <w:rFonts w:ascii="Arial" w:hAnsi="Arial" w:cs="Arial"/>
          <w:sz w:val="18"/>
          <w:szCs w:val="18"/>
          <w:lang w:eastAsia="en-US"/>
        </w:rPr>
      </w:pPr>
    </w:p>
    <w:p w14:paraId="3D9F016D" w14:textId="77777777" w:rsidR="00C56B40" w:rsidRDefault="00C56B40" w:rsidP="00C56B40">
      <w:pPr>
        <w:rPr>
          <w:rFonts w:ascii="Arial" w:hAnsi="Arial" w:cs="Arial"/>
          <w:sz w:val="18"/>
          <w:szCs w:val="18"/>
          <w:lang w:eastAsia="en-US"/>
        </w:rPr>
      </w:pPr>
    </w:p>
    <w:p w14:paraId="501B0147" w14:textId="77777777" w:rsidR="00C56B40" w:rsidRDefault="00C56B40" w:rsidP="00C56B40">
      <w:pPr>
        <w:rPr>
          <w:rFonts w:ascii="Arial" w:hAnsi="Arial" w:cs="Arial"/>
          <w:sz w:val="18"/>
          <w:szCs w:val="18"/>
          <w:lang w:eastAsia="en-US"/>
        </w:rPr>
      </w:pPr>
    </w:p>
    <w:p w14:paraId="05EC8AD8" w14:textId="77777777" w:rsidR="00C56B40" w:rsidRDefault="00C56B40" w:rsidP="00C56B40">
      <w:pPr>
        <w:rPr>
          <w:rFonts w:ascii="Arial" w:hAnsi="Arial" w:cs="Arial"/>
          <w:sz w:val="18"/>
          <w:szCs w:val="18"/>
          <w:lang w:eastAsia="en-US"/>
        </w:rPr>
      </w:pPr>
    </w:p>
    <w:p w14:paraId="67CAD271" w14:textId="77777777" w:rsidR="00C56B40" w:rsidRDefault="00C56B40" w:rsidP="00C56B40">
      <w:pPr>
        <w:rPr>
          <w:rFonts w:ascii="Arial" w:hAnsi="Arial" w:cs="Arial"/>
          <w:sz w:val="18"/>
          <w:szCs w:val="18"/>
          <w:lang w:eastAsia="en-US"/>
        </w:rPr>
      </w:pPr>
    </w:p>
    <w:p w14:paraId="4ACB5D0F" w14:textId="77777777" w:rsidR="00C56B40" w:rsidRDefault="00C56B40" w:rsidP="00C56B40">
      <w:pPr>
        <w:rPr>
          <w:rFonts w:ascii="Arial" w:hAnsi="Arial" w:cs="Arial"/>
          <w:sz w:val="18"/>
          <w:szCs w:val="18"/>
          <w:lang w:eastAsia="en-US"/>
        </w:rPr>
      </w:pPr>
    </w:p>
    <w:p w14:paraId="6E7978B9" w14:textId="77777777" w:rsidR="00C56B40" w:rsidRDefault="00C56B40" w:rsidP="00C56B40">
      <w:pPr>
        <w:rPr>
          <w:rFonts w:ascii="Arial" w:hAnsi="Arial" w:cs="Arial"/>
          <w:sz w:val="18"/>
          <w:szCs w:val="18"/>
          <w:lang w:eastAsia="en-US"/>
        </w:rPr>
      </w:pPr>
    </w:p>
    <w:p w14:paraId="76580645" w14:textId="77777777" w:rsidR="00C56B40" w:rsidRDefault="00C56B40" w:rsidP="00C56B40">
      <w:pPr>
        <w:rPr>
          <w:rFonts w:ascii="Arial" w:hAnsi="Arial" w:cs="Arial"/>
          <w:sz w:val="18"/>
          <w:szCs w:val="18"/>
          <w:lang w:eastAsia="en-US"/>
        </w:rPr>
      </w:pPr>
    </w:p>
    <w:p w14:paraId="48DBB2D9" w14:textId="77777777" w:rsidR="00C56B40" w:rsidRDefault="00C56B40" w:rsidP="00C56B40">
      <w:pPr>
        <w:rPr>
          <w:rFonts w:ascii="Arial" w:hAnsi="Arial" w:cs="Arial"/>
          <w:sz w:val="18"/>
          <w:szCs w:val="18"/>
          <w:lang w:eastAsia="en-US"/>
        </w:rPr>
      </w:pPr>
    </w:p>
    <w:p w14:paraId="6BFA1A98" w14:textId="77777777" w:rsidR="00C56B40" w:rsidRDefault="00C56B40" w:rsidP="00C56B40">
      <w:pPr>
        <w:rPr>
          <w:rFonts w:ascii="Arial" w:hAnsi="Arial" w:cs="Arial"/>
          <w:sz w:val="18"/>
          <w:szCs w:val="18"/>
          <w:lang w:eastAsia="en-US"/>
        </w:rPr>
      </w:pPr>
    </w:p>
    <w:p w14:paraId="15963FAE" w14:textId="77777777" w:rsidR="00C56B40" w:rsidRDefault="00C56B40" w:rsidP="00C56B40">
      <w:pPr>
        <w:rPr>
          <w:rFonts w:ascii="Arial" w:hAnsi="Arial" w:cs="Arial"/>
          <w:sz w:val="18"/>
          <w:szCs w:val="18"/>
          <w:lang w:eastAsia="en-US"/>
        </w:rPr>
      </w:pPr>
    </w:p>
    <w:p w14:paraId="1E0F6917" w14:textId="77777777" w:rsidR="00C56B40" w:rsidRDefault="00C56B40" w:rsidP="00C56B40">
      <w:pPr>
        <w:rPr>
          <w:rFonts w:ascii="Arial" w:hAnsi="Arial" w:cs="Arial"/>
          <w:sz w:val="18"/>
          <w:szCs w:val="18"/>
          <w:lang w:eastAsia="en-US"/>
        </w:rPr>
      </w:pPr>
    </w:p>
    <w:p w14:paraId="2829536A" w14:textId="77777777" w:rsidR="00C56B40" w:rsidRDefault="00C56B40" w:rsidP="00C56B40">
      <w:pPr>
        <w:rPr>
          <w:rFonts w:ascii="Arial" w:hAnsi="Arial" w:cs="Arial"/>
          <w:sz w:val="18"/>
          <w:szCs w:val="18"/>
          <w:lang w:eastAsia="en-US"/>
        </w:rPr>
      </w:pPr>
    </w:p>
    <w:p w14:paraId="2C434C03" w14:textId="77777777" w:rsidR="00C56B40" w:rsidRDefault="00C56B40" w:rsidP="00C56B40">
      <w:pPr>
        <w:rPr>
          <w:rFonts w:ascii="Arial" w:hAnsi="Arial" w:cs="Arial"/>
          <w:sz w:val="18"/>
          <w:szCs w:val="18"/>
          <w:lang w:eastAsia="en-US"/>
        </w:rPr>
      </w:pPr>
    </w:p>
    <w:p w14:paraId="08A22DC8" w14:textId="77777777" w:rsidR="00C56B40" w:rsidRDefault="00C56B40" w:rsidP="00C56B40">
      <w:pPr>
        <w:rPr>
          <w:rFonts w:ascii="Arial" w:hAnsi="Arial" w:cs="Arial"/>
          <w:sz w:val="18"/>
          <w:szCs w:val="18"/>
          <w:lang w:eastAsia="en-US"/>
        </w:rPr>
      </w:pPr>
    </w:p>
    <w:p w14:paraId="623BD6F5" w14:textId="77777777" w:rsidR="00C56B40" w:rsidRDefault="00C56B40" w:rsidP="00C56B40">
      <w:pPr>
        <w:rPr>
          <w:rFonts w:ascii="Arial" w:hAnsi="Arial" w:cs="Arial"/>
          <w:sz w:val="18"/>
          <w:szCs w:val="18"/>
          <w:lang w:eastAsia="en-US"/>
        </w:rPr>
      </w:pPr>
    </w:p>
    <w:p w14:paraId="50A13977" w14:textId="77777777" w:rsidR="00C56B40" w:rsidRDefault="00C56B40" w:rsidP="00C56B40">
      <w:pPr>
        <w:rPr>
          <w:rFonts w:ascii="Arial" w:hAnsi="Arial" w:cs="Arial"/>
          <w:sz w:val="18"/>
          <w:szCs w:val="18"/>
          <w:lang w:eastAsia="en-US"/>
        </w:rPr>
      </w:pPr>
    </w:p>
    <w:p w14:paraId="628039B0" w14:textId="77777777" w:rsidR="00C56B40" w:rsidRDefault="00C56B40" w:rsidP="00C56B40">
      <w:pPr>
        <w:rPr>
          <w:rFonts w:ascii="Arial" w:hAnsi="Arial" w:cs="Arial"/>
          <w:sz w:val="18"/>
          <w:szCs w:val="18"/>
          <w:lang w:eastAsia="en-US"/>
        </w:rPr>
      </w:pPr>
    </w:p>
    <w:p w14:paraId="564B2FCE" w14:textId="77777777" w:rsidR="00C56B40" w:rsidRDefault="00C56B40" w:rsidP="00C56B40">
      <w:pPr>
        <w:rPr>
          <w:rFonts w:ascii="Arial" w:hAnsi="Arial" w:cs="Arial"/>
          <w:sz w:val="18"/>
          <w:szCs w:val="18"/>
          <w:lang w:eastAsia="en-US"/>
        </w:rPr>
      </w:pPr>
    </w:p>
    <w:p w14:paraId="4AE57F97" w14:textId="77777777" w:rsidR="00C56B40" w:rsidRDefault="00C56B40" w:rsidP="00C56B40">
      <w:pPr>
        <w:rPr>
          <w:rFonts w:ascii="Arial" w:hAnsi="Arial" w:cs="Arial"/>
          <w:sz w:val="18"/>
          <w:szCs w:val="18"/>
          <w:lang w:eastAsia="en-US"/>
        </w:rPr>
      </w:pPr>
    </w:p>
    <w:p w14:paraId="376B5ABC" w14:textId="77777777" w:rsidR="00C56B40" w:rsidRDefault="00C56B40" w:rsidP="00C56B40">
      <w:pPr>
        <w:rPr>
          <w:rFonts w:ascii="Arial" w:hAnsi="Arial" w:cs="Arial"/>
          <w:sz w:val="18"/>
          <w:szCs w:val="18"/>
          <w:lang w:eastAsia="en-US"/>
        </w:rPr>
      </w:pPr>
    </w:p>
    <w:p w14:paraId="7B2E61A9" w14:textId="77777777" w:rsidR="00C56B40" w:rsidRDefault="00C56B40" w:rsidP="00C56B40">
      <w:pPr>
        <w:rPr>
          <w:rFonts w:ascii="Arial" w:hAnsi="Arial" w:cs="Arial"/>
          <w:sz w:val="18"/>
          <w:szCs w:val="18"/>
          <w:lang w:eastAsia="en-US"/>
        </w:rPr>
      </w:pPr>
    </w:p>
    <w:p w14:paraId="78F976E6" w14:textId="77777777" w:rsidR="00C56B40" w:rsidRDefault="00C56B40" w:rsidP="00C56B40">
      <w:pPr>
        <w:rPr>
          <w:rFonts w:ascii="Arial" w:hAnsi="Arial" w:cs="Arial"/>
          <w:sz w:val="18"/>
          <w:szCs w:val="18"/>
          <w:lang w:eastAsia="en-US"/>
        </w:rPr>
      </w:pPr>
    </w:p>
    <w:p w14:paraId="394A226F" w14:textId="77777777" w:rsidR="00C56B40" w:rsidRDefault="00C56B40" w:rsidP="00C56B40">
      <w:pPr>
        <w:rPr>
          <w:rFonts w:ascii="Arial" w:hAnsi="Arial" w:cs="Arial"/>
          <w:sz w:val="18"/>
          <w:szCs w:val="18"/>
          <w:lang w:eastAsia="en-US"/>
        </w:rPr>
      </w:pPr>
    </w:p>
    <w:p w14:paraId="391FA347" w14:textId="15535755" w:rsidR="004D4E46" w:rsidRPr="003F3B0A" w:rsidRDefault="004D4E46" w:rsidP="00C56B40">
      <w:pPr>
        <w:rPr>
          <w:rFonts w:ascii="Arial" w:hAnsi="Arial" w:cs="Arial"/>
          <w:sz w:val="18"/>
          <w:szCs w:val="18"/>
          <w:lang w:eastAsia="en-US"/>
        </w:rPr>
      </w:pPr>
      <w:r w:rsidRPr="003F3B0A">
        <w:rPr>
          <w:rFonts w:ascii="Arial" w:hAnsi="Arial" w:cs="Arial"/>
          <w:sz w:val="18"/>
          <w:szCs w:val="18"/>
          <w:lang w:eastAsia="en-US"/>
        </w:rPr>
        <w:t xml:space="preserve">+: Fármaco seguro, no precisa ajuste de dosis; </w:t>
      </w:r>
    </w:p>
    <w:p w14:paraId="0DC7A3A0" w14:textId="77777777" w:rsidR="004D4E46" w:rsidRPr="003F3B0A" w:rsidRDefault="004D4E46" w:rsidP="00C56B40">
      <w:pPr>
        <w:rPr>
          <w:rFonts w:ascii="Arial" w:hAnsi="Arial" w:cs="Arial"/>
          <w:sz w:val="18"/>
          <w:szCs w:val="18"/>
          <w:lang w:eastAsia="en-US"/>
        </w:rPr>
      </w:pPr>
      <w:r w:rsidRPr="003F3B0A">
        <w:rPr>
          <w:rFonts w:ascii="Arial" w:hAnsi="Arial" w:cs="Arial"/>
          <w:sz w:val="18"/>
          <w:szCs w:val="18"/>
          <w:lang w:eastAsia="en-US"/>
        </w:rPr>
        <w:t>PD: Pocos datos.</w:t>
      </w:r>
    </w:p>
    <w:p w14:paraId="3EDCF9E1" w14:textId="77777777" w:rsidR="004D4E46" w:rsidRPr="003F3B0A" w:rsidRDefault="004D4E46" w:rsidP="00C56B40">
      <w:pPr>
        <w:rPr>
          <w:rFonts w:ascii="Arial" w:hAnsi="Arial" w:cs="Arial"/>
          <w:color w:val="000000"/>
          <w:sz w:val="18"/>
          <w:szCs w:val="18"/>
          <w:lang w:eastAsia="en-US"/>
        </w:rPr>
      </w:pPr>
      <w:r w:rsidRPr="003F3B0A">
        <w:rPr>
          <w:rFonts w:ascii="Arial" w:hAnsi="Arial" w:cs="Arial"/>
          <w:color w:val="000000"/>
          <w:sz w:val="18"/>
          <w:szCs w:val="18"/>
          <w:lang w:eastAsia="en-US"/>
        </w:rPr>
        <w:t xml:space="preserve">SD: sin datos suficientes sobre la dosis recomendable o la seguridad; </w:t>
      </w:r>
    </w:p>
    <w:p w14:paraId="3E6B14E4" w14:textId="77777777" w:rsidR="004D4E46" w:rsidRDefault="004D4E46" w:rsidP="00C56B40">
      <w:r w:rsidRPr="003F3B0A">
        <w:rPr>
          <w:rFonts w:ascii="Arial" w:hAnsi="Arial" w:cs="Arial"/>
          <w:sz w:val="18"/>
          <w:szCs w:val="18"/>
          <w:lang w:eastAsia="en-US"/>
        </w:rPr>
        <w:t>NR: no recomendado</w:t>
      </w:r>
    </w:p>
    <w:p w14:paraId="7F8BBA0A" w14:textId="63F65C3E" w:rsidR="00B04ACB" w:rsidRDefault="00B04ACB">
      <w:pPr>
        <w:rPr>
          <w:rFonts w:ascii="Arial" w:hAnsi="Arial" w:cs="Arial"/>
          <w:b/>
          <w:color w:val="AE1C1F"/>
          <w:sz w:val="36"/>
          <w:szCs w:val="36"/>
        </w:rPr>
      </w:pPr>
    </w:p>
    <w:sectPr w:rsidR="00B04ACB" w:rsidSect="004D4E46">
      <w:footerReference w:type="default" r:id="rId1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7306" w14:textId="77777777" w:rsidR="00A11D02" w:rsidRDefault="00A11D02">
      <w:r>
        <w:separator/>
      </w:r>
    </w:p>
  </w:endnote>
  <w:endnote w:type="continuationSeparator" w:id="0">
    <w:p w14:paraId="2E5E17B9" w14:textId="77777777" w:rsidR="00A11D02" w:rsidRDefault="00A1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DejaVuSans">
    <w:altName w:val="MS Mincho"/>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3" w:usb1="08070000" w:usb2="00000010" w:usb3="00000000" w:csb0="00020001" w:csb1="00000000"/>
  </w:font>
  <w:font w:name="Arial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67B32" w14:textId="77777777" w:rsidR="00020FE2" w:rsidRDefault="00020FE2">
    <w:pPr>
      <w:pStyle w:val="Piedepgina"/>
      <w:jc w:val="right"/>
    </w:pPr>
    <w:r>
      <w:fldChar w:fldCharType="begin"/>
    </w:r>
    <w:r>
      <w:instrText>PAGE   \* MERGEFORMAT</w:instrText>
    </w:r>
    <w:r>
      <w:fldChar w:fldCharType="separate"/>
    </w:r>
    <w:r w:rsidR="006C5154">
      <w:rPr>
        <w:noProof/>
      </w:rPr>
      <w:t>11</w:t>
    </w:r>
    <w:r>
      <w:rPr>
        <w:noProof/>
      </w:rPr>
      <w:fldChar w:fldCharType="end"/>
    </w:r>
  </w:p>
  <w:p w14:paraId="7B20F8D7" w14:textId="77777777" w:rsidR="00020FE2" w:rsidRDefault="00020FE2">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C9DF" w14:textId="77777777" w:rsidR="00020FE2" w:rsidRDefault="00020FE2">
    <w:pPr>
      <w:pStyle w:val="Piedepgina"/>
      <w:jc w:val="right"/>
    </w:pPr>
    <w:r>
      <w:fldChar w:fldCharType="begin"/>
    </w:r>
    <w:r>
      <w:instrText>PAGE   \* MERGEFORMAT</w:instrText>
    </w:r>
    <w:r>
      <w:fldChar w:fldCharType="separate"/>
    </w:r>
    <w:r w:rsidR="006C5154">
      <w:rPr>
        <w:noProof/>
      </w:rPr>
      <w:t>73</w:t>
    </w:r>
    <w:r>
      <w:rPr>
        <w:noProof/>
      </w:rPr>
      <w:fldChar w:fldCharType="end"/>
    </w:r>
  </w:p>
  <w:p w14:paraId="39606FEA" w14:textId="77777777" w:rsidR="00020FE2" w:rsidRDefault="00020FE2">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07AA" w14:textId="77777777" w:rsidR="00020FE2" w:rsidRDefault="00020FE2">
    <w:pPr>
      <w:pStyle w:val="Piedepgina"/>
      <w:jc w:val="right"/>
    </w:pPr>
    <w:r>
      <w:fldChar w:fldCharType="begin"/>
    </w:r>
    <w:r>
      <w:instrText>PAGE   \* MERGEFORMAT</w:instrText>
    </w:r>
    <w:r>
      <w:fldChar w:fldCharType="separate"/>
    </w:r>
    <w:r>
      <w:rPr>
        <w:noProof/>
      </w:rPr>
      <w:t>5</w:t>
    </w:r>
    <w:r>
      <w:rPr>
        <w:noProof/>
      </w:rPr>
      <w:fldChar w:fldCharType="end"/>
    </w:r>
  </w:p>
  <w:p w14:paraId="1E10EFFC" w14:textId="77777777" w:rsidR="00020FE2" w:rsidRDefault="00020FE2">
    <w:pPr>
      <w:pStyle w:val="Piedepgina"/>
    </w:pPr>
  </w:p>
  <w:p w14:paraId="0AD34754" w14:textId="77777777" w:rsidR="00020FE2" w:rsidRDefault="00020FE2"/>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12B6" w14:textId="77777777" w:rsidR="00020FE2" w:rsidRDefault="00020FE2">
    <w:pPr>
      <w:pStyle w:val="Piedepgina"/>
      <w:jc w:val="right"/>
    </w:pPr>
    <w:r>
      <w:fldChar w:fldCharType="begin"/>
    </w:r>
    <w:r>
      <w:instrText>PAGE   \* MERGEFORMAT</w:instrText>
    </w:r>
    <w:r>
      <w:fldChar w:fldCharType="separate"/>
    </w:r>
    <w:r w:rsidR="006C5154">
      <w:rPr>
        <w:noProof/>
      </w:rPr>
      <w:t>76</w:t>
    </w:r>
    <w:r>
      <w:rPr>
        <w:noProof/>
      </w:rPr>
      <w:fldChar w:fldCharType="end"/>
    </w:r>
  </w:p>
  <w:p w14:paraId="0BB5A218" w14:textId="77777777" w:rsidR="00020FE2" w:rsidRDefault="00020FE2">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498" w14:textId="77777777" w:rsidR="00020FE2" w:rsidRDefault="00020FE2">
    <w:pPr>
      <w:pStyle w:val="Piedepgina"/>
      <w:jc w:val="right"/>
    </w:pPr>
    <w:r>
      <w:fldChar w:fldCharType="begin"/>
    </w:r>
    <w:r>
      <w:instrText>PAGE   \* MERGEFORMAT</w:instrText>
    </w:r>
    <w:r>
      <w:fldChar w:fldCharType="separate"/>
    </w:r>
    <w:r w:rsidR="006C5154">
      <w:rPr>
        <w:noProof/>
      </w:rPr>
      <w:t>79</w:t>
    </w:r>
    <w:r>
      <w:rPr>
        <w:noProof/>
      </w:rPr>
      <w:fldChar w:fldCharType="end"/>
    </w:r>
  </w:p>
  <w:p w14:paraId="4A8A7DAE" w14:textId="77777777" w:rsidR="00020FE2" w:rsidRDefault="00020FE2">
    <w:pPr>
      <w:pStyle w:val="Piedepgina"/>
    </w:pPr>
  </w:p>
  <w:p w14:paraId="3E045A79" w14:textId="77777777" w:rsidR="00020FE2" w:rsidRDefault="00020FE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AB2C" w14:textId="77777777" w:rsidR="00020FE2" w:rsidRDefault="00020FE2">
    <w:pPr>
      <w:pStyle w:val="Piedepgina"/>
      <w:jc w:val="right"/>
    </w:pPr>
    <w:r>
      <w:fldChar w:fldCharType="begin"/>
    </w:r>
    <w:r>
      <w:instrText>PAGE   \* MERGEFORMAT</w:instrText>
    </w:r>
    <w:r>
      <w:fldChar w:fldCharType="separate"/>
    </w:r>
    <w:r w:rsidR="006C5154">
      <w:rPr>
        <w:noProof/>
      </w:rPr>
      <w:t>82</w:t>
    </w:r>
    <w:r>
      <w:rPr>
        <w:noProof/>
      </w:rPr>
      <w:fldChar w:fldCharType="end"/>
    </w:r>
  </w:p>
  <w:p w14:paraId="4A089EC3" w14:textId="77777777" w:rsidR="00020FE2" w:rsidRDefault="00020FE2">
    <w:pPr>
      <w:pStyle w:val="Piedepgina"/>
    </w:pPr>
  </w:p>
  <w:p w14:paraId="47BF6845" w14:textId="77777777" w:rsidR="00020FE2" w:rsidRDefault="00020FE2"/>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3995" w14:textId="77777777" w:rsidR="00020FE2" w:rsidRDefault="00020FE2">
    <w:pPr>
      <w:pStyle w:val="Piedepgina"/>
      <w:jc w:val="right"/>
    </w:pPr>
    <w:r>
      <w:fldChar w:fldCharType="begin"/>
    </w:r>
    <w:r>
      <w:instrText>PAGE   \* MERGEFORMAT</w:instrText>
    </w:r>
    <w:r>
      <w:fldChar w:fldCharType="separate"/>
    </w:r>
    <w:r>
      <w:rPr>
        <w:noProof/>
      </w:rPr>
      <w:t>3</w:t>
    </w:r>
    <w:r>
      <w:rPr>
        <w:noProof/>
      </w:rPr>
      <w:fldChar w:fldCharType="end"/>
    </w:r>
  </w:p>
  <w:p w14:paraId="4F38CF69" w14:textId="77777777" w:rsidR="00020FE2" w:rsidRDefault="00020FE2">
    <w:pPr>
      <w:pStyle w:val="Piedepgina"/>
    </w:pPr>
  </w:p>
  <w:p w14:paraId="5179D785" w14:textId="77777777" w:rsidR="00020FE2" w:rsidRDefault="00020FE2"/>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3FA" w14:textId="77777777" w:rsidR="00020FE2" w:rsidRDefault="00020FE2">
    <w:pPr>
      <w:pStyle w:val="Piedepgina"/>
      <w:jc w:val="right"/>
    </w:pPr>
    <w:r>
      <w:fldChar w:fldCharType="begin"/>
    </w:r>
    <w:r>
      <w:instrText>PAGE   \* MERGEFORMAT</w:instrText>
    </w:r>
    <w:r>
      <w:fldChar w:fldCharType="separate"/>
    </w:r>
    <w:r>
      <w:rPr>
        <w:noProof/>
      </w:rPr>
      <w:t>80</w:t>
    </w:r>
    <w:r>
      <w:rPr>
        <w:noProof/>
      </w:rPr>
      <w:fldChar w:fldCharType="end"/>
    </w:r>
  </w:p>
  <w:p w14:paraId="36A85537" w14:textId="77777777" w:rsidR="00020FE2" w:rsidRDefault="00020FE2">
    <w:pPr>
      <w:pStyle w:val="Piedepgina"/>
    </w:pPr>
  </w:p>
  <w:p w14:paraId="72DA0182" w14:textId="77777777" w:rsidR="00020FE2" w:rsidRDefault="00020FE2"/>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8FA" w14:textId="77777777" w:rsidR="00020FE2" w:rsidRDefault="00020FE2">
    <w:pPr>
      <w:pStyle w:val="Piedepgina"/>
      <w:jc w:val="right"/>
    </w:pPr>
    <w:r>
      <w:fldChar w:fldCharType="begin"/>
    </w:r>
    <w:r>
      <w:instrText>PAGE   \* MERGEFORMAT</w:instrText>
    </w:r>
    <w:r>
      <w:fldChar w:fldCharType="separate"/>
    </w:r>
    <w:r>
      <w:rPr>
        <w:noProof/>
      </w:rPr>
      <w:t>43</w:t>
    </w:r>
    <w:r>
      <w:rPr>
        <w:noProof/>
      </w:rPr>
      <w:fldChar w:fldCharType="end"/>
    </w:r>
  </w:p>
  <w:p w14:paraId="6D09B568" w14:textId="77777777" w:rsidR="00020FE2" w:rsidRDefault="00020FE2">
    <w:pPr>
      <w:pStyle w:val="Piedepgina"/>
    </w:pPr>
  </w:p>
  <w:p w14:paraId="28814587" w14:textId="77777777" w:rsidR="00020FE2" w:rsidRDefault="00020FE2"/>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7FF3" w14:textId="77777777" w:rsidR="00177A8A" w:rsidRDefault="00177A8A">
    <w:pPr>
      <w:pStyle w:val="Piedepgina"/>
      <w:jc w:val="right"/>
    </w:pPr>
    <w:r>
      <w:fldChar w:fldCharType="begin"/>
    </w:r>
    <w:r>
      <w:instrText>PAGE   \* MERGEFORMAT</w:instrText>
    </w:r>
    <w:r>
      <w:fldChar w:fldCharType="separate"/>
    </w:r>
    <w:r>
      <w:rPr>
        <w:noProof/>
      </w:rPr>
      <w:t>2</w:t>
    </w:r>
    <w:r>
      <w:rPr>
        <w:noProof/>
      </w:rPr>
      <w:fldChar w:fldCharType="end"/>
    </w:r>
  </w:p>
  <w:p w14:paraId="3F486DEF" w14:textId="77777777" w:rsidR="00177A8A" w:rsidRDefault="00177A8A">
    <w:pPr>
      <w:pStyle w:val="Piedepgin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1EC6" w14:textId="77777777" w:rsidR="00177A8A" w:rsidRDefault="00177A8A">
    <w:pPr>
      <w:pStyle w:val="Piedepgina"/>
      <w:jc w:val="right"/>
    </w:pPr>
    <w:r>
      <w:fldChar w:fldCharType="begin"/>
    </w:r>
    <w:r>
      <w:instrText>PAGE   \* MERGEFORMAT</w:instrText>
    </w:r>
    <w:r>
      <w:fldChar w:fldCharType="separate"/>
    </w:r>
    <w:r>
      <w:rPr>
        <w:noProof/>
      </w:rPr>
      <w:t>3</w:t>
    </w:r>
    <w:r>
      <w:rPr>
        <w:noProof/>
      </w:rPr>
      <w:fldChar w:fldCharType="end"/>
    </w:r>
  </w:p>
  <w:p w14:paraId="0FDB3C44" w14:textId="77777777" w:rsidR="00177A8A" w:rsidRDefault="00177A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C277" w14:textId="77777777" w:rsidR="00020FE2" w:rsidRDefault="00020FE2">
    <w:pPr>
      <w:pStyle w:val="Piedepgina"/>
      <w:jc w:val="right"/>
    </w:pPr>
    <w:r>
      <w:fldChar w:fldCharType="begin"/>
    </w:r>
    <w:r>
      <w:instrText>PAGE   \* MERGEFORMAT</w:instrText>
    </w:r>
    <w:r>
      <w:fldChar w:fldCharType="separate"/>
    </w:r>
    <w:r w:rsidR="006C5154">
      <w:rPr>
        <w:noProof/>
      </w:rPr>
      <w:t>17</w:t>
    </w:r>
    <w:r>
      <w:rPr>
        <w:noProof/>
      </w:rPr>
      <w:fldChar w:fldCharType="end"/>
    </w:r>
  </w:p>
  <w:p w14:paraId="34D925D9" w14:textId="77777777" w:rsidR="00020FE2" w:rsidRDefault="00020FE2">
    <w:pPr>
      <w:pStyle w:val="Piedepgin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CF893" w14:textId="77777777" w:rsidR="00020FE2" w:rsidRDefault="00020FE2">
    <w:pPr>
      <w:pStyle w:val="Piedepgina"/>
      <w:jc w:val="right"/>
    </w:pPr>
    <w:r>
      <w:fldChar w:fldCharType="begin"/>
    </w:r>
    <w:r>
      <w:instrText>PAGE   \* MERGEFORMAT</w:instrText>
    </w:r>
    <w:r>
      <w:fldChar w:fldCharType="separate"/>
    </w:r>
    <w:r w:rsidR="006C5154">
      <w:rPr>
        <w:noProof/>
      </w:rPr>
      <w:t>88</w:t>
    </w:r>
    <w:r>
      <w:rPr>
        <w:noProof/>
      </w:rPr>
      <w:fldChar w:fldCharType="end"/>
    </w:r>
  </w:p>
  <w:p w14:paraId="7548E801" w14:textId="77777777" w:rsidR="00020FE2" w:rsidRDefault="00020FE2">
    <w:pPr>
      <w:pStyle w:val="Piedepgin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E7F9" w14:textId="77777777" w:rsidR="00020FE2" w:rsidRDefault="00020FE2">
    <w:pPr>
      <w:pStyle w:val="Piedepgina"/>
      <w:jc w:val="right"/>
    </w:pPr>
    <w:r>
      <w:fldChar w:fldCharType="begin"/>
    </w:r>
    <w:r>
      <w:instrText>PAGE   \* MERGEFORMAT</w:instrText>
    </w:r>
    <w:r>
      <w:fldChar w:fldCharType="separate"/>
    </w:r>
    <w:r w:rsidR="006C5154">
      <w:rPr>
        <w:noProof/>
      </w:rPr>
      <w:t>91</w:t>
    </w:r>
    <w:r>
      <w:rPr>
        <w:noProof/>
      </w:rPr>
      <w:fldChar w:fldCharType="end"/>
    </w:r>
  </w:p>
  <w:p w14:paraId="445019B8" w14:textId="77777777" w:rsidR="00020FE2" w:rsidRDefault="00020FE2">
    <w:pPr>
      <w:pStyle w:val="Piedepgina"/>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65DF" w14:textId="77777777" w:rsidR="00020FE2" w:rsidRDefault="00020FE2">
    <w:pPr>
      <w:pStyle w:val="Piedepgina"/>
      <w:jc w:val="right"/>
    </w:pPr>
    <w:r>
      <w:fldChar w:fldCharType="begin"/>
    </w:r>
    <w:r>
      <w:instrText>PAGE   \* MERGEFORMAT</w:instrText>
    </w:r>
    <w:r>
      <w:fldChar w:fldCharType="separate"/>
    </w:r>
    <w:r w:rsidR="006C5154">
      <w:rPr>
        <w:noProof/>
      </w:rPr>
      <w:t>92</w:t>
    </w:r>
    <w:r>
      <w:rPr>
        <w:noProof/>
      </w:rPr>
      <w:fldChar w:fldCharType="end"/>
    </w:r>
  </w:p>
  <w:p w14:paraId="3E72DEC6" w14:textId="77777777" w:rsidR="00020FE2" w:rsidRDefault="00020FE2">
    <w:pPr>
      <w:pStyle w:val="Piedepgina"/>
    </w:pPr>
  </w:p>
  <w:p w14:paraId="57D925B3" w14:textId="77777777" w:rsidR="00020FE2" w:rsidRDefault="00020FE2"/>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FC87" w14:textId="77777777" w:rsidR="00020FE2" w:rsidRDefault="00020FE2">
    <w:pPr>
      <w:pStyle w:val="Piedepgina"/>
      <w:jc w:val="right"/>
    </w:pPr>
    <w:r>
      <w:fldChar w:fldCharType="begin"/>
    </w:r>
    <w:r>
      <w:instrText>PAGE   \* MERGEFORMAT</w:instrText>
    </w:r>
    <w:r>
      <w:fldChar w:fldCharType="separate"/>
    </w:r>
    <w:r w:rsidR="006C5154">
      <w:rPr>
        <w:noProof/>
      </w:rPr>
      <w:t>94</w:t>
    </w:r>
    <w:r>
      <w:rPr>
        <w:noProof/>
      </w:rPr>
      <w:fldChar w:fldCharType="end"/>
    </w:r>
  </w:p>
  <w:p w14:paraId="55AB9D22" w14:textId="77777777" w:rsidR="00020FE2" w:rsidRDefault="00020FE2">
    <w:pPr>
      <w:pStyle w:val="Piedepgina"/>
    </w:pPr>
  </w:p>
  <w:p w14:paraId="33B8163E" w14:textId="77777777" w:rsidR="00020FE2" w:rsidRDefault="00020FE2"/>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8BB4" w14:textId="77777777" w:rsidR="00020FE2" w:rsidRDefault="00020FE2">
    <w:pPr>
      <w:pStyle w:val="Piedepgina"/>
      <w:jc w:val="right"/>
    </w:pPr>
    <w:r>
      <w:fldChar w:fldCharType="begin"/>
    </w:r>
    <w:r>
      <w:instrText>PAGE   \* MERGEFORMAT</w:instrText>
    </w:r>
    <w:r>
      <w:fldChar w:fldCharType="separate"/>
    </w:r>
    <w:r>
      <w:rPr>
        <w:noProof/>
      </w:rPr>
      <w:t>90</w:t>
    </w:r>
    <w:r>
      <w:rPr>
        <w:noProof/>
      </w:rPr>
      <w:fldChar w:fldCharType="end"/>
    </w:r>
  </w:p>
  <w:p w14:paraId="6CA579B7" w14:textId="77777777" w:rsidR="00020FE2" w:rsidRDefault="00020FE2">
    <w:pPr>
      <w:pStyle w:val="Piedepgina"/>
    </w:pPr>
  </w:p>
  <w:p w14:paraId="233B4F1A" w14:textId="77777777" w:rsidR="00020FE2" w:rsidRDefault="00020FE2"/>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2443" w14:textId="77777777" w:rsidR="00020FE2" w:rsidRDefault="00020FE2">
    <w:pPr>
      <w:pStyle w:val="Piedepgina"/>
      <w:jc w:val="right"/>
    </w:pPr>
    <w:r>
      <w:fldChar w:fldCharType="begin"/>
    </w:r>
    <w:r>
      <w:instrText>PAGE   \* MERGEFORMAT</w:instrText>
    </w:r>
    <w:r>
      <w:fldChar w:fldCharType="separate"/>
    </w:r>
    <w:r>
      <w:rPr>
        <w:noProof/>
      </w:rPr>
      <w:t>3</w:t>
    </w:r>
    <w:r>
      <w:rPr>
        <w:noProof/>
      </w:rPr>
      <w:fldChar w:fldCharType="end"/>
    </w:r>
  </w:p>
  <w:p w14:paraId="4E93EE96" w14:textId="77777777" w:rsidR="00020FE2" w:rsidRDefault="00020FE2">
    <w:pPr>
      <w:pStyle w:val="Piedepgina"/>
    </w:pPr>
  </w:p>
  <w:p w14:paraId="1C34DEF0" w14:textId="77777777" w:rsidR="00020FE2" w:rsidRDefault="00020FE2"/>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36FC" w14:textId="77777777" w:rsidR="00020FE2" w:rsidRDefault="00020FE2">
    <w:pPr>
      <w:pStyle w:val="Piedepgina"/>
      <w:jc w:val="right"/>
    </w:pPr>
    <w:r>
      <w:fldChar w:fldCharType="begin"/>
    </w:r>
    <w:r>
      <w:instrText>PAGE   \* MERGEFORMAT</w:instrText>
    </w:r>
    <w:r>
      <w:fldChar w:fldCharType="separate"/>
    </w:r>
    <w:r w:rsidR="006C5154">
      <w:rPr>
        <w:noProof/>
      </w:rPr>
      <w:t>97</w:t>
    </w:r>
    <w:r>
      <w:rPr>
        <w:noProof/>
      </w:rPr>
      <w:fldChar w:fldCharType="end"/>
    </w:r>
  </w:p>
  <w:p w14:paraId="78DD37F0" w14:textId="77777777" w:rsidR="00020FE2" w:rsidRDefault="00020FE2">
    <w:pPr>
      <w:pStyle w:val="Piedepgin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E150" w14:textId="77777777" w:rsidR="00020FE2" w:rsidRDefault="00020FE2">
    <w:pPr>
      <w:pStyle w:val="Piedepgina"/>
      <w:jc w:val="right"/>
    </w:pPr>
    <w:r>
      <w:fldChar w:fldCharType="begin"/>
    </w:r>
    <w:r>
      <w:instrText>PAGE   \* MERGEFORMAT</w:instrText>
    </w:r>
    <w:r>
      <w:fldChar w:fldCharType="separate"/>
    </w:r>
    <w:r w:rsidR="006C5154">
      <w:rPr>
        <w:noProof/>
      </w:rPr>
      <w:t>102</w:t>
    </w:r>
    <w:r>
      <w:rPr>
        <w:noProof/>
      </w:rPr>
      <w:fldChar w:fldCharType="end"/>
    </w:r>
  </w:p>
  <w:p w14:paraId="693C7D0C" w14:textId="77777777" w:rsidR="00020FE2" w:rsidRDefault="00020FE2">
    <w:pPr>
      <w:pStyle w:val="Piedepgina"/>
    </w:pPr>
  </w:p>
  <w:p w14:paraId="67E7A89B" w14:textId="77777777" w:rsidR="00020FE2" w:rsidRDefault="00020FE2"/>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D595" w14:textId="77777777" w:rsidR="00020FE2" w:rsidRDefault="00020FE2">
    <w:pPr>
      <w:pStyle w:val="Piedepgina"/>
      <w:jc w:val="right"/>
    </w:pPr>
    <w:r>
      <w:fldChar w:fldCharType="begin"/>
    </w:r>
    <w:r>
      <w:instrText>PAGE   \* MERGEFORMAT</w:instrText>
    </w:r>
    <w:r>
      <w:fldChar w:fldCharType="separate"/>
    </w:r>
    <w:r w:rsidR="006C5154">
      <w:rPr>
        <w:noProof/>
      </w:rPr>
      <w:t>112</w:t>
    </w:r>
    <w:r>
      <w:rPr>
        <w:noProof/>
      </w:rPr>
      <w:fldChar w:fldCharType="end"/>
    </w:r>
  </w:p>
  <w:p w14:paraId="52B8B33B" w14:textId="77777777" w:rsidR="00020FE2" w:rsidRDefault="00020FE2">
    <w:pPr>
      <w:pStyle w:val="Piedepgina"/>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5263" w14:textId="77777777" w:rsidR="00020FE2" w:rsidRDefault="00020FE2">
    <w:pPr>
      <w:pStyle w:val="Piedepgina"/>
      <w:jc w:val="right"/>
    </w:pPr>
    <w:r>
      <w:fldChar w:fldCharType="begin"/>
    </w:r>
    <w:r>
      <w:instrText>PAGE   \* MERGEFORMAT</w:instrText>
    </w:r>
    <w:r>
      <w:fldChar w:fldCharType="separate"/>
    </w:r>
    <w:r w:rsidR="006C5154">
      <w:rPr>
        <w:noProof/>
      </w:rPr>
      <w:t>120</w:t>
    </w:r>
    <w:r>
      <w:rPr>
        <w:noProof/>
      </w:rPr>
      <w:fldChar w:fldCharType="end"/>
    </w:r>
  </w:p>
  <w:p w14:paraId="72EE5F6D" w14:textId="77777777" w:rsidR="00020FE2" w:rsidRDefault="00020F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E786" w14:textId="77777777" w:rsidR="00020FE2" w:rsidRDefault="00020FE2">
    <w:pPr>
      <w:pStyle w:val="Piedepgina"/>
      <w:jc w:val="right"/>
    </w:pPr>
    <w:r>
      <w:fldChar w:fldCharType="begin"/>
    </w:r>
    <w:r>
      <w:instrText>PAGE   \* MERGEFORMAT</w:instrText>
    </w:r>
    <w:r>
      <w:fldChar w:fldCharType="separate"/>
    </w:r>
    <w:r>
      <w:rPr>
        <w:noProof/>
      </w:rPr>
      <w:t>7</w:t>
    </w:r>
    <w:r>
      <w:rPr>
        <w:noProof/>
      </w:rPr>
      <w:fldChar w:fldCharType="end"/>
    </w:r>
  </w:p>
  <w:p w14:paraId="179EF5B2" w14:textId="77777777" w:rsidR="00020FE2" w:rsidRDefault="00020FE2">
    <w:pPr>
      <w:pStyle w:val="Piedepgina"/>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0A69" w14:textId="77777777" w:rsidR="00020FE2" w:rsidRDefault="00020FE2">
    <w:pPr>
      <w:pStyle w:val="Piedepgina"/>
      <w:jc w:val="right"/>
    </w:pPr>
    <w:r>
      <w:fldChar w:fldCharType="begin"/>
    </w:r>
    <w:r>
      <w:instrText>PAGE   \* MERGEFORMAT</w:instrText>
    </w:r>
    <w:r>
      <w:fldChar w:fldCharType="separate"/>
    </w:r>
    <w:r w:rsidR="006C5154">
      <w:rPr>
        <w:noProof/>
      </w:rPr>
      <w:t>139</w:t>
    </w:r>
    <w:r>
      <w:rPr>
        <w:noProof/>
      </w:rPr>
      <w:fldChar w:fldCharType="end"/>
    </w:r>
  </w:p>
  <w:p w14:paraId="0EDB39B6" w14:textId="77777777" w:rsidR="00020FE2" w:rsidRDefault="00020FE2">
    <w:pPr>
      <w:pStyle w:val="Piedepgina"/>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170093"/>
      <w:docPartObj>
        <w:docPartGallery w:val="Page Numbers (Bottom of Page)"/>
        <w:docPartUnique/>
      </w:docPartObj>
    </w:sdtPr>
    <w:sdtEndPr/>
    <w:sdtContent>
      <w:p w14:paraId="54525199" w14:textId="77777777" w:rsidR="00020FE2" w:rsidRDefault="00020FE2">
        <w:pPr>
          <w:pStyle w:val="Piedepgina"/>
          <w:jc w:val="right"/>
        </w:pPr>
        <w:r>
          <w:fldChar w:fldCharType="begin"/>
        </w:r>
        <w:r>
          <w:instrText>PAGE   \* MERGEFORMAT</w:instrText>
        </w:r>
        <w:r>
          <w:fldChar w:fldCharType="separate"/>
        </w:r>
        <w:r w:rsidR="006C5154">
          <w:rPr>
            <w:noProof/>
          </w:rPr>
          <w:t>149</w:t>
        </w:r>
        <w:r>
          <w:rPr>
            <w:noProof/>
          </w:rPr>
          <w:fldChar w:fldCharType="end"/>
        </w:r>
      </w:p>
    </w:sdtContent>
  </w:sdt>
  <w:p w14:paraId="7511346B" w14:textId="77777777" w:rsidR="00020FE2" w:rsidRDefault="00020FE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BA05" w14:textId="77777777" w:rsidR="00020FE2" w:rsidRDefault="00020FE2">
    <w:pPr>
      <w:pStyle w:val="Piedepgina"/>
      <w:jc w:val="right"/>
    </w:pPr>
    <w:r>
      <w:fldChar w:fldCharType="begin"/>
    </w:r>
    <w:r>
      <w:instrText>PAGE   \* MERGEFORMAT</w:instrText>
    </w:r>
    <w:r>
      <w:fldChar w:fldCharType="separate"/>
    </w:r>
    <w:r>
      <w:rPr>
        <w:noProof/>
      </w:rPr>
      <w:t>7</w:t>
    </w:r>
    <w:r>
      <w:rPr>
        <w:noProof/>
      </w:rPr>
      <w:fldChar w:fldCharType="end"/>
    </w:r>
  </w:p>
  <w:p w14:paraId="56C15CF5" w14:textId="77777777" w:rsidR="00020FE2" w:rsidRDefault="00020FE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6BDB" w14:textId="77777777" w:rsidR="00020FE2" w:rsidRDefault="00020FE2">
    <w:pPr>
      <w:pStyle w:val="Piedepgina"/>
      <w:jc w:val="right"/>
    </w:pPr>
    <w:r>
      <w:fldChar w:fldCharType="begin"/>
    </w:r>
    <w:r>
      <w:instrText>PAGE   \* MERGEFORMAT</w:instrText>
    </w:r>
    <w:r>
      <w:fldChar w:fldCharType="separate"/>
    </w:r>
    <w:r>
      <w:rPr>
        <w:noProof/>
      </w:rPr>
      <w:t>5</w:t>
    </w:r>
    <w:r>
      <w:rPr>
        <w:noProof/>
      </w:rPr>
      <w:fldChar w:fldCharType="end"/>
    </w:r>
  </w:p>
  <w:p w14:paraId="7BE98F57" w14:textId="77777777" w:rsidR="00020FE2" w:rsidRDefault="00020FE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D1BF" w14:textId="77777777" w:rsidR="00020FE2" w:rsidRDefault="00020FE2">
    <w:pPr>
      <w:pStyle w:val="Piedepgina"/>
      <w:jc w:val="right"/>
    </w:pPr>
    <w:r>
      <w:fldChar w:fldCharType="begin"/>
    </w:r>
    <w:r>
      <w:instrText>PAGE   \* MERGEFORMAT</w:instrText>
    </w:r>
    <w:r>
      <w:fldChar w:fldCharType="separate"/>
    </w:r>
    <w:r>
      <w:rPr>
        <w:noProof/>
      </w:rPr>
      <w:t>6</w:t>
    </w:r>
    <w:r>
      <w:rPr>
        <w:noProof/>
      </w:rPr>
      <w:fldChar w:fldCharType="end"/>
    </w:r>
  </w:p>
  <w:p w14:paraId="699B4CF9" w14:textId="77777777" w:rsidR="00020FE2" w:rsidRDefault="00020FE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3196" w14:textId="77777777" w:rsidR="00020FE2" w:rsidRDefault="00020FE2">
    <w:pPr>
      <w:pStyle w:val="Piedepgina"/>
      <w:jc w:val="right"/>
    </w:pPr>
    <w:r>
      <w:fldChar w:fldCharType="begin"/>
    </w:r>
    <w:r>
      <w:instrText>PAGE   \* MERGEFORMAT</w:instrText>
    </w:r>
    <w:r>
      <w:fldChar w:fldCharType="separate"/>
    </w:r>
    <w:r w:rsidR="006C5154">
      <w:rPr>
        <w:noProof/>
      </w:rPr>
      <w:t>34</w:t>
    </w:r>
    <w:r>
      <w:rPr>
        <w:noProof/>
      </w:rPr>
      <w:fldChar w:fldCharType="end"/>
    </w:r>
  </w:p>
  <w:p w14:paraId="28D82BAC" w14:textId="77777777" w:rsidR="00020FE2" w:rsidRDefault="00020FE2">
    <w:pPr>
      <w:pStyle w:val="Piedepgina"/>
    </w:pPr>
  </w:p>
  <w:p w14:paraId="081039B5" w14:textId="77777777" w:rsidR="00020FE2" w:rsidRDefault="00020FE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0D87" w14:textId="77777777" w:rsidR="00020FE2" w:rsidRDefault="00020FE2">
    <w:pPr>
      <w:pStyle w:val="Piedepgina"/>
      <w:jc w:val="right"/>
    </w:pPr>
    <w:r>
      <w:fldChar w:fldCharType="begin"/>
    </w:r>
    <w:r>
      <w:instrText>PAGE   \* MERGEFORMAT</w:instrText>
    </w:r>
    <w:r>
      <w:fldChar w:fldCharType="separate"/>
    </w:r>
    <w:r w:rsidR="006C5154">
      <w:rPr>
        <w:noProof/>
      </w:rPr>
      <w:t>69</w:t>
    </w:r>
    <w:r>
      <w:rPr>
        <w:noProof/>
      </w:rPr>
      <w:fldChar w:fldCharType="end"/>
    </w:r>
  </w:p>
  <w:p w14:paraId="06E8C2A6" w14:textId="77777777" w:rsidR="00020FE2" w:rsidRDefault="00020FE2">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6C15" w14:textId="77777777" w:rsidR="00020FE2" w:rsidRDefault="00020FE2">
    <w:pPr>
      <w:pStyle w:val="Piedepgina"/>
      <w:jc w:val="right"/>
    </w:pPr>
    <w:r>
      <w:fldChar w:fldCharType="begin"/>
    </w:r>
    <w:r>
      <w:instrText>PAGE   \* MERGEFORMAT</w:instrText>
    </w:r>
    <w:r>
      <w:fldChar w:fldCharType="separate"/>
    </w:r>
    <w:r>
      <w:rPr>
        <w:noProof/>
      </w:rPr>
      <w:t>42</w:t>
    </w:r>
    <w:r>
      <w:rPr>
        <w:noProof/>
      </w:rPr>
      <w:fldChar w:fldCharType="end"/>
    </w:r>
  </w:p>
  <w:p w14:paraId="196A0CF1" w14:textId="77777777" w:rsidR="00020FE2" w:rsidRDefault="00020FE2">
    <w:pPr>
      <w:pStyle w:val="Piedepgina"/>
    </w:pPr>
  </w:p>
  <w:p w14:paraId="147F2C94" w14:textId="77777777" w:rsidR="00020FE2" w:rsidRDefault="00020F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F219" w14:textId="77777777" w:rsidR="00A11D02" w:rsidRDefault="00A11D02">
      <w:r>
        <w:separator/>
      </w:r>
    </w:p>
  </w:footnote>
  <w:footnote w:type="continuationSeparator" w:id="0">
    <w:p w14:paraId="41976104" w14:textId="77777777" w:rsidR="00A11D02" w:rsidRDefault="00A1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4CB6" w14:textId="77777777" w:rsidR="00020FE2" w:rsidRDefault="00020FE2">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D06A" w14:textId="77777777" w:rsidR="00020FE2" w:rsidRDefault="00020FE2">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2D70" w14:textId="77777777" w:rsidR="00020FE2" w:rsidRDefault="00020FE2">
    <w:pPr>
      <w:pStyle w:val="Encabezado"/>
    </w:pPr>
  </w:p>
  <w:p w14:paraId="2053EA98" w14:textId="77777777" w:rsidR="00020FE2" w:rsidRDefault="00020FE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87C4" w14:textId="77777777" w:rsidR="00020FE2" w:rsidRDefault="00020FE2">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EF3A" w14:textId="77777777" w:rsidR="00020FE2" w:rsidRDefault="00020FE2">
    <w:pPr>
      <w:pStyle w:val="Encabezado"/>
    </w:pPr>
  </w:p>
  <w:p w14:paraId="4A833EF7" w14:textId="77777777" w:rsidR="00020FE2" w:rsidRDefault="00020FE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798" w14:textId="77777777" w:rsidR="00177A8A" w:rsidRDefault="00177A8A">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4D7B" w14:textId="77777777" w:rsidR="00177A8A" w:rsidRDefault="00177A8A">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FB91" w14:textId="77777777" w:rsidR="00020FE2" w:rsidRDefault="00020FE2">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6AB8" w14:textId="77777777" w:rsidR="00020FE2" w:rsidRDefault="00020FE2">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18DD" w14:textId="77777777" w:rsidR="00020FE2" w:rsidRDefault="00020FE2">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ABD5" w14:textId="77777777" w:rsidR="00020FE2" w:rsidRDefault="00020FE2">
    <w:pPr>
      <w:pStyle w:val="Encabezado"/>
    </w:pPr>
  </w:p>
  <w:p w14:paraId="0E14BF6E" w14:textId="77777777" w:rsidR="00020FE2" w:rsidRDefault="00020F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0E31" w14:textId="77777777" w:rsidR="00020FE2" w:rsidRDefault="00020FE2">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E526" w14:textId="77777777" w:rsidR="00020FE2" w:rsidRDefault="00020FE2">
    <w:pPr>
      <w:pStyle w:val="Encabezado"/>
    </w:pPr>
  </w:p>
  <w:p w14:paraId="1BCABF32" w14:textId="77777777" w:rsidR="00020FE2" w:rsidRDefault="00020FE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BD43" w14:textId="77777777" w:rsidR="00020FE2" w:rsidRDefault="00020FE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7294" w14:textId="77777777" w:rsidR="00020FE2" w:rsidRDefault="00020FE2">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45A8" w14:textId="77777777" w:rsidR="00020FE2" w:rsidRDefault="00020FE2">
    <w:pPr>
      <w:pStyle w:val="Encabezado"/>
    </w:pPr>
  </w:p>
  <w:p w14:paraId="347E8ED9" w14:textId="77777777" w:rsidR="00020FE2" w:rsidRDefault="00020FE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53AE" w14:textId="77777777" w:rsidR="00020FE2" w:rsidRDefault="00020FE2">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5458" w14:textId="77777777" w:rsidR="00020FE2" w:rsidRDefault="00020FE2">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FDF6" w14:textId="77777777" w:rsidR="00020FE2" w:rsidRDefault="00020F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E7B5" w14:textId="77777777" w:rsidR="00020FE2" w:rsidRDefault="00020F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863E" w14:textId="77777777" w:rsidR="00020FE2" w:rsidRDefault="00020FE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73072"/>
      <w:docPartObj>
        <w:docPartGallery w:val="Page Numbers (Top of Page)"/>
        <w:docPartUnique/>
      </w:docPartObj>
    </w:sdtPr>
    <w:sdtEndPr/>
    <w:sdtContent>
      <w:p w14:paraId="04974C6B" w14:textId="77777777" w:rsidR="00020FE2" w:rsidRDefault="00020FE2">
        <w:pPr>
          <w:pStyle w:val="Encabezado"/>
          <w:jc w:val="right"/>
        </w:pPr>
        <w:r>
          <w:fldChar w:fldCharType="begin"/>
        </w:r>
        <w:r>
          <w:instrText xml:space="preserve"> PAGE   \* MERGEFORMAT </w:instrText>
        </w:r>
        <w:r>
          <w:fldChar w:fldCharType="separate"/>
        </w:r>
        <w:r w:rsidR="006C5154">
          <w:rPr>
            <w:noProof/>
          </w:rPr>
          <w:t>54</w:t>
        </w:r>
        <w:r>
          <w:rPr>
            <w:noProof/>
          </w:rPr>
          <w:fldChar w:fldCharType="end"/>
        </w:r>
      </w:p>
    </w:sdtContent>
  </w:sdt>
  <w:p w14:paraId="3B5B4F6F" w14:textId="77777777" w:rsidR="00020FE2" w:rsidRDefault="00020FE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0719"/>
      <w:docPartObj>
        <w:docPartGallery w:val="Page Numbers (Top of Page)"/>
        <w:docPartUnique/>
      </w:docPartObj>
    </w:sdtPr>
    <w:sdtEndPr/>
    <w:sdtContent>
      <w:p w14:paraId="4F278482" w14:textId="77777777" w:rsidR="00020FE2" w:rsidRDefault="00020FE2">
        <w:pPr>
          <w:pStyle w:val="Encabezado"/>
          <w:jc w:val="right"/>
        </w:pPr>
        <w:r>
          <w:fldChar w:fldCharType="begin"/>
        </w:r>
        <w:r>
          <w:instrText xml:space="preserve"> PAGE   \* MERGEFORMAT </w:instrText>
        </w:r>
        <w:r>
          <w:fldChar w:fldCharType="separate"/>
        </w:r>
        <w:r w:rsidR="006C5154">
          <w:rPr>
            <w:noProof/>
          </w:rPr>
          <w:t>69</w:t>
        </w:r>
        <w:r>
          <w:rPr>
            <w:noProof/>
          </w:rPr>
          <w:fldChar w:fldCharType="end"/>
        </w:r>
      </w:p>
    </w:sdtContent>
  </w:sdt>
  <w:p w14:paraId="3A1347A5" w14:textId="77777777" w:rsidR="00020FE2" w:rsidRDefault="00020FE2">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5F8F" w14:textId="77777777" w:rsidR="00020FE2" w:rsidRDefault="00020FE2">
    <w:pPr>
      <w:pStyle w:val="Encabezado"/>
    </w:pPr>
  </w:p>
  <w:p w14:paraId="7E1ADAD2" w14:textId="77777777" w:rsidR="00020FE2" w:rsidRDefault="00020FE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5BD" w14:textId="77777777" w:rsidR="00020FE2" w:rsidRDefault="00020FE2">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7B5E" w14:textId="77777777" w:rsidR="00020FE2" w:rsidRDefault="00020FE2">
    <w:pPr>
      <w:pStyle w:val="Encabezado"/>
    </w:pPr>
  </w:p>
  <w:p w14:paraId="3F248DC1" w14:textId="77777777" w:rsidR="00020FE2" w:rsidRDefault="00020F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074"/>
    <w:multiLevelType w:val="hybridMultilevel"/>
    <w:tmpl w:val="05FAA294"/>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1153535"/>
    <w:multiLevelType w:val="hybridMultilevel"/>
    <w:tmpl w:val="E640CDC4"/>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1361406"/>
    <w:multiLevelType w:val="hybridMultilevel"/>
    <w:tmpl w:val="F48A19B6"/>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1403470"/>
    <w:multiLevelType w:val="hybridMultilevel"/>
    <w:tmpl w:val="B252A9BC"/>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1D73C6D"/>
    <w:multiLevelType w:val="hybridMultilevel"/>
    <w:tmpl w:val="E4FE6452"/>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4061814"/>
    <w:multiLevelType w:val="hybridMultilevel"/>
    <w:tmpl w:val="E2AC6BF8"/>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6E64586"/>
    <w:multiLevelType w:val="hybridMultilevel"/>
    <w:tmpl w:val="EF8EA5B0"/>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8EA232C"/>
    <w:multiLevelType w:val="hybridMultilevel"/>
    <w:tmpl w:val="2ECA45FE"/>
    <w:lvl w:ilvl="0" w:tplc="6BEE28C6">
      <w:numFmt w:val="bullet"/>
      <w:lvlText w:val="-"/>
      <w:lvlJc w:val="left"/>
      <w:pPr>
        <w:ind w:left="720" w:hanging="360"/>
      </w:pPr>
      <w:rPr>
        <w:rFonts w:ascii="Arial" w:eastAsia="MS Mincho" w:hAnsi="Arial" w:hint="default"/>
        <w:b/>
        <w:color w:val="A1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973CC7"/>
    <w:multiLevelType w:val="hybridMultilevel"/>
    <w:tmpl w:val="DD4C4610"/>
    <w:lvl w:ilvl="0" w:tplc="844E2C30">
      <w:start w:val="1"/>
      <w:numFmt w:val="bullet"/>
      <w:lvlText w:val=""/>
      <w:lvlJc w:val="left"/>
      <w:pPr>
        <w:ind w:left="720" w:hanging="360"/>
      </w:pPr>
      <w:rPr>
        <w:rFonts w:ascii="Symbol" w:hAnsi="Symbol" w:hint="default"/>
        <w:u w:color="FFFFFF" w:themeColor="background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494C77"/>
    <w:multiLevelType w:val="hybridMultilevel"/>
    <w:tmpl w:val="47FE590C"/>
    <w:lvl w:ilvl="0" w:tplc="6BEE28C6">
      <w:numFmt w:val="bullet"/>
      <w:lvlText w:val="-"/>
      <w:lvlJc w:val="left"/>
      <w:pPr>
        <w:ind w:left="1080" w:hanging="360"/>
      </w:pPr>
      <w:rPr>
        <w:rFonts w:ascii="Arial" w:eastAsia="MS Mincho" w:hAnsi="Arial" w:hint="default"/>
        <w:b/>
        <w:color w:val="A10000"/>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0DE96786"/>
    <w:multiLevelType w:val="hybridMultilevel"/>
    <w:tmpl w:val="8160D044"/>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EAF7A89"/>
    <w:multiLevelType w:val="hybridMultilevel"/>
    <w:tmpl w:val="25C2E0E4"/>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33476B3"/>
    <w:multiLevelType w:val="hybridMultilevel"/>
    <w:tmpl w:val="1992573A"/>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18B878E7"/>
    <w:multiLevelType w:val="hybridMultilevel"/>
    <w:tmpl w:val="09B237EA"/>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1463D8A"/>
    <w:multiLevelType w:val="hybridMultilevel"/>
    <w:tmpl w:val="D30C218C"/>
    <w:lvl w:ilvl="0" w:tplc="14401D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31842"/>
    <w:multiLevelType w:val="hybridMultilevel"/>
    <w:tmpl w:val="8F04FD54"/>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24C42FE4"/>
    <w:multiLevelType w:val="hybridMultilevel"/>
    <w:tmpl w:val="772437E0"/>
    <w:lvl w:ilvl="0" w:tplc="8B0E406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41F00"/>
    <w:multiLevelType w:val="hybridMultilevel"/>
    <w:tmpl w:val="F61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C497C"/>
    <w:multiLevelType w:val="hybridMultilevel"/>
    <w:tmpl w:val="7660DBE0"/>
    <w:lvl w:ilvl="0" w:tplc="2D04535C">
      <w:start w:val="1"/>
      <w:numFmt w:val="bullet"/>
      <w:lvlText w:val="-"/>
      <w:lvlJc w:val="left"/>
      <w:pPr>
        <w:ind w:left="360" w:hanging="360"/>
      </w:pPr>
      <w:rPr>
        <w:rFonts w:ascii="Calibri" w:hAnsi="Calibri"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957317E"/>
    <w:multiLevelType w:val="hybridMultilevel"/>
    <w:tmpl w:val="C67287C0"/>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61208B5"/>
    <w:multiLevelType w:val="hybridMultilevel"/>
    <w:tmpl w:val="1F429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B60AD"/>
    <w:multiLevelType w:val="hybridMultilevel"/>
    <w:tmpl w:val="484E6B96"/>
    <w:lvl w:ilvl="0" w:tplc="2D04535C">
      <w:start w:val="1"/>
      <w:numFmt w:val="bullet"/>
      <w:lvlText w:val="-"/>
      <w:lvlJc w:val="left"/>
      <w:pPr>
        <w:tabs>
          <w:tab w:val="num" w:pos="360"/>
        </w:tabs>
        <w:ind w:left="36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BE163B6"/>
    <w:multiLevelType w:val="hybridMultilevel"/>
    <w:tmpl w:val="1930B310"/>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402B66F1"/>
    <w:multiLevelType w:val="hybridMultilevel"/>
    <w:tmpl w:val="A18E394C"/>
    <w:lvl w:ilvl="0" w:tplc="6E4AB050">
      <w:start w:val="1"/>
      <w:numFmt w:val="lowerLetter"/>
      <w:lvlText w:val="%1."/>
      <w:lvlJc w:val="left"/>
      <w:pPr>
        <w:ind w:left="360" w:hanging="360"/>
      </w:pPr>
      <w:rPr>
        <w:rFonts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D324F0"/>
    <w:multiLevelType w:val="hybridMultilevel"/>
    <w:tmpl w:val="9D8A37E2"/>
    <w:lvl w:ilvl="0" w:tplc="844E2C30">
      <w:start w:val="1"/>
      <w:numFmt w:val="bullet"/>
      <w:lvlText w:val=""/>
      <w:lvlJc w:val="left"/>
      <w:pPr>
        <w:ind w:left="720" w:hanging="360"/>
      </w:pPr>
      <w:rPr>
        <w:rFonts w:ascii="Symbol" w:hAnsi="Symbol" w:hint="default"/>
        <w:u w:color="FFFFFF" w:themeColor="background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916B66"/>
    <w:multiLevelType w:val="multilevel"/>
    <w:tmpl w:val="DF1EFCCA"/>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720E7"/>
    <w:multiLevelType w:val="hybridMultilevel"/>
    <w:tmpl w:val="C93C9E00"/>
    <w:lvl w:ilvl="0" w:tplc="AE6611CA">
      <w:start w:val="1"/>
      <w:numFmt w:val="bullet"/>
      <w:lvlText w:val="-"/>
      <w:lvlJc w:val="left"/>
      <w:pPr>
        <w:ind w:left="360" w:hanging="360"/>
      </w:pPr>
      <w:rPr>
        <w:rFonts w:ascii="Courier New" w:hAnsi="Courier New" w:hint="default"/>
      </w:rPr>
    </w:lvl>
    <w:lvl w:ilvl="1" w:tplc="040A0003">
      <w:start w:val="1"/>
      <w:numFmt w:val="bullet"/>
      <w:lvlText w:val="o"/>
      <w:lvlJc w:val="left"/>
      <w:pPr>
        <w:ind w:left="1030" w:hanging="360"/>
      </w:pPr>
      <w:rPr>
        <w:rFonts w:ascii="Courier New" w:hAnsi="Courier New" w:hint="default"/>
      </w:rPr>
    </w:lvl>
    <w:lvl w:ilvl="2" w:tplc="040A0005">
      <w:start w:val="1"/>
      <w:numFmt w:val="bullet"/>
      <w:lvlText w:val=""/>
      <w:lvlJc w:val="left"/>
      <w:pPr>
        <w:ind w:left="1750" w:hanging="360"/>
      </w:pPr>
      <w:rPr>
        <w:rFonts w:ascii="Wingdings" w:hAnsi="Wingdings" w:hint="default"/>
      </w:rPr>
    </w:lvl>
    <w:lvl w:ilvl="3" w:tplc="040A0001">
      <w:start w:val="1"/>
      <w:numFmt w:val="bullet"/>
      <w:lvlText w:val=""/>
      <w:lvlJc w:val="left"/>
      <w:pPr>
        <w:ind w:left="2470" w:hanging="360"/>
      </w:pPr>
      <w:rPr>
        <w:rFonts w:ascii="Symbol" w:hAnsi="Symbol" w:hint="default"/>
      </w:rPr>
    </w:lvl>
    <w:lvl w:ilvl="4" w:tplc="040A0003">
      <w:start w:val="1"/>
      <w:numFmt w:val="bullet"/>
      <w:lvlText w:val="o"/>
      <w:lvlJc w:val="left"/>
      <w:pPr>
        <w:ind w:left="3190" w:hanging="360"/>
      </w:pPr>
      <w:rPr>
        <w:rFonts w:ascii="Courier New" w:hAnsi="Courier New" w:hint="default"/>
      </w:rPr>
    </w:lvl>
    <w:lvl w:ilvl="5" w:tplc="040A0005">
      <w:start w:val="1"/>
      <w:numFmt w:val="bullet"/>
      <w:lvlText w:val=""/>
      <w:lvlJc w:val="left"/>
      <w:pPr>
        <w:ind w:left="3910" w:hanging="360"/>
      </w:pPr>
      <w:rPr>
        <w:rFonts w:ascii="Wingdings" w:hAnsi="Wingdings" w:hint="default"/>
      </w:rPr>
    </w:lvl>
    <w:lvl w:ilvl="6" w:tplc="040A0001">
      <w:start w:val="1"/>
      <w:numFmt w:val="bullet"/>
      <w:lvlText w:val=""/>
      <w:lvlJc w:val="left"/>
      <w:pPr>
        <w:ind w:left="4630" w:hanging="360"/>
      </w:pPr>
      <w:rPr>
        <w:rFonts w:ascii="Symbol" w:hAnsi="Symbol" w:hint="default"/>
      </w:rPr>
    </w:lvl>
    <w:lvl w:ilvl="7" w:tplc="040A0003">
      <w:start w:val="1"/>
      <w:numFmt w:val="bullet"/>
      <w:lvlText w:val="o"/>
      <w:lvlJc w:val="left"/>
      <w:pPr>
        <w:ind w:left="5350" w:hanging="360"/>
      </w:pPr>
      <w:rPr>
        <w:rFonts w:ascii="Courier New" w:hAnsi="Courier New" w:hint="default"/>
      </w:rPr>
    </w:lvl>
    <w:lvl w:ilvl="8" w:tplc="040A0005">
      <w:start w:val="1"/>
      <w:numFmt w:val="bullet"/>
      <w:lvlText w:val=""/>
      <w:lvlJc w:val="left"/>
      <w:pPr>
        <w:ind w:left="6070" w:hanging="360"/>
      </w:pPr>
      <w:rPr>
        <w:rFonts w:ascii="Wingdings" w:hAnsi="Wingdings" w:hint="default"/>
      </w:rPr>
    </w:lvl>
  </w:abstractNum>
  <w:abstractNum w:abstractNumId="27" w15:restartNumberingAfterBreak="0">
    <w:nsid w:val="4E7D5B15"/>
    <w:multiLevelType w:val="hybridMultilevel"/>
    <w:tmpl w:val="E63C2C7C"/>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FEE1546"/>
    <w:multiLevelType w:val="hybridMultilevel"/>
    <w:tmpl w:val="1172B60A"/>
    <w:lvl w:ilvl="0" w:tplc="2E74868C">
      <w:start w:val="1"/>
      <w:numFmt w:val="decimal"/>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2CE5D00"/>
    <w:multiLevelType w:val="hybridMultilevel"/>
    <w:tmpl w:val="3AA08DFE"/>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2D87A45"/>
    <w:multiLevelType w:val="hybridMultilevel"/>
    <w:tmpl w:val="43C2DC32"/>
    <w:lvl w:ilvl="0" w:tplc="2D04535C">
      <w:start w:val="1"/>
      <w:numFmt w:val="bullet"/>
      <w:lvlText w:val="-"/>
      <w:lvlJc w:val="left"/>
      <w:pPr>
        <w:ind w:left="360" w:hanging="360"/>
      </w:pPr>
      <w:rPr>
        <w:rFonts w:ascii="Calibri" w:hAnsi="Calibri"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53AE7694"/>
    <w:multiLevelType w:val="multilevel"/>
    <w:tmpl w:val="C0A870B6"/>
    <w:lvl w:ilvl="0">
      <w:start w:val="1"/>
      <w:numFmt w:val="bullet"/>
      <w:lvlText w:val="-"/>
      <w:lvlJc w:val="left"/>
      <w:pPr>
        <w:ind w:left="720" w:hanging="360"/>
      </w:pPr>
      <w:rPr>
        <w:rFonts w:ascii="Arial" w:hAnsi="Arial" w:hint="default"/>
        <w:b/>
        <w:color w:val="A1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95A27AA"/>
    <w:multiLevelType w:val="multilevel"/>
    <w:tmpl w:val="A2ECE162"/>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C4D3B5B"/>
    <w:multiLevelType w:val="hybridMultilevel"/>
    <w:tmpl w:val="91A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65D43"/>
    <w:multiLevelType w:val="hybridMultilevel"/>
    <w:tmpl w:val="786EA238"/>
    <w:lvl w:ilvl="0" w:tplc="A5FE7E22">
      <w:start w:val="1"/>
      <w:numFmt w:val="low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7F364B"/>
    <w:multiLevelType w:val="hybridMultilevel"/>
    <w:tmpl w:val="2D462FE8"/>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24425C8"/>
    <w:multiLevelType w:val="hybridMultilevel"/>
    <w:tmpl w:val="625E2EF0"/>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635E66B2"/>
    <w:multiLevelType w:val="hybridMultilevel"/>
    <w:tmpl w:val="D91496CE"/>
    <w:lvl w:ilvl="0" w:tplc="CE42360E">
      <w:numFmt w:val="bullet"/>
      <w:lvlText w:val="-"/>
      <w:lvlJc w:val="left"/>
      <w:pPr>
        <w:ind w:left="1080" w:hanging="360"/>
      </w:pPr>
      <w:rPr>
        <w:rFonts w:ascii="Arial" w:eastAsia="MS Mincho" w:hAnsi="Arial" w:hint="default"/>
        <w:b/>
        <w:i w:val="0"/>
        <w:color w:val="A1000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7FE3B74"/>
    <w:multiLevelType w:val="hybridMultilevel"/>
    <w:tmpl w:val="6A780DC0"/>
    <w:lvl w:ilvl="0" w:tplc="F20EA94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E1D04"/>
    <w:multiLevelType w:val="multilevel"/>
    <w:tmpl w:val="1624C860"/>
    <w:lvl w:ilvl="0">
      <w:start w:val="1"/>
      <w:numFmt w:val="upperLetter"/>
      <w:lvlText w:val="%1)"/>
      <w:lvlJc w:val="left"/>
      <w:pPr>
        <w:ind w:left="360" w:hanging="360"/>
      </w:pPr>
      <w:rPr>
        <w:rFonts w:ascii="Arial" w:eastAsia="Times New Roman" w:hAnsi="Arial" w:cs="Arial"/>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D2900B1"/>
    <w:multiLevelType w:val="hybridMultilevel"/>
    <w:tmpl w:val="8F461108"/>
    <w:lvl w:ilvl="0" w:tplc="844E2C30">
      <w:start w:val="1"/>
      <w:numFmt w:val="bullet"/>
      <w:lvlText w:val=""/>
      <w:lvlJc w:val="left"/>
      <w:pPr>
        <w:ind w:left="720" w:hanging="360"/>
      </w:pPr>
      <w:rPr>
        <w:rFonts w:ascii="Symbol" w:hAnsi="Symbol" w:hint="default"/>
        <w:u w:color="FFFFFF" w:themeColor="background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3C2478"/>
    <w:multiLevelType w:val="hybridMultilevel"/>
    <w:tmpl w:val="65A6138E"/>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6FB132EC"/>
    <w:multiLevelType w:val="hybridMultilevel"/>
    <w:tmpl w:val="8B5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C5EF8"/>
    <w:multiLevelType w:val="hybridMultilevel"/>
    <w:tmpl w:val="2FAC3938"/>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4" w15:restartNumberingAfterBreak="0">
    <w:nsid w:val="73624091"/>
    <w:multiLevelType w:val="hybridMultilevel"/>
    <w:tmpl w:val="94C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2742F"/>
    <w:multiLevelType w:val="hybridMultilevel"/>
    <w:tmpl w:val="E54413D4"/>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79BB549E"/>
    <w:multiLevelType w:val="hybridMultilevel"/>
    <w:tmpl w:val="60400750"/>
    <w:lvl w:ilvl="0" w:tplc="844E2C30">
      <w:start w:val="1"/>
      <w:numFmt w:val="bullet"/>
      <w:lvlText w:val=""/>
      <w:lvlJc w:val="left"/>
      <w:pPr>
        <w:ind w:left="720" w:hanging="360"/>
      </w:pPr>
      <w:rPr>
        <w:rFonts w:ascii="Symbol" w:hAnsi="Symbol" w:hint="default"/>
        <w:u w:color="FFFFFF" w:themeColor="background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AE90BB1"/>
    <w:multiLevelType w:val="hybridMultilevel"/>
    <w:tmpl w:val="899A521E"/>
    <w:lvl w:ilvl="0" w:tplc="2D04535C">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DEB7CA1"/>
    <w:multiLevelType w:val="hybridMultilevel"/>
    <w:tmpl w:val="98CC383E"/>
    <w:lvl w:ilvl="0" w:tplc="6BEE28C6">
      <w:numFmt w:val="bullet"/>
      <w:lvlText w:val="-"/>
      <w:lvlJc w:val="left"/>
      <w:pPr>
        <w:ind w:left="720" w:hanging="360"/>
      </w:pPr>
      <w:rPr>
        <w:rFonts w:ascii="Arial" w:eastAsia="MS Mincho" w:hAnsi="Arial" w:hint="default"/>
        <w:b/>
        <w:color w:val="A1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3"/>
  </w:num>
  <w:num w:numId="5">
    <w:abstractNumId w:val="5"/>
  </w:num>
  <w:num w:numId="6">
    <w:abstractNumId w:val="39"/>
  </w:num>
  <w:num w:numId="7">
    <w:abstractNumId w:val="31"/>
  </w:num>
  <w:num w:numId="8">
    <w:abstractNumId w:val="32"/>
  </w:num>
  <w:num w:numId="9">
    <w:abstractNumId w:val="17"/>
  </w:num>
  <w:num w:numId="10">
    <w:abstractNumId w:val="20"/>
  </w:num>
  <w:num w:numId="11">
    <w:abstractNumId w:val="16"/>
  </w:num>
  <w:num w:numId="12">
    <w:abstractNumId w:val="38"/>
  </w:num>
  <w:num w:numId="13">
    <w:abstractNumId w:val="23"/>
  </w:num>
  <w:num w:numId="14">
    <w:abstractNumId w:val="34"/>
  </w:num>
  <w:num w:numId="15">
    <w:abstractNumId w:val="21"/>
  </w:num>
  <w:num w:numId="16">
    <w:abstractNumId w:val="30"/>
  </w:num>
  <w:num w:numId="17">
    <w:abstractNumId w:val="41"/>
  </w:num>
  <w:num w:numId="18">
    <w:abstractNumId w:val="4"/>
  </w:num>
  <w:num w:numId="19">
    <w:abstractNumId w:val="1"/>
  </w:num>
  <w:num w:numId="20">
    <w:abstractNumId w:val="25"/>
  </w:num>
  <w:num w:numId="21">
    <w:abstractNumId w:val="27"/>
  </w:num>
  <w:num w:numId="22">
    <w:abstractNumId w:val="13"/>
  </w:num>
  <w:num w:numId="23">
    <w:abstractNumId w:val="22"/>
  </w:num>
  <w:num w:numId="24">
    <w:abstractNumId w:val="43"/>
  </w:num>
  <w:num w:numId="25">
    <w:abstractNumId w:val="19"/>
  </w:num>
  <w:num w:numId="26">
    <w:abstractNumId w:val="48"/>
  </w:num>
  <w:num w:numId="27">
    <w:abstractNumId w:val="36"/>
  </w:num>
  <w:num w:numId="28">
    <w:abstractNumId w:val="35"/>
  </w:num>
  <w:num w:numId="29">
    <w:abstractNumId w:val="10"/>
  </w:num>
  <w:num w:numId="30">
    <w:abstractNumId w:val="29"/>
  </w:num>
  <w:num w:numId="31">
    <w:abstractNumId w:val="26"/>
  </w:num>
  <w:num w:numId="32">
    <w:abstractNumId w:val="11"/>
  </w:num>
  <w:num w:numId="33">
    <w:abstractNumId w:val="45"/>
  </w:num>
  <w:num w:numId="34">
    <w:abstractNumId w:val="37"/>
  </w:num>
  <w:num w:numId="35">
    <w:abstractNumId w:val="9"/>
  </w:num>
  <w:num w:numId="36">
    <w:abstractNumId w:val="28"/>
  </w:num>
  <w:num w:numId="37">
    <w:abstractNumId w:val="18"/>
  </w:num>
  <w:num w:numId="38">
    <w:abstractNumId w:val="47"/>
  </w:num>
  <w:num w:numId="39">
    <w:abstractNumId w:val="15"/>
  </w:num>
  <w:num w:numId="40">
    <w:abstractNumId w:val="2"/>
  </w:num>
  <w:num w:numId="41">
    <w:abstractNumId w:val="8"/>
  </w:num>
  <w:num w:numId="42">
    <w:abstractNumId w:val="24"/>
  </w:num>
  <w:num w:numId="43">
    <w:abstractNumId w:val="46"/>
  </w:num>
  <w:num w:numId="44">
    <w:abstractNumId w:val="40"/>
  </w:num>
  <w:num w:numId="45">
    <w:abstractNumId w:val="7"/>
  </w:num>
  <w:num w:numId="46">
    <w:abstractNumId w:val="33"/>
  </w:num>
  <w:num w:numId="47">
    <w:abstractNumId w:val="44"/>
  </w:num>
  <w:num w:numId="48">
    <w:abstractNumId w:val="14"/>
  </w:num>
  <w:num w:numId="49">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D6"/>
    <w:rsid w:val="00000FF8"/>
    <w:rsid w:val="000014DF"/>
    <w:rsid w:val="00006C46"/>
    <w:rsid w:val="00010B52"/>
    <w:rsid w:val="00012AA6"/>
    <w:rsid w:val="00014171"/>
    <w:rsid w:val="00020FE2"/>
    <w:rsid w:val="000358A6"/>
    <w:rsid w:val="000668CB"/>
    <w:rsid w:val="00066CA9"/>
    <w:rsid w:val="00095ECF"/>
    <w:rsid w:val="000C6155"/>
    <w:rsid w:val="000D182B"/>
    <w:rsid w:val="000F1256"/>
    <w:rsid w:val="000F2B12"/>
    <w:rsid w:val="00101127"/>
    <w:rsid w:val="0011186B"/>
    <w:rsid w:val="00113BD9"/>
    <w:rsid w:val="001702C3"/>
    <w:rsid w:val="0017325F"/>
    <w:rsid w:val="00176A61"/>
    <w:rsid w:val="00177A8A"/>
    <w:rsid w:val="001B5265"/>
    <w:rsid w:val="00215A10"/>
    <w:rsid w:val="00220F39"/>
    <w:rsid w:val="0022461B"/>
    <w:rsid w:val="00227394"/>
    <w:rsid w:val="00251963"/>
    <w:rsid w:val="00257CA3"/>
    <w:rsid w:val="00265F42"/>
    <w:rsid w:val="002A6ADA"/>
    <w:rsid w:val="002C1648"/>
    <w:rsid w:val="00393948"/>
    <w:rsid w:val="003B3A6F"/>
    <w:rsid w:val="003D6321"/>
    <w:rsid w:val="003E05E9"/>
    <w:rsid w:val="003E6146"/>
    <w:rsid w:val="0043093F"/>
    <w:rsid w:val="004403AC"/>
    <w:rsid w:val="00491A21"/>
    <w:rsid w:val="004B3EEF"/>
    <w:rsid w:val="004D4E46"/>
    <w:rsid w:val="004E7257"/>
    <w:rsid w:val="004F2000"/>
    <w:rsid w:val="00533408"/>
    <w:rsid w:val="005476CD"/>
    <w:rsid w:val="005652A5"/>
    <w:rsid w:val="005748F0"/>
    <w:rsid w:val="00582AFE"/>
    <w:rsid w:val="005929F9"/>
    <w:rsid w:val="005B4E85"/>
    <w:rsid w:val="005B5F24"/>
    <w:rsid w:val="005B7823"/>
    <w:rsid w:val="005D53D0"/>
    <w:rsid w:val="00616450"/>
    <w:rsid w:val="00632C83"/>
    <w:rsid w:val="00664A62"/>
    <w:rsid w:val="006661B1"/>
    <w:rsid w:val="00672006"/>
    <w:rsid w:val="00676FD1"/>
    <w:rsid w:val="006B1D81"/>
    <w:rsid w:val="006C5154"/>
    <w:rsid w:val="006D6DF4"/>
    <w:rsid w:val="006F0A7A"/>
    <w:rsid w:val="00707745"/>
    <w:rsid w:val="007A7F0D"/>
    <w:rsid w:val="007B18BD"/>
    <w:rsid w:val="007B4109"/>
    <w:rsid w:val="007C23CF"/>
    <w:rsid w:val="007C7771"/>
    <w:rsid w:val="007F2D51"/>
    <w:rsid w:val="00802EB8"/>
    <w:rsid w:val="008447D0"/>
    <w:rsid w:val="00851F60"/>
    <w:rsid w:val="0086119E"/>
    <w:rsid w:val="00861B91"/>
    <w:rsid w:val="008A6867"/>
    <w:rsid w:val="008B0A36"/>
    <w:rsid w:val="008B3D61"/>
    <w:rsid w:val="008C0072"/>
    <w:rsid w:val="0090354B"/>
    <w:rsid w:val="00931DA3"/>
    <w:rsid w:val="0093471F"/>
    <w:rsid w:val="00943FC7"/>
    <w:rsid w:val="00976CB2"/>
    <w:rsid w:val="009C14FE"/>
    <w:rsid w:val="00A11D02"/>
    <w:rsid w:val="00A21433"/>
    <w:rsid w:val="00A40F86"/>
    <w:rsid w:val="00A41C48"/>
    <w:rsid w:val="00A45913"/>
    <w:rsid w:val="00A5297B"/>
    <w:rsid w:val="00A53EA0"/>
    <w:rsid w:val="00A85121"/>
    <w:rsid w:val="00AA4D3F"/>
    <w:rsid w:val="00B04ACB"/>
    <w:rsid w:val="00B40D66"/>
    <w:rsid w:val="00B86678"/>
    <w:rsid w:val="00BC37A7"/>
    <w:rsid w:val="00BD06AE"/>
    <w:rsid w:val="00BF2EBC"/>
    <w:rsid w:val="00BF2F12"/>
    <w:rsid w:val="00BF7146"/>
    <w:rsid w:val="00C270D6"/>
    <w:rsid w:val="00C56B40"/>
    <w:rsid w:val="00C77DB9"/>
    <w:rsid w:val="00C83180"/>
    <w:rsid w:val="00CB23F3"/>
    <w:rsid w:val="00CE12D1"/>
    <w:rsid w:val="00CF353E"/>
    <w:rsid w:val="00D555C5"/>
    <w:rsid w:val="00D61AB2"/>
    <w:rsid w:val="00D65C3F"/>
    <w:rsid w:val="00DA350F"/>
    <w:rsid w:val="00DD3E9D"/>
    <w:rsid w:val="00DE222A"/>
    <w:rsid w:val="00DF5AF9"/>
    <w:rsid w:val="00E25F31"/>
    <w:rsid w:val="00E43D97"/>
    <w:rsid w:val="00E51087"/>
    <w:rsid w:val="00E52AE5"/>
    <w:rsid w:val="00E67DB5"/>
    <w:rsid w:val="00E716C1"/>
    <w:rsid w:val="00E7457B"/>
    <w:rsid w:val="00E76B93"/>
    <w:rsid w:val="00EC4A76"/>
    <w:rsid w:val="00EE5DC5"/>
    <w:rsid w:val="00F04A02"/>
    <w:rsid w:val="00F209C2"/>
    <w:rsid w:val="00F4249F"/>
    <w:rsid w:val="00F80C1F"/>
    <w:rsid w:val="00F8772D"/>
    <w:rsid w:val="00FA5073"/>
    <w:rsid w:val="00FB338D"/>
    <w:rsid w:val="00FB3F5D"/>
    <w:rsid w:val="00FC2322"/>
    <w:rsid w:val="00FD5A66"/>
    <w:rsid w:val="00FE33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1A054"/>
  <w15:docId w15:val="{2546E463-4947-2B4F-8CF2-53DED73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0D6"/>
    <w:rPr>
      <w:rFonts w:ascii="Times New Roman" w:eastAsia="Times New Roman" w:hAnsi="Times New Roman" w:cs="Times New Roman"/>
      <w:lang w:eastAsia="es-ES_tradnl"/>
    </w:rPr>
  </w:style>
  <w:style w:type="paragraph" w:styleId="Ttulo1">
    <w:name w:val="heading 1"/>
    <w:basedOn w:val="Normal"/>
    <w:link w:val="Ttulo1Car"/>
    <w:qFormat/>
    <w:rsid w:val="001B5265"/>
    <w:pPr>
      <w:spacing w:before="100" w:beforeAutospacing="1" w:after="100" w:afterAutospacing="1"/>
      <w:outlineLvl w:val="0"/>
    </w:pPr>
    <w:rPr>
      <w:rFonts w:eastAsiaTheme="minorHAnsi"/>
      <w:b/>
      <w:bCs/>
      <w:kern w:val="36"/>
      <w:sz w:val="48"/>
      <w:szCs w:val="48"/>
      <w:lang w:val="es-ES_tradnl"/>
    </w:rPr>
  </w:style>
  <w:style w:type="paragraph" w:styleId="Ttulo2">
    <w:name w:val="heading 2"/>
    <w:basedOn w:val="Normal"/>
    <w:next w:val="Normal"/>
    <w:link w:val="Ttulo2Car"/>
    <w:qFormat/>
    <w:rsid w:val="002A6ADA"/>
    <w:pPr>
      <w:keepNext/>
      <w:keepLines/>
      <w:spacing w:before="200" w:line="276" w:lineRule="auto"/>
      <w:outlineLvl w:val="1"/>
    </w:pPr>
    <w:rPr>
      <w:rFonts w:ascii="Cambria" w:eastAsia="Calibri" w:hAnsi="Cambria"/>
      <w:b/>
      <w:color w:val="4F81BD"/>
      <w:sz w:val="26"/>
      <w:szCs w:val="20"/>
      <w:lang w:val="en-US" w:eastAsia="ja-JP"/>
    </w:rPr>
  </w:style>
  <w:style w:type="paragraph" w:styleId="Ttulo3">
    <w:name w:val="heading 3"/>
    <w:basedOn w:val="Normal"/>
    <w:link w:val="Ttulo3Car"/>
    <w:uiPriority w:val="9"/>
    <w:qFormat/>
    <w:rsid w:val="002A6ADA"/>
    <w:pPr>
      <w:spacing w:beforeLines="1" w:afterLines="1"/>
      <w:outlineLvl w:val="2"/>
    </w:pPr>
    <w:rPr>
      <w:rFonts w:ascii="Times" w:eastAsia="Calibri" w:hAnsi="Times"/>
      <w:b/>
      <w:sz w:val="20"/>
      <w:szCs w:val="20"/>
      <w:lang w:val="en-US"/>
    </w:rPr>
  </w:style>
  <w:style w:type="paragraph" w:styleId="Ttulo4">
    <w:name w:val="heading 4"/>
    <w:basedOn w:val="Normal"/>
    <w:next w:val="Normal"/>
    <w:link w:val="Ttulo4Car"/>
    <w:qFormat/>
    <w:rsid w:val="002A6ADA"/>
    <w:pPr>
      <w:keepNext/>
      <w:keepLines/>
      <w:spacing w:before="200" w:line="276" w:lineRule="auto"/>
      <w:outlineLvl w:val="3"/>
    </w:pPr>
    <w:rPr>
      <w:rFonts w:ascii="Cambria" w:eastAsia="Calibri" w:hAnsi="Cambria"/>
      <w:b/>
      <w:i/>
      <w:color w:val="4F81BD"/>
      <w:sz w:val="20"/>
      <w:szCs w:val="20"/>
      <w:lang w:val="en-US" w:eastAsia="ja-JP"/>
    </w:rPr>
  </w:style>
  <w:style w:type="paragraph" w:styleId="Ttulo5">
    <w:name w:val="heading 5"/>
    <w:basedOn w:val="Normal"/>
    <w:next w:val="Normal"/>
    <w:link w:val="Ttulo5Car"/>
    <w:qFormat/>
    <w:rsid w:val="002A6ADA"/>
    <w:pPr>
      <w:keepNext/>
      <w:keepLines/>
      <w:spacing w:before="200" w:line="276" w:lineRule="auto"/>
      <w:outlineLvl w:val="4"/>
    </w:pPr>
    <w:rPr>
      <w:rFonts w:ascii="Cambria" w:eastAsia="Calibri" w:hAnsi="Cambria"/>
      <w:color w:val="243F60"/>
      <w:sz w:val="20"/>
      <w:szCs w:val="20"/>
      <w:lang w:val="en-US" w:eastAsia="ja-JP"/>
    </w:rPr>
  </w:style>
  <w:style w:type="paragraph" w:styleId="Ttulo6">
    <w:name w:val="heading 6"/>
    <w:basedOn w:val="Normal"/>
    <w:next w:val="Normal"/>
    <w:link w:val="Ttulo6Car"/>
    <w:qFormat/>
    <w:rsid w:val="002A6ADA"/>
    <w:pPr>
      <w:keepNext/>
      <w:jc w:val="both"/>
      <w:outlineLvl w:val="5"/>
    </w:pPr>
    <w:rPr>
      <w:rFonts w:eastAsia="Calibri"/>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70D6"/>
    <w:pPr>
      <w:tabs>
        <w:tab w:val="center" w:pos="4252"/>
        <w:tab w:val="right" w:pos="8504"/>
      </w:tabs>
    </w:pPr>
    <w:rPr>
      <w:rFonts w:eastAsia="Calibri"/>
      <w:szCs w:val="20"/>
    </w:rPr>
  </w:style>
  <w:style w:type="character" w:customStyle="1" w:styleId="PiedepginaCar">
    <w:name w:val="Pie de página Car"/>
    <w:basedOn w:val="Fuentedeprrafopredeter"/>
    <w:link w:val="Piedepgina"/>
    <w:rsid w:val="00C270D6"/>
    <w:rPr>
      <w:rFonts w:ascii="Times New Roman" w:eastAsia="Calibri" w:hAnsi="Times New Roman" w:cs="Times New Roman"/>
      <w:szCs w:val="20"/>
      <w:lang w:eastAsia="es-ES_tradnl"/>
    </w:rPr>
  </w:style>
  <w:style w:type="paragraph" w:customStyle="1" w:styleId="EndNoteBibliography">
    <w:name w:val="EndNote Bibliography"/>
    <w:basedOn w:val="Normal"/>
    <w:link w:val="EndNoteBibliographyCar"/>
    <w:rsid w:val="00C270D6"/>
    <w:rPr>
      <w:rFonts w:ascii="Arial" w:eastAsia="Calibri" w:hAnsi="Arial"/>
      <w:noProof/>
      <w:szCs w:val="20"/>
    </w:rPr>
  </w:style>
  <w:style w:type="character" w:customStyle="1" w:styleId="EndNoteBibliographyCar">
    <w:name w:val="EndNote Bibliography Car"/>
    <w:link w:val="EndNoteBibliography"/>
    <w:locked/>
    <w:rsid w:val="00C270D6"/>
    <w:rPr>
      <w:rFonts w:ascii="Arial" w:eastAsia="Calibri" w:hAnsi="Arial" w:cs="Times New Roman"/>
      <w:noProof/>
      <w:szCs w:val="20"/>
      <w:lang w:eastAsia="es-ES_tradnl"/>
    </w:rPr>
  </w:style>
  <w:style w:type="character" w:styleId="Hipervnculo">
    <w:name w:val="Hyperlink"/>
    <w:basedOn w:val="Fuentedeprrafopredeter"/>
    <w:uiPriority w:val="99"/>
    <w:rsid w:val="00C270D6"/>
    <w:rPr>
      <w:rFonts w:cs="Times New Roman"/>
      <w:color w:val="0000FF"/>
      <w:u w:val="single"/>
    </w:rPr>
  </w:style>
  <w:style w:type="paragraph" w:customStyle="1" w:styleId="EndNoteBibliographyTitle">
    <w:name w:val="EndNote Bibliography Title"/>
    <w:basedOn w:val="Normal"/>
    <w:link w:val="EndNoteBibliographyTitleCar"/>
    <w:rsid w:val="00C270D6"/>
    <w:pPr>
      <w:jc w:val="center"/>
    </w:pPr>
    <w:rPr>
      <w:rFonts w:ascii="Arial" w:eastAsia="Calibri" w:hAnsi="Arial"/>
      <w:noProof/>
      <w:szCs w:val="20"/>
    </w:rPr>
  </w:style>
  <w:style w:type="character" w:customStyle="1" w:styleId="EndNoteBibliographyTitleCar">
    <w:name w:val="EndNote Bibliography Title Car"/>
    <w:link w:val="EndNoteBibliographyTitle"/>
    <w:locked/>
    <w:rsid w:val="00C270D6"/>
    <w:rPr>
      <w:rFonts w:ascii="Arial" w:eastAsia="Calibri" w:hAnsi="Arial" w:cs="Times New Roman"/>
      <w:noProof/>
      <w:szCs w:val="20"/>
      <w:lang w:eastAsia="es-ES_tradnl"/>
    </w:rPr>
  </w:style>
  <w:style w:type="character" w:customStyle="1" w:styleId="Mencinsinresolver1">
    <w:name w:val="Mención sin resolver1"/>
    <w:basedOn w:val="Fuentedeprrafopredeter"/>
    <w:uiPriority w:val="99"/>
    <w:semiHidden/>
    <w:unhideWhenUsed/>
    <w:rsid w:val="00CE12D1"/>
    <w:rPr>
      <w:color w:val="605E5C"/>
      <w:shd w:val="clear" w:color="auto" w:fill="E1DFDD"/>
    </w:rPr>
  </w:style>
  <w:style w:type="character" w:styleId="Hipervnculovisitado">
    <w:name w:val="FollowedHyperlink"/>
    <w:basedOn w:val="Fuentedeprrafopredeter"/>
    <w:uiPriority w:val="99"/>
    <w:semiHidden/>
    <w:unhideWhenUsed/>
    <w:rsid w:val="00CE12D1"/>
    <w:rPr>
      <w:color w:val="954F72" w:themeColor="followedHyperlink"/>
      <w:u w:val="single"/>
    </w:rPr>
  </w:style>
  <w:style w:type="character" w:customStyle="1" w:styleId="Ttulo1Car">
    <w:name w:val="Título 1 Car"/>
    <w:basedOn w:val="Fuentedeprrafopredeter"/>
    <w:link w:val="Ttulo1"/>
    <w:rsid w:val="001B5265"/>
    <w:rPr>
      <w:rFonts w:ascii="Times New Roman" w:hAnsi="Times New Roman" w:cs="Times New Roman"/>
      <w:b/>
      <w:bCs/>
      <w:kern w:val="36"/>
      <w:sz w:val="48"/>
      <w:szCs w:val="48"/>
      <w:lang w:val="es-ES_tradnl" w:eastAsia="es-ES_tradnl"/>
    </w:rPr>
  </w:style>
  <w:style w:type="paragraph" w:styleId="Encabezado">
    <w:name w:val="header"/>
    <w:basedOn w:val="Normal"/>
    <w:link w:val="EncabezadoCar"/>
    <w:rsid w:val="001B5265"/>
    <w:pPr>
      <w:tabs>
        <w:tab w:val="center" w:pos="4252"/>
        <w:tab w:val="right" w:pos="8504"/>
      </w:tabs>
    </w:pPr>
    <w:rPr>
      <w:rFonts w:eastAsia="Calibri"/>
      <w:szCs w:val="20"/>
    </w:rPr>
  </w:style>
  <w:style w:type="character" w:customStyle="1" w:styleId="EncabezadoCar">
    <w:name w:val="Encabezado Car"/>
    <w:basedOn w:val="Fuentedeprrafopredeter"/>
    <w:link w:val="Encabezado"/>
    <w:rsid w:val="001B5265"/>
    <w:rPr>
      <w:rFonts w:ascii="Times New Roman" w:eastAsia="Calibri" w:hAnsi="Times New Roman" w:cs="Times New Roman"/>
      <w:szCs w:val="20"/>
      <w:lang w:eastAsia="es-ES_tradnl"/>
    </w:rPr>
  </w:style>
  <w:style w:type="paragraph" w:styleId="Textodeglobo">
    <w:name w:val="Balloon Text"/>
    <w:basedOn w:val="Normal"/>
    <w:link w:val="TextodegloboCar"/>
    <w:unhideWhenUsed/>
    <w:rsid w:val="001B5265"/>
    <w:rPr>
      <w:sz w:val="18"/>
      <w:szCs w:val="18"/>
    </w:rPr>
  </w:style>
  <w:style w:type="character" w:customStyle="1" w:styleId="TextodegloboCar">
    <w:name w:val="Texto de globo Car"/>
    <w:basedOn w:val="Fuentedeprrafopredeter"/>
    <w:link w:val="Textodeglobo"/>
    <w:rsid w:val="001B5265"/>
    <w:rPr>
      <w:rFonts w:ascii="Times New Roman" w:eastAsia="Times New Roman" w:hAnsi="Times New Roman" w:cs="Times New Roman"/>
      <w:sz w:val="18"/>
      <w:szCs w:val="18"/>
      <w:lang w:eastAsia="es-ES_tradnl"/>
    </w:rPr>
  </w:style>
  <w:style w:type="character" w:styleId="Refdecomentario">
    <w:name w:val="annotation reference"/>
    <w:basedOn w:val="Fuentedeprrafopredeter"/>
    <w:uiPriority w:val="99"/>
    <w:unhideWhenUsed/>
    <w:rsid w:val="001B5265"/>
    <w:rPr>
      <w:sz w:val="18"/>
      <w:szCs w:val="18"/>
    </w:rPr>
  </w:style>
  <w:style w:type="paragraph" w:styleId="Textocomentario">
    <w:name w:val="annotation text"/>
    <w:basedOn w:val="Normal"/>
    <w:link w:val="TextocomentarioCar"/>
    <w:uiPriority w:val="99"/>
    <w:unhideWhenUsed/>
    <w:rsid w:val="001B5265"/>
  </w:style>
  <w:style w:type="character" w:customStyle="1" w:styleId="TextocomentarioCar">
    <w:name w:val="Texto comentario Car"/>
    <w:basedOn w:val="Fuentedeprrafopredeter"/>
    <w:link w:val="Textocomentario"/>
    <w:uiPriority w:val="99"/>
    <w:rsid w:val="001B5265"/>
    <w:rPr>
      <w:rFonts w:ascii="Times New Roman" w:eastAsia="Times New Roman" w:hAnsi="Times New Roman" w:cs="Times New Roman"/>
      <w:lang w:eastAsia="es-ES_tradnl"/>
    </w:rPr>
  </w:style>
  <w:style w:type="paragraph" w:styleId="Asuntodelcomentario">
    <w:name w:val="annotation subject"/>
    <w:basedOn w:val="Textocomentario"/>
    <w:next w:val="Textocomentario"/>
    <w:link w:val="AsuntodelcomentarioCar"/>
    <w:unhideWhenUsed/>
    <w:rsid w:val="001B5265"/>
    <w:rPr>
      <w:b/>
      <w:bCs/>
      <w:sz w:val="20"/>
      <w:szCs w:val="20"/>
    </w:rPr>
  </w:style>
  <w:style w:type="character" w:customStyle="1" w:styleId="AsuntodelcomentarioCar">
    <w:name w:val="Asunto del comentario Car"/>
    <w:basedOn w:val="TextocomentarioCar"/>
    <w:link w:val="Asuntodelcomentario"/>
    <w:rsid w:val="001B5265"/>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1B5265"/>
    <w:rPr>
      <w:rFonts w:ascii="Times New Roman" w:eastAsia="Times New Roman" w:hAnsi="Times New Roman" w:cs="Times New Roman"/>
      <w:lang w:eastAsia="es-ES_tradnl"/>
    </w:rPr>
  </w:style>
  <w:style w:type="paragraph" w:styleId="Mapadeldocumento">
    <w:name w:val="Document Map"/>
    <w:basedOn w:val="Normal"/>
    <w:link w:val="MapadeldocumentoCar"/>
    <w:uiPriority w:val="99"/>
    <w:semiHidden/>
    <w:unhideWhenUsed/>
    <w:rsid w:val="001B5265"/>
  </w:style>
  <w:style w:type="character" w:customStyle="1" w:styleId="MapadeldocumentoCar">
    <w:name w:val="Mapa del documento Car"/>
    <w:basedOn w:val="Fuentedeprrafopredeter"/>
    <w:link w:val="Mapadeldocumento"/>
    <w:uiPriority w:val="99"/>
    <w:semiHidden/>
    <w:rsid w:val="001B5265"/>
    <w:rPr>
      <w:rFonts w:ascii="Times New Roman" w:eastAsia="Times New Roman" w:hAnsi="Times New Roman" w:cs="Times New Roman"/>
      <w:lang w:eastAsia="es-ES_tradnl"/>
    </w:rPr>
  </w:style>
  <w:style w:type="paragraph" w:styleId="NormalWeb">
    <w:name w:val="Normal (Web)"/>
    <w:basedOn w:val="Normal"/>
    <w:link w:val="NormalWebCar"/>
    <w:uiPriority w:val="99"/>
    <w:unhideWhenUsed/>
    <w:rsid w:val="001B5265"/>
    <w:pPr>
      <w:spacing w:before="100" w:beforeAutospacing="1" w:after="100" w:afterAutospacing="1"/>
    </w:pPr>
    <w:rPr>
      <w:rFonts w:eastAsiaTheme="minorHAnsi"/>
      <w:lang w:val="es-ES_tradnl"/>
    </w:rPr>
  </w:style>
  <w:style w:type="character" w:customStyle="1" w:styleId="titledefault">
    <w:name w:val="title_default"/>
    <w:basedOn w:val="Fuentedeprrafopredeter"/>
    <w:rsid w:val="001B5265"/>
  </w:style>
  <w:style w:type="character" w:customStyle="1" w:styleId="apple-converted-space">
    <w:name w:val="apple-converted-space"/>
    <w:basedOn w:val="Fuentedeprrafopredeter"/>
    <w:rsid w:val="001B5265"/>
  </w:style>
  <w:style w:type="paragraph" w:customStyle="1" w:styleId="p1">
    <w:name w:val="p1"/>
    <w:basedOn w:val="Normal"/>
    <w:rsid w:val="001B5265"/>
    <w:rPr>
      <w:rFonts w:ascii="Helvetica" w:eastAsiaTheme="minorHAnsi" w:hAnsi="Helvetica"/>
      <w:sz w:val="13"/>
      <w:szCs w:val="13"/>
      <w:lang w:val="es-ES_tradnl"/>
    </w:rPr>
  </w:style>
  <w:style w:type="paragraph" w:customStyle="1" w:styleId="p2">
    <w:name w:val="p2"/>
    <w:basedOn w:val="Normal"/>
    <w:rsid w:val="001B5265"/>
    <w:rPr>
      <w:rFonts w:ascii="Helvetica" w:eastAsiaTheme="minorHAnsi" w:hAnsi="Helvetica"/>
      <w:sz w:val="14"/>
      <w:szCs w:val="14"/>
      <w:lang w:val="es-ES_tradnl"/>
    </w:rPr>
  </w:style>
  <w:style w:type="paragraph" w:customStyle="1" w:styleId="p3">
    <w:name w:val="p3"/>
    <w:basedOn w:val="Normal"/>
    <w:rsid w:val="001B5265"/>
    <w:rPr>
      <w:rFonts w:ascii="Helvetica" w:eastAsiaTheme="minorHAnsi" w:hAnsi="Helvetica"/>
      <w:lang w:val="es-ES_tradnl"/>
    </w:rPr>
  </w:style>
  <w:style w:type="paragraph" w:customStyle="1" w:styleId="p4">
    <w:name w:val="p4"/>
    <w:basedOn w:val="Normal"/>
    <w:rsid w:val="001B5265"/>
    <w:rPr>
      <w:rFonts w:ascii="Helvetica" w:eastAsiaTheme="minorHAnsi" w:hAnsi="Helvetica"/>
      <w:sz w:val="15"/>
      <w:szCs w:val="15"/>
      <w:lang w:val="es-ES_tradnl"/>
    </w:rPr>
  </w:style>
  <w:style w:type="character" w:customStyle="1" w:styleId="s1">
    <w:name w:val="s1"/>
    <w:basedOn w:val="Fuentedeprrafopredeter"/>
    <w:rsid w:val="001B5265"/>
    <w:rPr>
      <w:rFonts w:ascii="Helvetica" w:hAnsi="Helvetica" w:hint="default"/>
      <w:sz w:val="11"/>
      <w:szCs w:val="11"/>
    </w:rPr>
  </w:style>
  <w:style w:type="paragraph" w:styleId="HTMLconformatoprevio">
    <w:name w:val="HTML Preformatted"/>
    <w:basedOn w:val="Normal"/>
    <w:link w:val="HTMLconformatoprevioCar"/>
    <w:uiPriority w:val="99"/>
    <w:rsid w:val="0017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s-ES_tradnl"/>
    </w:rPr>
  </w:style>
  <w:style w:type="character" w:customStyle="1" w:styleId="HTMLconformatoprevioCar">
    <w:name w:val="HTML con formato previo Car"/>
    <w:basedOn w:val="Fuentedeprrafopredeter"/>
    <w:link w:val="HTMLconformatoprevio"/>
    <w:uiPriority w:val="99"/>
    <w:rsid w:val="00176A61"/>
    <w:rPr>
      <w:rFonts w:ascii="Courier New" w:eastAsia="Calibri" w:hAnsi="Courier New" w:cs="Times New Roman"/>
      <w:sz w:val="20"/>
      <w:szCs w:val="20"/>
      <w:lang w:val="es-ES_tradnl" w:eastAsia="es-ES_tradnl"/>
    </w:rPr>
  </w:style>
  <w:style w:type="paragraph" w:styleId="Prrafodelista">
    <w:name w:val="List Paragraph"/>
    <w:basedOn w:val="Normal"/>
    <w:qFormat/>
    <w:rsid w:val="00176A61"/>
    <w:pPr>
      <w:ind w:left="720"/>
      <w:contextualSpacing/>
    </w:pPr>
  </w:style>
  <w:style w:type="character" w:customStyle="1" w:styleId="jrnl">
    <w:name w:val="jrnl"/>
    <w:rsid w:val="002C1648"/>
  </w:style>
  <w:style w:type="paragraph" w:customStyle="1" w:styleId="Puesto1">
    <w:name w:val="Puesto1"/>
    <w:basedOn w:val="Normal"/>
    <w:uiPriority w:val="99"/>
    <w:rsid w:val="002C1648"/>
    <w:pPr>
      <w:spacing w:before="100" w:beforeAutospacing="1" w:after="100" w:afterAutospacing="1"/>
    </w:pPr>
  </w:style>
  <w:style w:type="paragraph" w:styleId="Textoindependiente">
    <w:name w:val="Body Text"/>
    <w:basedOn w:val="Normal"/>
    <w:link w:val="TextoindependienteCar"/>
    <w:semiHidden/>
    <w:rsid w:val="002C1648"/>
    <w:pPr>
      <w:spacing w:after="120"/>
    </w:pPr>
    <w:rPr>
      <w:rFonts w:eastAsia="Calibri"/>
      <w:szCs w:val="20"/>
    </w:rPr>
  </w:style>
  <w:style w:type="character" w:customStyle="1" w:styleId="TextoindependienteCar">
    <w:name w:val="Texto independiente Car"/>
    <w:basedOn w:val="Fuentedeprrafopredeter"/>
    <w:link w:val="Textoindependiente"/>
    <w:semiHidden/>
    <w:rsid w:val="002C1648"/>
    <w:rPr>
      <w:rFonts w:ascii="Times New Roman" w:eastAsia="Calibri" w:hAnsi="Times New Roman" w:cs="Times New Roman"/>
      <w:szCs w:val="20"/>
      <w:lang w:eastAsia="es-ES_tradnl"/>
    </w:rPr>
  </w:style>
  <w:style w:type="character" w:customStyle="1" w:styleId="highlight">
    <w:name w:val="highlight"/>
    <w:rsid w:val="002C1648"/>
  </w:style>
  <w:style w:type="paragraph" w:styleId="Sinespaciado">
    <w:name w:val="No Spacing"/>
    <w:uiPriority w:val="99"/>
    <w:qFormat/>
    <w:rsid w:val="00012AA6"/>
    <w:rPr>
      <w:rFonts w:ascii="Calibri" w:eastAsia="Calibri" w:hAnsi="Calibri" w:cs="Times New Roman"/>
      <w:sz w:val="22"/>
      <w:szCs w:val="22"/>
    </w:rPr>
  </w:style>
  <w:style w:type="paragraph" w:customStyle="1" w:styleId="Default">
    <w:name w:val="Default"/>
    <w:link w:val="DefaultCar"/>
    <w:rsid w:val="00CF353E"/>
    <w:pPr>
      <w:autoSpaceDE w:val="0"/>
      <w:autoSpaceDN w:val="0"/>
      <w:adjustRightInd w:val="0"/>
    </w:pPr>
    <w:rPr>
      <w:rFonts w:ascii="Cambria" w:hAnsi="Cambria" w:cs="Cambria"/>
      <w:color w:val="000000"/>
      <w:lang w:val="en-US"/>
    </w:rPr>
  </w:style>
  <w:style w:type="character" w:customStyle="1" w:styleId="Ttulo2Car">
    <w:name w:val="Título 2 Car"/>
    <w:basedOn w:val="Fuentedeprrafopredeter"/>
    <w:link w:val="Ttulo2"/>
    <w:rsid w:val="002A6ADA"/>
    <w:rPr>
      <w:rFonts w:ascii="Cambria" w:eastAsia="Calibri" w:hAnsi="Cambria" w:cs="Times New Roman"/>
      <w:b/>
      <w:color w:val="4F81BD"/>
      <w:sz w:val="26"/>
      <w:szCs w:val="20"/>
      <w:lang w:val="en-US" w:eastAsia="ja-JP"/>
    </w:rPr>
  </w:style>
  <w:style w:type="character" w:customStyle="1" w:styleId="Ttulo3Car">
    <w:name w:val="Título 3 Car"/>
    <w:basedOn w:val="Fuentedeprrafopredeter"/>
    <w:link w:val="Ttulo3"/>
    <w:uiPriority w:val="9"/>
    <w:rsid w:val="002A6ADA"/>
    <w:rPr>
      <w:rFonts w:ascii="Times" w:eastAsia="Calibri" w:hAnsi="Times" w:cs="Times New Roman"/>
      <w:b/>
      <w:sz w:val="20"/>
      <w:szCs w:val="20"/>
      <w:lang w:val="en-US" w:eastAsia="es-ES_tradnl"/>
    </w:rPr>
  </w:style>
  <w:style w:type="character" w:customStyle="1" w:styleId="Ttulo4Car">
    <w:name w:val="Título 4 Car"/>
    <w:basedOn w:val="Fuentedeprrafopredeter"/>
    <w:link w:val="Ttulo4"/>
    <w:rsid w:val="002A6ADA"/>
    <w:rPr>
      <w:rFonts w:ascii="Cambria" w:eastAsia="Calibri" w:hAnsi="Cambria" w:cs="Times New Roman"/>
      <w:b/>
      <w:i/>
      <w:color w:val="4F81BD"/>
      <w:sz w:val="20"/>
      <w:szCs w:val="20"/>
      <w:lang w:val="en-US" w:eastAsia="ja-JP"/>
    </w:rPr>
  </w:style>
  <w:style w:type="character" w:customStyle="1" w:styleId="Ttulo5Car">
    <w:name w:val="Título 5 Car"/>
    <w:basedOn w:val="Fuentedeprrafopredeter"/>
    <w:link w:val="Ttulo5"/>
    <w:rsid w:val="002A6ADA"/>
    <w:rPr>
      <w:rFonts w:ascii="Cambria" w:eastAsia="Calibri" w:hAnsi="Cambria" w:cs="Times New Roman"/>
      <w:color w:val="243F60"/>
      <w:sz w:val="20"/>
      <w:szCs w:val="20"/>
      <w:lang w:val="en-US" w:eastAsia="ja-JP"/>
    </w:rPr>
  </w:style>
  <w:style w:type="character" w:customStyle="1" w:styleId="Ttulo6Car">
    <w:name w:val="Título 6 Car"/>
    <w:basedOn w:val="Fuentedeprrafopredeter"/>
    <w:link w:val="Ttulo6"/>
    <w:rsid w:val="002A6ADA"/>
    <w:rPr>
      <w:rFonts w:ascii="Times New Roman" w:eastAsia="Calibri" w:hAnsi="Times New Roman" w:cs="Times New Roman"/>
      <w:b/>
      <w:sz w:val="20"/>
      <w:szCs w:val="20"/>
      <w:lang w:val="es-ES_tradnl" w:eastAsia="es-ES_tradnl"/>
    </w:rPr>
  </w:style>
  <w:style w:type="paragraph" w:styleId="Textoindependiente3">
    <w:name w:val="Body Text 3"/>
    <w:basedOn w:val="Normal"/>
    <w:link w:val="Textoindependiente3Car"/>
    <w:rsid w:val="002A6ADA"/>
    <w:pPr>
      <w:jc w:val="both"/>
    </w:pPr>
    <w:rPr>
      <w:rFonts w:eastAsia="Calibri"/>
      <w:sz w:val="20"/>
      <w:szCs w:val="20"/>
      <w:lang w:val="es-ES_tradnl"/>
    </w:rPr>
  </w:style>
  <w:style w:type="character" w:customStyle="1" w:styleId="Textoindependiente3Car">
    <w:name w:val="Texto independiente 3 Car"/>
    <w:basedOn w:val="Fuentedeprrafopredeter"/>
    <w:link w:val="Textoindependiente3"/>
    <w:rsid w:val="002A6ADA"/>
    <w:rPr>
      <w:rFonts w:ascii="Times New Roman" w:eastAsia="Calibri" w:hAnsi="Times New Roman" w:cs="Times New Roman"/>
      <w:sz w:val="20"/>
      <w:szCs w:val="20"/>
      <w:lang w:val="es-ES_tradnl" w:eastAsia="es-ES_tradnl"/>
    </w:rPr>
  </w:style>
  <w:style w:type="character" w:customStyle="1" w:styleId="DefaultCar">
    <w:name w:val="Default Car"/>
    <w:link w:val="Default"/>
    <w:uiPriority w:val="99"/>
    <w:locked/>
    <w:rsid w:val="002A6ADA"/>
    <w:rPr>
      <w:rFonts w:ascii="Cambria" w:hAnsi="Cambria" w:cs="Cambria"/>
      <w:color w:val="000000"/>
      <w:lang w:val="en-US"/>
    </w:rPr>
  </w:style>
  <w:style w:type="paragraph" w:customStyle="1" w:styleId="Standard">
    <w:name w:val="Standard"/>
    <w:rsid w:val="002A6ADA"/>
    <w:pPr>
      <w:suppressAutoHyphens/>
      <w:textAlignment w:val="baseline"/>
    </w:pPr>
    <w:rPr>
      <w:rFonts w:ascii="Times New Roman" w:eastAsia="Times New Roman" w:hAnsi="Times New Roman" w:cs="Times New Roman"/>
      <w:kern w:val="1"/>
      <w:lang w:eastAsia="ar-SA"/>
    </w:rPr>
  </w:style>
  <w:style w:type="character" w:customStyle="1" w:styleId="NormalWebCar">
    <w:name w:val="Normal (Web) Car"/>
    <w:link w:val="NormalWeb"/>
    <w:uiPriority w:val="99"/>
    <w:locked/>
    <w:rsid w:val="002A6ADA"/>
    <w:rPr>
      <w:rFonts w:ascii="Times New Roman" w:hAnsi="Times New Roman" w:cs="Times New Roman"/>
      <w:lang w:val="es-ES_tradnl" w:eastAsia="es-ES_tradnl"/>
    </w:rPr>
  </w:style>
  <w:style w:type="character" w:customStyle="1" w:styleId="TextocomentarioCar1">
    <w:name w:val="Texto comentario Car1"/>
    <w:basedOn w:val="Fuentedeprrafopredeter"/>
    <w:uiPriority w:val="99"/>
    <w:locked/>
    <w:rsid w:val="002A6ADA"/>
    <w:rPr>
      <w:rFonts w:ascii="Calibri" w:eastAsia="SimSun" w:hAnsi="Calibri" w:cs="Times New Roman"/>
      <w:kern w:val="1"/>
      <w:sz w:val="20"/>
      <w:szCs w:val="20"/>
      <w:lang w:eastAsia="ar-SA"/>
    </w:rPr>
  </w:style>
  <w:style w:type="table" w:styleId="Tablaconcuadrcula">
    <w:name w:val="Table Grid"/>
    <w:basedOn w:val="Tablanormal"/>
    <w:uiPriority w:val="59"/>
    <w:rsid w:val="002A6ADA"/>
    <w:rPr>
      <w:rFonts w:ascii="Cambria" w:eastAsia="MS Mincho" w:hAnsi="Cambria"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6ADA"/>
    <w:rPr>
      <w:rFonts w:cs="Times New Roman"/>
    </w:rPr>
  </w:style>
  <w:style w:type="paragraph" w:customStyle="1" w:styleId="Listamulticolor-nfasis11">
    <w:name w:val="Lista multicolor - Énfasis 11"/>
    <w:basedOn w:val="Normal"/>
    <w:uiPriority w:val="34"/>
    <w:qFormat/>
    <w:rsid w:val="002A6ADA"/>
    <w:pPr>
      <w:spacing w:after="200" w:line="276" w:lineRule="auto"/>
      <w:ind w:left="720"/>
    </w:pPr>
    <w:rPr>
      <w:rFonts w:ascii="Calibri" w:hAnsi="Calibri"/>
      <w:sz w:val="22"/>
      <w:szCs w:val="22"/>
      <w:lang w:val="es-ES_tradnl" w:eastAsia="zh-TW"/>
    </w:rPr>
  </w:style>
  <w:style w:type="paragraph" w:customStyle="1" w:styleId="Listavistosa-nfasis11">
    <w:name w:val="Lista vistosa - Énfasis 11"/>
    <w:basedOn w:val="Normal"/>
    <w:uiPriority w:val="34"/>
    <w:qFormat/>
    <w:rsid w:val="002A6ADA"/>
    <w:pPr>
      <w:ind w:left="720"/>
    </w:pPr>
  </w:style>
  <w:style w:type="paragraph" w:styleId="Textonotaalfinal">
    <w:name w:val="endnote text"/>
    <w:basedOn w:val="Normal"/>
    <w:link w:val="TextonotaalfinalCar"/>
    <w:uiPriority w:val="99"/>
    <w:rsid w:val="002A6ADA"/>
    <w:rPr>
      <w:rFonts w:eastAsia="Calibri"/>
      <w:szCs w:val="20"/>
      <w:lang w:eastAsia="ja-JP"/>
    </w:rPr>
  </w:style>
  <w:style w:type="character" w:customStyle="1" w:styleId="TextonotaalfinalCar">
    <w:name w:val="Texto nota al final Car"/>
    <w:basedOn w:val="Fuentedeprrafopredeter"/>
    <w:link w:val="Textonotaalfinal"/>
    <w:uiPriority w:val="99"/>
    <w:rsid w:val="002A6ADA"/>
    <w:rPr>
      <w:rFonts w:ascii="Times New Roman" w:eastAsia="Calibri" w:hAnsi="Times New Roman" w:cs="Times New Roman"/>
      <w:szCs w:val="20"/>
      <w:lang w:eastAsia="ja-JP"/>
    </w:rPr>
  </w:style>
  <w:style w:type="character" w:styleId="Refdenotaalfinal">
    <w:name w:val="endnote reference"/>
    <w:basedOn w:val="Fuentedeprrafopredeter"/>
    <w:uiPriority w:val="99"/>
    <w:rsid w:val="002A6ADA"/>
    <w:rPr>
      <w:rFonts w:cs="Times New Roman"/>
      <w:vertAlign w:val="superscript"/>
    </w:rPr>
  </w:style>
  <w:style w:type="paragraph" w:customStyle="1" w:styleId="desc2">
    <w:name w:val="desc2"/>
    <w:basedOn w:val="Normal"/>
    <w:rsid w:val="002A6ADA"/>
    <w:rPr>
      <w:sz w:val="26"/>
      <w:szCs w:val="26"/>
    </w:rPr>
  </w:style>
  <w:style w:type="paragraph" w:customStyle="1" w:styleId="desc">
    <w:name w:val="desc"/>
    <w:basedOn w:val="Normal"/>
    <w:rsid w:val="002A6ADA"/>
    <w:pPr>
      <w:spacing w:before="100" w:beforeAutospacing="1" w:after="100" w:afterAutospacing="1"/>
    </w:pPr>
  </w:style>
  <w:style w:type="character" w:customStyle="1" w:styleId="elsevierarticleh4">
    <w:name w:val="elsevierarticle_h4"/>
    <w:rsid w:val="002A6ADA"/>
  </w:style>
  <w:style w:type="character" w:customStyle="1" w:styleId="AsuntodelcomentarioCar1">
    <w:name w:val="Asunto del comentario Car1"/>
    <w:basedOn w:val="TextocomentarioCar"/>
    <w:uiPriority w:val="99"/>
    <w:semiHidden/>
    <w:rsid w:val="002A6ADA"/>
    <w:rPr>
      <w:rFonts w:ascii="Times New Roman" w:eastAsia="Times New Roman" w:hAnsi="Times New Roman" w:cs="Times New Roman"/>
      <w:b/>
      <w:bCs/>
      <w:sz w:val="20"/>
      <w:szCs w:val="20"/>
      <w:lang w:eastAsia="es-ES_tradnl"/>
    </w:rPr>
  </w:style>
  <w:style w:type="character" w:customStyle="1" w:styleId="CommentSubjectChar1">
    <w:name w:val="Comment Subject Char1"/>
    <w:basedOn w:val="TextocomentarioCar1"/>
    <w:uiPriority w:val="99"/>
    <w:semiHidden/>
    <w:rsid w:val="002A6ADA"/>
    <w:rPr>
      <w:rFonts w:ascii="Times New Roman" w:eastAsia="SimSun" w:hAnsi="Times New Roman" w:cs="Times New Roman"/>
      <w:b/>
      <w:kern w:val="1"/>
      <w:sz w:val="20"/>
      <w:szCs w:val="20"/>
      <w:lang w:eastAsia="ar-SA"/>
    </w:rPr>
  </w:style>
  <w:style w:type="table" w:customStyle="1" w:styleId="Tablaconcuadrcula1">
    <w:name w:val="Tabla con cuadrícula1"/>
    <w:uiPriority w:val="59"/>
    <w:rsid w:val="002A6ADA"/>
    <w:rPr>
      <w:rFonts w:ascii="Calibri" w:eastAsia="Yu Mincho"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2A6ADA"/>
    <w:rPr>
      <w:rFonts w:ascii="Calibri" w:eastAsia="Calibri" w:hAnsi="Calibri"/>
      <w:sz w:val="20"/>
      <w:szCs w:val="20"/>
      <w:lang w:eastAsia="ja-JP"/>
    </w:rPr>
  </w:style>
  <w:style w:type="character" w:customStyle="1" w:styleId="TextonotapieCar">
    <w:name w:val="Texto nota pie Car"/>
    <w:basedOn w:val="Fuentedeprrafopredeter"/>
    <w:link w:val="Textonotapie"/>
    <w:uiPriority w:val="99"/>
    <w:semiHidden/>
    <w:rsid w:val="002A6ADA"/>
    <w:rPr>
      <w:rFonts w:ascii="Calibri" w:eastAsia="Calibri" w:hAnsi="Calibri" w:cs="Times New Roman"/>
      <w:sz w:val="20"/>
      <w:szCs w:val="20"/>
      <w:lang w:eastAsia="ja-JP"/>
    </w:rPr>
  </w:style>
  <w:style w:type="character" w:styleId="Refdenotaalpie">
    <w:name w:val="footnote reference"/>
    <w:basedOn w:val="Fuentedeprrafopredeter"/>
    <w:uiPriority w:val="99"/>
    <w:semiHidden/>
    <w:rsid w:val="002A6ADA"/>
    <w:rPr>
      <w:rFonts w:cs="Times New Roman"/>
      <w:vertAlign w:val="superscript"/>
    </w:rPr>
  </w:style>
  <w:style w:type="table" w:customStyle="1" w:styleId="Tablaconcuadrcula11">
    <w:name w:val="Tabla con cuadrícula11"/>
    <w:uiPriority w:val="59"/>
    <w:rsid w:val="002A6ADA"/>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2A6A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2A6A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7">
    <w:name w:val="xl67"/>
    <w:basedOn w:val="Normal"/>
    <w:rsid w:val="002A6AD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68">
    <w:name w:val="xl68"/>
    <w:basedOn w:val="Normal"/>
    <w:rsid w:val="002A6ADA"/>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2A6A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style>
  <w:style w:type="paragraph" w:customStyle="1" w:styleId="xl70">
    <w:name w:val="xl70"/>
    <w:basedOn w:val="Normal"/>
    <w:rsid w:val="002A6AD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style>
  <w:style w:type="paragraph" w:customStyle="1" w:styleId="xl71">
    <w:name w:val="xl71"/>
    <w:basedOn w:val="Normal"/>
    <w:rsid w:val="002A6ADA"/>
    <w:pPr>
      <w:shd w:val="clear" w:color="000000" w:fill="7030A0"/>
      <w:spacing w:before="100" w:beforeAutospacing="1" w:after="100" w:afterAutospacing="1"/>
    </w:pPr>
  </w:style>
  <w:style w:type="paragraph" w:customStyle="1" w:styleId="xl72">
    <w:name w:val="xl72"/>
    <w:basedOn w:val="Normal"/>
    <w:rsid w:val="002A6ADA"/>
    <w:pPr>
      <w:pBdr>
        <w:top w:val="single" w:sz="4" w:space="0" w:color="auto"/>
        <w:left w:val="single" w:sz="4" w:space="0" w:color="auto"/>
        <w:right w:val="single" w:sz="4" w:space="0" w:color="auto"/>
      </w:pBdr>
      <w:shd w:val="clear" w:color="000000" w:fill="FF0000"/>
      <w:spacing w:before="100" w:beforeAutospacing="1" w:after="100" w:afterAutospacing="1"/>
    </w:pPr>
  </w:style>
  <w:style w:type="paragraph" w:customStyle="1" w:styleId="xl73">
    <w:name w:val="xl73"/>
    <w:basedOn w:val="Normal"/>
    <w:rsid w:val="002A6ADA"/>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2A6ADA"/>
    <w:pPr>
      <w:pBdr>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2A6ADA"/>
    <w:pPr>
      <w:pBdr>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76">
    <w:name w:val="xl76"/>
    <w:basedOn w:val="Normal"/>
    <w:rsid w:val="002A6AD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7">
    <w:name w:val="xl77"/>
    <w:basedOn w:val="Normal"/>
    <w:rsid w:val="002A6ADA"/>
    <w:pPr>
      <w:pBdr>
        <w:right w:val="single" w:sz="4" w:space="0" w:color="auto"/>
      </w:pBdr>
      <w:spacing w:before="100" w:beforeAutospacing="1" w:after="100" w:afterAutospacing="1"/>
    </w:pPr>
  </w:style>
  <w:style w:type="paragraph" w:customStyle="1" w:styleId="xl78">
    <w:name w:val="xl78"/>
    <w:basedOn w:val="Normal"/>
    <w:rsid w:val="002A6ADA"/>
    <w:pPr>
      <w:shd w:val="clear" w:color="000000" w:fill="FFFF00"/>
      <w:spacing w:before="100" w:beforeAutospacing="1" w:after="100" w:afterAutospacing="1"/>
    </w:pPr>
  </w:style>
  <w:style w:type="paragraph" w:customStyle="1" w:styleId="xl79">
    <w:name w:val="xl79"/>
    <w:basedOn w:val="Normal"/>
    <w:rsid w:val="002A6ADA"/>
    <w:pPr>
      <w:shd w:val="clear" w:color="000000" w:fill="00B0F0"/>
      <w:spacing w:before="100" w:beforeAutospacing="1" w:after="100" w:afterAutospacing="1"/>
    </w:pPr>
  </w:style>
  <w:style w:type="paragraph" w:customStyle="1" w:styleId="xl80">
    <w:name w:val="xl80"/>
    <w:basedOn w:val="Normal"/>
    <w:rsid w:val="002A6ADA"/>
    <w:pPr>
      <w:shd w:val="clear" w:color="000000" w:fill="FFC000"/>
      <w:spacing w:before="100" w:beforeAutospacing="1" w:after="100" w:afterAutospacing="1"/>
    </w:pPr>
  </w:style>
  <w:style w:type="paragraph" w:customStyle="1" w:styleId="xl81">
    <w:name w:val="xl81"/>
    <w:basedOn w:val="Normal"/>
    <w:rsid w:val="002A6ADA"/>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Normal"/>
    <w:rsid w:val="002A6ADA"/>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3">
    <w:name w:val="xl83"/>
    <w:basedOn w:val="Normal"/>
    <w:rsid w:val="002A6ADA"/>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4">
    <w:name w:val="xl84"/>
    <w:basedOn w:val="Normal"/>
    <w:rsid w:val="002A6ADA"/>
    <w:pPr>
      <w:pBdr>
        <w:top w:val="single" w:sz="8" w:space="0" w:color="auto"/>
        <w:bottom w:val="single" w:sz="8" w:space="0" w:color="auto"/>
      </w:pBdr>
      <w:spacing w:before="100" w:beforeAutospacing="1" w:after="100" w:afterAutospacing="1"/>
    </w:pPr>
  </w:style>
  <w:style w:type="paragraph" w:customStyle="1" w:styleId="xl85">
    <w:name w:val="xl85"/>
    <w:basedOn w:val="Normal"/>
    <w:rsid w:val="002A6ADA"/>
    <w:pPr>
      <w:pBdr>
        <w:left w:val="single" w:sz="4" w:space="0" w:color="auto"/>
        <w:right w:val="single" w:sz="4" w:space="0" w:color="auto"/>
      </w:pBdr>
      <w:spacing w:before="100" w:beforeAutospacing="1" w:after="100" w:afterAutospacing="1"/>
    </w:pPr>
  </w:style>
  <w:style w:type="paragraph" w:customStyle="1" w:styleId="xl86">
    <w:name w:val="xl86"/>
    <w:basedOn w:val="Normal"/>
    <w:rsid w:val="002A6ADA"/>
    <w:pPr>
      <w:pBdr>
        <w:left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2A6A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88">
    <w:name w:val="xl88"/>
    <w:basedOn w:val="Normal"/>
    <w:rsid w:val="002A6A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Normal"/>
    <w:rsid w:val="002A6ADA"/>
    <w:pPr>
      <w:pBdr>
        <w:top w:val="single" w:sz="4" w:space="0" w:color="auto"/>
        <w:left w:val="single" w:sz="4" w:space="0" w:color="auto"/>
        <w:right w:val="single" w:sz="4" w:space="0" w:color="auto"/>
      </w:pBdr>
      <w:shd w:val="clear" w:color="000000" w:fill="00B0F0"/>
      <w:spacing w:before="100" w:beforeAutospacing="1" w:after="100" w:afterAutospacing="1"/>
    </w:pPr>
  </w:style>
  <w:style w:type="paragraph" w:customStyle="1" w:styleId="xl90">
    <w:name w:val="xl90"/>
    <w:basedOn w:val="Normal"/>
    <w:rsid w:val="002A6ADA"/>
    <w:pPr>
      <w:pBdr>
        <w:top w:val="single" w:sz="4" w:space="0" w:color="auto"/>
        <w:left w:val="single" w:sz="4" w:space="0" w:color="auto"/>
        <w:right w:val="single" w:sz="4" w:space="0" w:color="auto"/>
      </w:pBdr>
      <w:shd w:val="clear" w:color="000000" w:fill="FFC000"/>
      <w:spacing w:before="100" w:beforeAutospacing="1" w:after="100" w:afterAutospacing="1"/>
    </w:pPr>
  </w:style>
  <w:style w:type="paragraph" w:customStyle="1" w:styleId="xl91">
    <w:name w:val="xl91"/>
    <w:basedOn w:val="Normal"/>
    <w:rsid w:val="002A6ADA"/>
    <w:pPr>
      <w:pBdr>
        <w:top w:val="single" w:sz="4" w:space="0" w:color="auto"/>
        <w:left w:val="single" w:sz="4" w:space="0" w:color="auto"/>
        <w:right w:val="single" w:sz="4" w:space="0" w:color="auto"/>
      </w:pBdr>
      <w:shd w:val="clear" w:color="000000" w:fill="FFFF00"/>
      <w:spacing w:before="100" w:beforeAutospacing="1" w:after="100" w:afterAutospacing="1"/>
    </w:pPr>
  </w:style>
  <w:style w:type="paragraph" w:customStyle="1" w:styleId="xl92">
    <w:name w:val="xl92"/>
    <w:basedOn w:val="Normal"/>
    <w:rsid w:val="002A6ADA"/>
    <w:pPr>
      <w:pBdr>
        <w:top w:val="single" w:sz="4" w:space="0" w:color="auto"/>
        <w:left w:val="single" w:sz="4" w:space="0" w:color="auto"/>
        <w:right w:val="single" w:sz="4" w:space="0" w:color="auto"/>
      </w:pBdr>
      <w:shd w:val="clear" w:color="000000" w:fill="7030A0"/>
      <w:spacing w:before="100" w:beforeAutospacing="1" w:after="100" w:afterAutospacing="1"/>
    </w:pPr>
  </w:style>
  <w:style w:type="paragraph" w:customStyle="1" w:styleId="xl93">
    <w:name w:val="xl93"/>
    <w:basedOn w:val="Normal"/>
    <w:rsid w:val="002A6ADA"/>
    <w:pPr>
      <w:pBdr>
        <w:left w:val="single" w:sz="4" w:space="0" w:color="auto"/>
        <w:bottom w:val="single" w:sz="4" w:space="0" w:color="auto"/>
        <w:right w:val="single" w:sz="4" w:space="0" w:color="auto"/>
      </w:pBdr>
      <w:shd w:val="clear" w:color="000000" w:fill="7030A0"/>
      <w:spacing w:before="100" w:beforeAutospacing="1" w:after="100" w:afterAutospacing="1"/>
    </w:pPr>
  </w:style>
  <w:style w:type="paragraph" w:customStyle="1" w:styleId="xl94">
    <w:name w:val="xl94"/>
    <w:basedOn w:val="Normal"/>
    <w:rsid w:val="002A6ADA"/>
    <w:pPr>
      <w:pBdr>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95">
    <w:name w:val="xl95"/>
    <w:basedOn w:val="Normal"/>
    <w:rsid w:val="002A6ADA"/>
    <w:pPr>
      <w:pBdr>
        <w:left w:val="single" w:sz="4" w:space="0" w:color="auto"/>
        <w:right w:val="single" w:sz="4" w:space="0" w:color="auto"/>
      </w:pBdr>
      <w:shd w:val="clear" w:color="000000" w:fill="FF0000"/>
      <w:spacing w:before="100" w:beforeAutospacing="1" w:after="100" w:afterAutospacing="1"/>
    </w:pPr>
  </w:style>
  <w:style w:type="paragraph" w:customStyle="1" w:styleId="xl96">
    <w:name w:val="xl96"/>
    <w:basedOn w:val="Normal"/>
    <w:rsid w:val="002A6ADA"/>
    <w:pPr>
      <w:pBdr>
        <w:left w:val="single" w:sz="4" w:space="0" w:color="auto"/>
        <w:bottom w:val="single" w:sz="4" w:space="0" w:color="auto"/>
        <w:right w:val="single" w:sz="4" w:space="0" w:color="auto"/>
      </w:pBdr>
      <w:shd w:val="clear" w:color="000000" w:fill="00B0F0"/>
      <w:spacing w:before="100" w:beforeAutospacing="1" w:after="100" w:afterAutospacing="1"/>
    </w:pPr>
  </w:style>
  <w:style w:type="paragraph" w:customStyle="1" w:styleId="xl97">
    <w:name w:val="xl97"/>
    <w:basedOn w:val="Normal"/>
    <w:rsid w:val="002A6ADA"/>
    <w:pPr>
      <w:pBdr>
        <w:left w:val="single" w:sz="4" w:space="0" w:color="auto"/>
        <w:right w:val="single" w:sz="4" w:space="0" w:color="auto"/>
      </w:pBdr>
      <w:shd w:val="clear" w:color="000000" w:fill="FFC000"/>
      <w:spacing w:before="100" w:beforeAutospacing="1" w:after="100" w:afterAutospacing="1"/>
    </w:pPr>
  </w:style>
  <w:style w:type="paragraph" w:customStyle="1" w:styleId="xl98">
    <w:name w:val="xl98"/>
    <w:basedOn w:val="Normal"/>
    <w:rsid w:val="002A6ADA"/>
    <w:pPr>
      <w:shd w:val="clear" w:color="000000" w:fill="7F7F7F"/>
      <w:spacing w:before="100" w:beforeAutospacing="1" w:after="100" w:afterAutospacing="1"/>
    </w:pPr>
  </w:style>
  <w:style w:type="paragraph" w:customStyle="1" w:styleId="xl99">
    <w:name w:val="xl99"/>
    <w:basedOn w:val="Normal"/>
    <w:rsid w:val="002A6ADA"/>
    <w:pPr>
      <w:shd w:val="clear" w:color="000000" w:fill="7F7F7F"/>
      <w:spacing w:before="100" w:beforeAutospacing="1" w:after="100" w:afterAutospacing="1"/>
    </w:pPr>
    <w:rPr>
      <w:b/>
      <w:bCs/>
    </w:rPr>
  </w:style>
  <w:style w:type="table" w:customStyle="1" w:styleId="Tablaconcuadrcula2">
    <w:name w:val="Tabla con cuadrícula2"/>
    <w:uiPriority w:val="59"/>
    <w:rsid w:val="002A6ADA"/>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binding">
    <w:name w:val="ng-binding"/>
    <w:basedOn w:val="Normal"/>
    <w:rsid w:val="002A6ADA"/>
    <w:pPr>
      <w:spacing w:before="100" w:beforeAutospacing="1" w:after="100" w:afterAutospacing="1"/>
    </w:pPr>
  </w:style>
  <w:style w:type="character" w:styleId="Textoennegrita">
    <w:name w:val="Strong"/>
    <w:basedOn w:val="Fuentedeprrafopredeter"/>
    <w:uiPriority w:val="22"/>
    <w:qFormat/>
    <w:rsid w:val="002A6ADA"/>
    <w:rPr>
      <w:rFonts w:cs="Times New Roman"/>
      <w:b/>
    </w:rPr>
  </w:style>
  <w:style w:type="character" w:customStyle="1" w:styleId="ng-binding1">
    <w:name w:val="ng-binding1"/>
    <w:rsid w:val="002A6ADA"/>
  </w:style>
  <w:style w:type="character" w:styleId="nfasis">
    <w:name w:val="Emphasis"/>
    <w:basedOn w:val="Fuentedeprrafopredeter"/>
    <w:uiPriority w:val="20"/>
    <w:qFormat/>
    <w:rsid w:val="002A6ADA"/>
    <w:rPr>
      <w:rFonts w:cs="Times New Roman"/>
      <w:i/>
    </w:rPr>
  </w:style>
  <w:style w:type="paragraph" w:customStyle="1" w:styleId="ng-bindingng-scope">
    <w:name w:val="ng-binding ng-scope"/>
    <w:basedOn w:val="Normal"/>
    <w:rsid w:val="002A6ADA"/>
    <w:pPr>
      <w:spacing w:beforeLines="1" w:afterLines="1"/>
    </w:pPr>
    <w:rPr>
      <w:rFonts w:ascii="Times" w:hAnsi="Times"/>
      <w:sz w:val="20"/>
      <w:szCs w:val="20"/>
      <w:lang w:val="en-US"/>
    </w:rPr>
  </w:style>
  <w:style w:type="paragraph" w:styleId="Sangradetextonormal">
    <w:name w:val="Body Text Indent"/>
    <w:basedOn w:val="Normal"/>
    <w:link w:val="SangradetextonormalCar"/>
    <w:rsid w:val="002A6ADA"/>
    <w:pPr>
      <w:spacing w:after="120" w:line="276" w:lineRule="auto"/>
      <w:ind w:left="283"/>
    </w:pPr>
    <w:rPr>
      <w:rFonts w:ascii="Calibri" w:eastAsia="Calibri" w:hAnsi="Calibri"/>
      <w:sz w:val="20"/>
      <w:szCs w:val="20"/>
      <w:lang w:val="en-US" w:eastAsia="ja-JP"/>
    </w:rPr>
  </w:style>
  <w:style w:type="character" w:customStyle="1" w:styleId="SangradetextonormalCar">
    <w:name w:val="Sangría de texto normal Car"/>
    <w:basedOn w:val="Fuentedeprrafopredeter"/>
    <w:link w:val="Sangradetextonormal"/>
    <w:rsid w:val="002A6ADA"/>
    <w:rPr>
      <w:rFonts w:ascii="Calibri" w:eastAsia="Calibri" w:hAnsi="Calibri" w:cs="Times New Roman"/>
      <w:sz w:val="20"/>
      <w:szCs w:val="20"/>
      <w:lang w:val="en-US" w:eastAsia="ja-JP"/>
    </w:rPr>
  </w:style>
  <w:style w:type="paragraph" w:styleId="Textoindependienteprimerasangra2">
    <w:name w:val="Body Text First Indent 2"/>
    <w:basedOn w:val="Sangradetextonormal"/>
    <w:link w:val="Textoindependienteprimerasangra2Car"/>
    <w:rsid w:val="002A6ADA"/>
    <w:pPr>
      <w:spacing w:after="200"/>
      <w:ind w:left="360" w:firstLine="360"/>
    </w:pPr>
  </w:style>
  <w:style w:type="character" w:customStyle="1" w:styleId="Textoindependienteprimerasangra2Car">
    <w:name w:val="Texto independiente primera sangría 2 Car"/>
    <w:basedOn w:val="SangradetextonormalCar"/>
    <w:link w:val="Textoindependienteprimerasangra2"/>
    <w:rsid w:val="002A6ADA"/>
    <w:rPr>
      <w:rFonts w:ascii="Calibri" w:eastAsia="Calibri" w:hAnsi="Calibri" w:cs="Times New Roman"/>
      <w:sz w:val="20"/>
      <w:szCs w:val="20"/>
      <w:lang w:val="en-US" w:eastAsia="ja-JP"/>
    </w:rPr>
  </w:style>
  <w:style w:type="character" w:customStyle="1" w:styleId="ui-ncbitoggler-master-text">
    <w:name w:val="ui-ncbitoggler-master-text"/>
    <w:rsid w:val="002A6ADA"/>
  </w:style>
  <w:style w:type="table" w:customStyle="1" w:styleId="Tablaconcuadrcula3">
    <w:name w:val="Tabla con cuadrícula3"/>
    <w:uiPriority w:val="59"/>
    <w:rsid w:val="002A6ADA"/>
    <w:rPr>
      <w:rFonts w:ascii="Cambria" w:eastAsia="MS Mincho" w:hAnsi="Cambria"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uiPriority w:val="39"/>
    <w:rsid w:val="002A6ADA"/>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59"/>
    <w:rsid w:val="002A6ADA"/>
    <w:rPr>
      <w:rFonts w:ascii="Calibri" w:eastAsia="Times New Roman" w:hAnsi="Calibri"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59"/>
    <w:rsid w:val="002A6ADA"/>
    <w:rPr>
      <w:rFonts w:ascii="Calibri" w:eastAsia="Times New Roman" w:hAnsi="Calibri"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59"/>
    <w:rsid w:val="002A6ADA"/>
    <w:rPr>
      <w:rFonts w:ascii="Calibri" w:eastAsia="Times New Roman" w:hAnsi="Calibri"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basedOn w:val="Normal"/>
    <w:uiPriority w:val="99"/>
    <w:rsid w:val="002A6ADA"/>
    <w:pPr>
      <w:tabs>
        <w:tab w:val="center" w:pos="4252"/>
        <w:tab w:val="right" w:pos="8504"/>
      </w:tabs>
    </w:pPr>
  </w:style>
  <w:style w:type="character" w:customStyle="1" w:styleId="Mencinsinresolver2">
    <w:name w:val="Mención sin resolver2"/>
    <w:basedOn w:val="Fuentedeprrafopredeter"/>
    <w:uiPriority w:val="99"/>
    <w:semiHidden/>
    <w:unhideWhenUsed/>
    <w:rsid w:val="002A6ADA"/>
    <w:rPr>
      <w:color w:val="605E5C"/>
      <w:shd w:val="clear" w:color="auto" w:fill="E1DFDD"/>
    </w:rPr>
  </w:style>
  <w:style w:type="numbering" w:customStyle="1" w:styleId="Sinlista1">
    <w:name w:val="Sin lista1"/>
    <w:next w:val="Sinlista"/>
    <w:uiPriority w:val="99"/>
    <w:semiHidden/>
    <w:unhideWhenUsed/>
    <w:rsid w:val="002A6ADA"/>
  </w:style>
  <w:style w:type="numbering" w:customStyle="1" w:styleId="Sinlista2">
    <w:name w:val="Sin lista2"/>
    <w:next w:val="Sinlista"/>
    <w:uiPriority w:val="99"/>
    <w:semiHidden/>
    <w:unhideWhenUsed/>
    <w:rsid w:val="002A6ADA"/>
  </w:style>
  <w:style w:type="numbering" w:customStyle="1" w:styleId="Sinlista3">
    <w:name w:val="Sin lista3"/>
    <w:next w:val="Sinlista"/>
    <w:uiPriority w:val="99"/>
    <w:semiHidden/>
    <w:unhideWhenUsed/>
    <w:rsid w:val="002A6ADA"/>
  </w:style>
  <w:style w:type="numbering" w:customStyle="1" w:styleId="Sinlista4">
    <w:name w:val="Sin lista4"/>
    <w:next w:val="Sinlista"/>
    <w:uiPriority w:val="99"/>
    <w:semiHidden/>
    <w:unhideWhenUsed/>
    <w:rsid w:val="002A6ADA"/>
  </w:style>
  <w:style w:type="numbering" w:customStyle="1" w:styleId="Sinlista5">
    <w:name w:val="Sin lista5"/>
    <w:next w:val="Sinlista"/>
    <w:uiPriority w:val="99"/>
    <w:semiHidden/>
    <w:unhideWhenUsed/>
    <w:rsid w:val="002A6ADA"/>
  </w:style>
  <w:style w:type="character" w:customStyle="1" w:styleId="Mencinsinresolver3">
    <w:name w:val="Mención sin resolver3"/>
    <w:basedOn w:val="Fuentedeprrafopredeter"/>
    <w:uiPriority w:val="99"/>
    <w:semiHidden/>
    <w:unhideWhenUsed/>
    <w:rsid w:val="00111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5097">
      <w:bodyDiv w:val="1"/>
      <w:marLeft w:val="0"/>
      <w:marRight w:val="0"/>
      <w:marTop w:val="0"/>
      <w:marBottom w:val="0"/>
      <w:divBdr>
        <w:top w:val="none" w:sz="0" w:space="0" w:color="auto"/>
        <w:left w:val="none" w:sz="0" w:space="0" w:color="auto"/>
        <w:bottom w:val="none" w:sz="0" w:space="0" w:color="auto"/>
        <w:right w:val="none" w:sz="0" w:space="0" w:color="auto"/>
      </w:divBdr>
    </w:div>
    <w:div w:id="453447307">
      <w:bodyDiv w:val="1"/>
      <w:marLeft w:val="0"/>
      <w:marRight w:val="0"/>
      <w:marTop w:val="0"/>
      <w:marBottom w:val="0"/>
      <w:divBdr>
        <w:top w:val="none" w:sz="0" w:space="0" w:color="auto"/>
        <w:left w:val="none" w:sz="0" w:space="0" w:color="auto"/>
        <w:bottom w:val="none" w:sz="0" w:space="0" w:color="auto"/>
        <w:right w:val="none" w:sz="0" w:space="0" w:color="auto"/>
      </w:divBdr>
    </w:div>
    <w:div w:id="668869228">
      <w:bodyDiv w:val="1"/>
      <w:marLeft w:val="0"/>
      <w:marRight w:val="0"/>
      <w:marTop w:val="0"/>
      <w:marBottom w:val="0"/>
      <w:divBdr>
        <w:top w:val="none" w:sz="0" w:space="0" w:color="auto"/>
        <w:left w:val="none" w:sz="0" w:space="0" w:color="auto"/>
        <w:bottom w:val="none" w:sz="0" w:space="0" w:color="auto"/>
        <w:right w:val="none" w:sz="0" w:space="0" w:color="auto"/>
      </w:divBdr>
    </w:div>
    <w:div w:id="712773185">
      <w:bodyDiv w:val="1"/>
      <w:marLeft w:val="0"/>
      <w:marRight w:val="0"/>
      <w:marTop w:val="0"/>
      <w:marBottom w:val="0"/>
      <w:divBdr>
        <w:top w:val="none" w:sz="0" w:space="0" w:color="auto"/>
        <w:left w:val="none" w:sz="0" w:space="0" w:color="auto"/>
        <w:bottom w:val="none" w:sz="0" w:space="0" w:color="auto"/>
        <w:right w:val="none" w:sz="0" w:space="0" w:color="auto"/>
      </w:divBdr>
    </w:div>
    <w:div w:id="795178079">
      <w:bodyDiv w:val="1"/>
      <w:marLeft w:val="0"/>
      <w:marRight w:val="0"/>
      <w:marTop w:val="0"/>
      <w:marBottom w:val="0"/>
      <w:divBdr>
        <w:top w:val="none" w:sz="0" w:space="0" w:color="auto"/>
        <w:left w:val="none" w:sz="0" w:space="0" w:color="auto"/>
        <w:bottom w:val="none" w:sz="0" w:space="0" w:color="auto"/>
        <w:right w:val="none" w:sz="0" w:space="0" w:color="auto"/>
      </w:divBdr>
    </w:div>
    <w:div w:id="836846040">
      <w:bodyDiv w:val="1"/>
      <w:marLeft w:val="0"/>
      <w:marRight w:val="0"/>
      <w:marTop w:val="0"/>
      <w:marBottom w:val="0"/>
      <w:divBdr>
        <w:top w:val="none" w:sz="0" w:space="0" w:color="auto"/>
        <w:left w:val="none" w:sz="0" w:space="0" w:color="auto"/>
        <w:bottom w:val="none" w:sz="0" w:space="0" w:color="auto"/>
        <w:right w:val="none" w:sz="0" w:space="0" w:color="auto"/>
      </w:divBdr>
    </w:div>
    <w:div w:id="1026373489">
      <w:bodyDiv w:val="1"/>
      <w:marLeft w:val="0"/>
      <w:marRight w:val="0"/>
      <w:marTop w:val="0"/>
      <w:marBottom w:val="0"/>
      <w:divBdr>
        <w:top w:val="none" w:sz="0" w:space="0" w:color="auto"/>
        <w:left w:val="none" w:sz="0" w:space="0" w:color="auto"/>
        <w:bottom w:val="none" w:sz="0" w:space="0" w:color="auto"/>
        <w:right w:val="none" w:sz="0" w:space="0" w:color="auto"/>
      </w:divBdr>
    </w:div>
    <w:div w:id="1686902009">
      <w:bodyDiv w:val="1"/>
      <w:marLeft w:val="0"/>
      <w:marRight w:val="0"/>
      <w:marTop w:val="0"/>
      <w:marBottom w:val="0"/>
      <w:divBdr>
        <w:top w:val="none" w:sz="0" w:space="0" w:color="auto"/>
        <w:left w:val="none" w:sz="0" w:space="0" w:color="auto"/>
        <w:bottom w:val="none" w:sz="0" w:space="0" w:color="auto"/>
        <w:right w:val="none" w:sz="0" w:space="0" w:color="auto"/>
      </w:divBdr>
    </w:div>
    <w:div w:id="1746999264">
      <w:bodyDiv w:val="1"/>
      <w:marLeft w:val="0"/>
      <w:marRight w:val="0"/>
      <w:marTop w:val="0"/>
      <w:marBottom w:val="0"/>
      <w:divBdr>
        <w:top w:val="none" w:sz="0" w:space="0" w:color="auto"/>
        <w:left w:val="none" w:sz="0" w:space="0" w:color="auto"/>
        <w:bottom w:val="none" w:sz="0" w:space="0" w:color="auto"/>
        <w:right w:val="none" w:sz="0" w:space="0" w:color="auto"/>
      </w:divBdr>
    </w:div>
    <w:div w:id="1868521028">
      <w:bodyDiv w:val="1"/>
      <w:marLeft w:val="0"/>
      <w:marRight w:val="0"/>
      <w:marTop w:val="0"/>
      <w:marBottom w:val="0"/>
      <w:divBdr>
        <w:top w:val="none" w:sz="0" w:space="0" w:color="auto"/>
        <w:left w:val="none" w:sz="0" w:space="0" w:color="auto"/>
        <w:bottom w:val="none" w:sz="0" w:space="0" w:color="auto"/>
        <w:right w:val="none" w:sz="0" w:space="0" w:color="auto"/>
      </w:divBdr>
    </w:div>
    <w:div w:id="1982880382">
      <w:bodyDiv w:val="1"/>
      <w:marLeft w:val="0"/>
      <w:marRight w:val="0"/>
      <w:marTop w:val="0"/>
      <w:marBottom w:val="0"/>
      <w:divBdr>
        <w:top w:val="none" w:sz="0" w:space="0" w:color="auto"/>
        <w:left w:val="none" w:sz="0" w:space="0" w:color="auto"/>
        <w:bottom w:val="none" w:sz="0" w:space="0" w:color="auto"/>
        <w:right w:val="none" w:sz="0" w:space="0" w:color="auto"/>
      </w:divBdr>
    </w:div>
    <w:div w:id="20740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5.xml"/><Relationship Id="rId42" Type="http://schemas.openxmlformats.org/officeDocument/2006/relationships/hyperlink" Target="http://app.hivclinic.ca" TargetMode="External"/><Relationship Id="rId47" Type="http://schemas.openxmlformats.org/officeDocument/2006/relationships/header" Target="header10.xml"/><Relationship Id="rId63" Type="http://schemas.openxmlformats.org/officeDocument/2006/relationships/header" Target="header17.xml"/><Relationship Id="rId68" Type="http://schemas.openxmlformats.org/officeDocument/2006/relationships/header" Target="header18.xml"/><Relationship Id="rId84" Type="http://schemas.openxmlformats.org/officeDocument/2006/relationships/header" Target="header21.xml"/><Relationship Id="rId89" Type="http://schemas.openxmlformats.org/officeDocument/2006/relationships/hyperlink" Target="https://seimc.org/contenidos/gruposdeestudio/gehep/dcientificos/documentos/gehep-seimc_AEEH-dc-2018-HepatitisC.pdf" TargetMode="External"/><Relationship Id="rId112" Type="http://schemas.openxmlformats.org/officeDocument/2006/relationships/fontTable" Target="fontTable.xml"/><Relationship Id="rId16" Type="http://schemas.openxmlformats.org/officeDocument/2006/relationships/hyperlink" Target="https://www.bhiva.org/file/DqZbRxfzlYtLg/Monitoring-Guidelines.pdf" TargetMode="External"/><Relationship Id="rId107" Type="http://schemas.openxmlformats.org/officeDocument/2006/relationships/footer" Target="footer29.xml"/><Relationship Id="rId11" Type="http://schemas.openxmlformats.org/officeDocument/2006/relationships/hyperlink" Target="http://www.eacsociety.org/files/2018_guidelines-9.1-english.pdf" TargetMode="External"/><Relationship Id="rId32" Type="http://schemas.openxmlformats.org/officeDocument/2006/relationships/footer" Target="footer10.xml"/><Relationship Id="rId37" Type="http://schemas.openxmlformats.org/officeDocument/2006/relationships/hyperlink" Target="http://www.hiv-druginteractions.org" TargetMode="External"/><Relationship Id="rId53" Type="http://schemas.openxmlformats.org/officeDocument/2006/relationships/header" Target="header13.xml"/><Relationship Id="rId58" Type="http://schemas.openxmlformats.org/officeDocument/2006/relationships/header" Target="header15.xml"/><Relationship Id="rId74" Type="http://schemas.openxmlformats.org/officeDocument/2006/relationships/hyperlink" Target="https://www.ncbi.nlm.nih.gov/pubmed/?term=Bello%20AK%5BAuthor%5D&amp;cauthor=true&amp;cauthor_uid=29659605" TargetMode="External"/><Relationship Id="rId79" Type="http://schemas.openxmlformats.org/officeDocument/2006/relationships/hyperlink" Target="https://www.ncbi.nlm.nih.gov/pubmed/?term=Cohen%20SD%5BAuthor%5D&amp;cauthor=true&amp;cauthor_uid=29236630" TargetMode="External"/><Relationship Id="rId102" Type="http://schemas.openxmlformats.org/officeDocument/2006/relationships/hyperlink" Target="https://pubmed.ncbi.nlm.nih.gov/19632953-low-rate-of-cmv-end-organ-disease-in-hiv-infected-patients-despite-low-cd4-cell-counts-and-cmv-viremia-results-of-actg-protocol-a5030/" TargetMode="External"/><Relationship Id="rId5" Type="http://schemas.openxmlformats.org/officeDocument/2006/relationships/footnotes" Target="footnotes.xml"/><Relationship Id="rId90" Type="http://schemas.openxmlformats.org/officeDocument/2006/relationships/header" Target="header23.xml"/><Relationship Id="rId95" Type="http://schemas.openxmlformats.org/officeDocument/2006/relationships/hyperlink" Target="http://www.heartscore.org/es_ES/access" TargetMode="External"/><Relationship Id="rId22" Type="http://schemas.openxmlformats.org/officeDocument/2006/relationships/footer" Target="footer6.xml"/><Relationship Id="rId27" Type="http://schemas.openxmlformats.org/officeDocument/2006/relationships/header" Target="header6.xml"/><Relationship Id="rId43" Type="http://schemas.openxmlformats.org/officeDocument/2006/relationships/hyperlink" Target="http://www.hivmedicationguide.com/" TargetMode="External"/><Relationship Id="rId48" Type="http://schemas.openxmlformats.org/officeDocument/2006/relationships/footer" Target="footer14.xml"/><Relationship Id="rId64" Type="http://schemas.openxmlformats.org/officeDocument/2006/relationships/footer" Target="footer21.xml"/><Relationship Id="rId69" Type="http://schemas.openxmlformats.org/officeDocument/2006/relationships/footer" Target="footer22.xml"/><Relationship Id="rId113" Type="http://schemas.openxmlformats.org/officeDocument/2006/relationships/theme" Target="theme/theme1.xml"/><Relationship Id="rId80" Type="http://schemas.openxmlformats.org/officeDocument/2006/relationships/hyperlink" Target="https://www.ncbi.nlm.nih.gov/pubmed/?term=Kopp%20JB%5BAuthor%5D&amp;cauthor=true&amp;cauthor_uid=29236630" TargetMode="External"/><Relationship Id="rId85" Type="http://schemas.openxmlformats.org/officeDocument/2006/relationships/footer" Target="footer25.xml"/><Relationship Id="rId12" Type="http://schemas.openxmlformats.org/officeDocument/2006/relationships/footer" Target="footer2.xml"/><Relationship Id="rId17" Type="http://schemas.openxmlformats.org/officeDocument/2006/relationships/hyperlink" Target="http://gesida-seimc.org/wp-content/uploads/2018/09/gesida_documento_sobre_la_utilidad_clinica_de_las_resistencias_a_antirretrovirales.pdf" TargetMode="External"/><Relationship Id="rId33" Type="http://schemas.openxmlformats.org/officeDocument/2006/relationships/hyperlink" Target="http://www.hiv.uw.edu/go/antiretroviral-therapy/adverse-effects/core-concept/all" TargetMode="External"/><Relationship Id="rId38" Type="http://schemas.openxmlformats.org/officeDocument/2006/relationships/hyperlink" Target="http://www.hivmedicationguide.com/" TargetMode="External"/><Relationship Id="rId59" Type="http://schemas.openxmlformats.org/officeDocument/2006/relationships/footer" Target="footer19.xml"/><Relationship Id="rId103" Type="http://schemas.openxmlformats.org/officeDocument/2006/relationships/hyperlink" Target="https://www.nejm.org/doi/full/10.1056/NEJMoa1615822" TargetMode="External"/><Relationship Id="rId108" Type="http://schemas.openxmlformats.org/officeDocument/2006/relationships/header" Target="header26.xml"/><Relationship Id="rId54" Type="http://schemas.openxmlformats.org/officeDocument/2006/relationships/footer" Target="footer17.xml"/><Relationship Id="rId70" Type="http://schemas.openxmlformats.org/officeDocument/2006/relationships/header" Target="header19.xml"/><Relationship Id="rId75" Type="http://schemas.openxmlformats.org/officeDocument/2006/relationships/hyperlink" Target="https://www.ncbi.nlm.nih.gov/pubmed/?term=Ekrikpo+UE%2C+et+al.+PLoS+ONE+2018%3B+13%284%29%3Ae0195443" TargetMode="External"/><Relationship Id="rId91" Type="http://schemas.openxmlformats.org/officeDocument/2006/relationships/footer" Target="footer27.xml"/><Relationship Id="rId96" Type="http://schemas.openxmlformats.org/officeDocument/2006/relationships/hyperlink" Target="https://www.imim.cat/ofertadeserveis/software-public/regicor/?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gesida-seimc.org/wp-content/uploads/2018/02/gesida_DC_Control_Monitorizacion_VIH.pdf" TargetMode="External"/><Relationship Id="rId23" Type="http://schemas.openxmlformats.org/officeDocument/2006/relationships/footer" Target="footer7.xml"/><Relationship Id="rId28" Type="http://schemas.openxmlformats.org/officeDocument/2006/relationships/hyperlink" Target="http://gesida-seimc.org/wp-content/uploads/2019/03/15_DESPRESCRIPCION_FARMACOLOGICA_TERAPIA_NO_ANTIRRETROVIRAL_EN_PACIENTES_CON_INFECCION_POR_VIH.pdf" TargetMode="External"/><Relationship Id="rId36" Type="http://schemas.openxmlformats.org/officeDocument/2006/relationships/hyperlink" Target="http://app.hivclinic.ca" TargetMode="External"/><Relationship Id="rId49" Type="http://schemas.openxmlformats.org/officeDocument/2006/relationships/header" Target="header11.xml"/><Relationship Id="rId57" Type="http://schemas.openxmlformats.org/officeDocument/2006/relationships/hyperlink" Target="https://www.accessdata.fda.gov/scripts/cder/safetylabelingchanges/index.cfm?event=searchdetail.page&amp;DrugNameID=94" TargetMode="External"/><Relationship Id="rId106" Type="http://schemas.openxmlformats.org/officeDocument/2006/relationships/header" Target="header25.xml"/><Relationship Id="rId10" Type="http://schemas.openxmlformats.org/officeDocument/2006/relationships/hyperlink" Target="https://aidsinfo.nih.gov/guidelines/html/1/adult-and-adolescent-arv/0" TargetMode="External"/><Relationship Id="rId31" Type="http://schemas.openxmlformats.org/officeDocument/2006/relationships/header" Target="header8.xml"/><Relationship Id="rId44" Type="http://schemas.openxmlformats.org/officeDocument/2006/relationships/hyperlink" Target="http://www.hep-druginteractions.org/" TargetMode="External"/><Relationship Id="rId52" Type="http://schemas.openxmlformats.org/officeDocument/2006/relationships/footer" Target="footer16.xml"/><Relationship Id="rId60" Type="http://schemas.openxmlformats.org/officeDocument/2006/relationships/hyperlink" Target="https://www.ema.europa.eu/en/documents/product-information/descovy-epar-product-information_es.pdf" TargetMode="External"/><Relationship Id="rId65" Type="http://schemas.openxmlformats.org/officeDocument/2006/relationships/hyperlink" Target="https://www.ncbi.nlm.nih.gov/pubmed/?term=Dooley%20KE%5BAuthor%5D&amp;cauthor=true&amp;cauthor_uid=30918967" TargetMode="External"/><Relationship Id="rId73" Type="http://schemas.openxmlformats.org/officeDocument/2006/relationships/hyperlink" Target="https://www.ncbi.nlm.nih.gov/pubmed/?term=Kengne%20AP%5BAuthor%5D&amp;cauthor=true&amp;cauthor_uid=29659605" TargetMode="External"/><Relationship Id="rId78" Type="http://schemas.openxmlformats.org/officeDocument/2006/relationships/hyperlink" Target="https://www.ncbi.nlm.nih.gov/pubmed/?term=Rico%20N%5BAuthor%5D&amp;cauthor=true&amp;cauthor_uid=28183270" TargetMode="External"/><Relationship Id="rId81" Type="http://schemas.openxmlformats.org/officeDocument/2006/relationships/hyperlink" Target="https://www.ncbi.nlm.nih.gov/pubmed/?term=Kimmel%20PL%5BAuthor%5D&amp;cauthor=true&amp;cauthor_uid=29236630" TargetMode="External"/><Relationship Id="rId86" Type="http://schemas.openxmlformats.org/officeDocument/2006/relationships/hyperlink" Target="https://www.hiv-druginteractions.org" TargetMode="External"/><Relationship Id="rId94" Type="http://schemas.openxmlformats.org/officeDocument/2006/relationships/hyperlink" Target="http://www.chip.dk/Tools-Standards/Clinical-risk-scores" TargetMode="External"/><Relationship Id="rId99" Type="http://schemas.openxmlformats.org/officeDocument/2006/relationships/hyperlink" Target="http://www.easl.eu/medias/cpg/2018/EASL%20Recommendations%20on%20Treatment%20of%20Hepatitis%20C%202018/English-report.pdf" TargetMode="External"/><Relationship Id="rId101" Type="http://schemas.openxmlformats.org/officeDocument/2006/relationships/hyperlink" Target="http://gesida-seimc.org/wp-content/uploads/2017/05/gesida-guiasclinicas-ITS-201703.pdf"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yperlink" Target="http://www.interaccionesvih.com" TargetMode="External"/><Relationship Id="rId109" Type="http://schemas.openxmlformats.org/officeDocument/2006/relationships/footer" Target="footer30.xml"/><Relationship Id="rId34"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eader" Target="header14.xml"/><Relationship Id="rId76" Type="http://schemas.openxmlformats.org/officeDocument/2006/relationships/hyperlink" Target="https://www.ncbi.nlm.nih.gov/pubmed/?term=Cristelli%20MP%5BAuthor%5D&amp;cauthor=true&amp;cauthor_uid=28183270" TargetMode="External"/><Relationship Id="rId97" Type="http://schemas.openxmlformats.org/officeDocument/2006/relationships/hyperlink" Target="http://www.cvriskcalculator.com/" TargetMode="External"/><Relationship Id="rId104" Type="http://schemas.openxmlformats.org/officeDocument/2006/relationships/header" Target="header24.xml"/><Relationship Id="rId7" Type="http://schemas.openxmlformats.org/officeDocument/2006/relationships/image" Target="media/image1.emf"/><Relationship Id="rId71" Type="http://schemas.openxmlformats.org/officeDocument/2006/relationships/footer" Target="footer23.xml"/><Relationship Id="rId92" Type="http://schemas.openxmlformats.org/officeDocument/2006/relationships/hyperlink" Target="http://gesida-seimc.org/wp-content/uploads/2019/05/gesida_DC_TumoresNoDefinitorios_Marzo_2019_14_05_19.pdf" TargetMode="External"/><Relationship Id="rId2" Type="http://schemas.openxmlformats.org/officeDocument/2006/relationships/styles" Target="styles.xml"/><Relationship Id="rId29" Type="http://schemas.openxmlformats.org/officeDocument/2006/relationships/header" Target="header7.xml"/><Relationship Id="rId24" Type="http://schemas.openxmlformats.org/officeDocument/2006/relationships/header" Target="header4.xml"/><Relationship Id="rId40" Type="http://schemas.openxmlformats.org/officeDocument/2006/relationships/hyperlink" Target="https://www.ema.europa.eu/en/medicines" TargetMode="External"/><Relationship Id="rId45" Type="http://schemas.openxmlformats.org/officeDocument/2006/relationships/footer" Target="footer12.xml"/><Relationship Id="rId66" Type="http://schemas.openxmlformats.org/officeDocument/2006/relationships/hyperlink" Target="https://www.ncbi.nlm.nih.gov/pubmed/?term=Kaplan%20R%5BAuthor%5D&amp;cauthor=true&amp;cauthor_uid=30918967" TargetMode="External"/><Relationship Id="rId87" Type="http://schemas.openxmlformats.org/officeDocument/2006/relationships/header" Target="header22.xml"/><Relationship Id="rId110" Type="http://schemas.openxmlformats.org/officeDocument/2006/relationships/hyperlink" Target="http://www.accessdata.fda.gov/drugsatfda_docs/label/2014/204790s001lbl.pdf" TargetMode="External"/><Relationship Id="rId61" Type="http://schemas.openxmlformats.org/officeDocument/2006/relationships/header" Target="header16.xml"/><Relationship Id="rId82" Type="http://schemas.openxmlformats.org/officeDocument/2006/relationships/header" Target="header20.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footer" Target="footer9.xml"/><Relationship Id="rId35" Type="http://schemas.openxmlformats.org/officeDocument/2006/relationships/footer" Target="footer11.xml"/><Relationship Id="rId56" Type="http://schemas.openxmlformats.org/officeDocument/2006/relationships/footer" Target="footer18.xml"/><Relationship Id="rId77" Type="http://schemas.openxmlformats.org/officeDocument/2006/relationships/hyperlink" Target="https://www.ncbi.nlm.nih.gov/pubmed/?term=Cof%C3%A1n%20F%5BAuthor%5D&amp;cauthor=true&amp;cauthor_uid=28183270" TargetMode="External"/><Relationship Id="rId100" Type="http://schemas.openxmlformats.org/officeDocument/2006/relationships/hyperlink" Target="http://www.gesida-seimc.org/contenidos/guiasclinicas/2016/gesida-guiasclinicas-2016-osteoporosis.pdf" TargetMode="External"/><Relationship Id="rId105" Type="http://schemas.openxmlformats.org/officeDocument/2006/relationships/footer" Target="footer28.xml"/><Relationship Id="rId8" Type="http://schemas.openxmlformats.org/officeDocument/2006/relationships/image" Target="media/image2.jpg"/><Relationship Id="rId51" Type="http://schemas.openxmlformats.org/officeDocument/2006/relationships/header" Target="header12.xml"/><Relationship Id="rId72" Type="http://schemas.openxmlformats.org/officeDocument/2006/relationships/hyperlink" Target="https://www.ncbi.nlm.nih.gov/pubmed/?term=Ekrikpo%20UE%5BAuthor%5D&amp;cauthor=true&amp;cauthor_uid=29659605" TargetMode="External"/><Relationship Id="rId93" Type="http://schemas.openxmlformats.org/officeDocument/2006/relationships/hyperlink" Target="http://gesida-seimc.org/category/guias-clinicas/antirretroviral-vigentes/" TargetMode="External"/><Relationship Id="rId98" Type="http://schemas.openxmlformats.org/officeDocument/2006/relationships/hyperlink" Target="http://www.shef.ac.uk/FRAX" TargetMode="External"/><Relationship Id="rId3" Type="http://schemas.openxmlformats.org/officeDocument/2006/relationships/settings" Target="settings.xml"/><Relationship Id="rId25" Type="http://schemas.openxmlformats.org/officeDocument/2006/relationships/footer" Target="footer8.xml"/><Relationship Id="rId46" Type="http://schemas.openxmlformats.org/officeDocument/2006/relationships/footer" Target="footer13.xml"/><Relationship Id="rId67" Type="http://schemas.openxmlformats.org/officeDocument/2006/relationships/hyperlink" Target="https://www.ncbi.nlm.nih.gov/pubmed/?term=Mwelase%20N%5BAuthor%5D&amp;cauthor=true&amp;cauthor_uid=30918967" TargetMode="External"/><Relationship Id="rId20" Type="http://schemas.openxmlformats.org/officeDocument/2006/relationships/header" Target="header3.xml"/><Relationship Id="rId41" Type="http://schemas.openxmlformats.org/officeDocument/2006/relationships/hyperlink" Target="http://dbts.ucsf.edu/fdatransportal" TargetMode="External"/><Relationship Id="rId62" Type="http://schemas.openxmlformats.org/officeDocument/2006/relationships/footer" Target="footer20.xml"/><Relationship Id="rId83" Type="http://schemas.openxmlformats.org/officeDocument/2006/relationships/footer" Target="footer24.xml"/><Relationship Id="rId88" Type="http://schemas.openxmlformats.org/officeDocument/2006/relationships/footer" Target="footer26.xml"/><Relationship Id="rId111" Type="http://schemas.openxmlformats.org/officeDocument/2006/relationships/footer" Target="footer3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49614</Words>
  <Characters>272882</Characters>
  <Application>Microsoft Office Word</Application>
  <DocSecurity>0</DocSecurity>
  <Lines>2274</Lines>
  <Paragraphs>643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Julian Gonzalez García</dc:creator>
  <cp:keywords/>
  <dc:description/>
  <cp:lastModifiedBy>Juan Julian Gonzalez García</cp:lastModifiedBy>
  <cp:revision>2</cp:revision>
  <dcterms:created xsi:type="dcterms:W3CDTF">2020-01-31T08:18:00Z</dcterms:created>
  <dcterms:modified xsi:type="dcterms:W3CDTF">2020-01-31T08:18:00Z</dcterms:modified>
</cp:coreProperties>
</file>